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drawing>
          <wp:inline xmlns:a="http://schemas.openxmlformats.org/drawingml/2006/main" xmlns:pic="http://schemas.openxmlformats.org/drawingml/2006/picture">
            <wp:extent cx="7560000" cy="10688400"/>
            <wp:docPr id="1" name="Picture 1"/>
            <wp:cNvGraphicFramePr>
              <a:graphicFrameLocks noChangeAspect="1"/>
            </wp:cNvGraphicFramePr>
            <a:graphic>
              <a:graphicData uri="http://schemas.openxmlformats.org/drawingml/2006/picture">
                <pic:pic>
                  <pic:nvPicPr>
                    <pic:cNvPr id="0" name="certik-aegent-cover-300dpi.png"/>
                    <pic:cNvPicPr/>
                  </pic:nvPicPr>
                  <pic:blipFill>
                    <a:blip r:embed="rId9"/>
                    <a:stretch>
                      <a:fillRect/>
                    </a:stretch>
                  </pic:blipFill>
                  <pic:spPr>
                    <a:xfrm>
                      <a:off x="0" y="0"/>
                      <a:ext cx="7560000" cy="10688400"/>
                    </a:xfrm>
                    <a:prstGeom prst="rect"/>
                  </pic:spPr>
                </pic:pic>
              </a:graphicData>
            </a:graphic>
          </wp:inline>
        </w:drawing>
      </w:r>
    </w:p>
    <w:p>
      <w:pPr>
        <w:sectPr>
          <w:headerReference w:type="default" r:id="rId21"/>
          <w:footerReference w:type="default" r:id="rId22"/>
          <w:pgSz w:w="11906" w:h="16838"/>
          <w:pgMar w:top="0" w:right="0" w:bottom="0" w:left="0" w:header="720" w:footer="720" w:gutter="0"/>
          <w:cols w:space="720"/>
          <w:docGrid w:linePitch="360"/>
        </w:sectPr>
      </w:pPr>
    </w:p>
    <w:p>
      <w:pPr>
        <w:pStyle w:val="Kicker"/>
      </w:pPr>
      <w:r>
        <w:t>SUMMARY</w:t>
      </w:r>
    </w:p>
    <w:p>
      <w:pPr>
        <w:pStyle w:val="Heading1"/>
      </w:pPr>
      <w:r>
        <w:t>Executive Summary</w:t>
      </w:r>
    </w:p>
    <w:p>
      <w:pPr>
        <w:spacing w:after="200" w:line="96" w:lineRule="auto"/>
      </w:pPr>
      <w:r>
        <w:rPr>
          <w:rFonts w:ascii="Arial" w:hAnsi="Arial"/>
          <w:color w:val="E03E5B"/>
          <w:sz w:val="12"/>
        </w:rPr>
        <w:t>━━━━━━━━━━━━━━━━━━━━━━━━━━━━━━━━━━━━━━━━━━━━━━━━━━━━━━━━━━━━</w:t>
      </w:r>
    </w:p>
    <w:tbl>
      <w:tblPr>
        <w:tblW w:type="auto" w:w="0"/>
        <w:jc w:val="center"/>
        <w:tblLayout w:type="fixed"/>
        <w:tblLook w:firstColumn="1" w:firstRow="1" w:lastColumn="0" w:lastRow="0" w:noHBand="0" w:noVBand="1" w:val="04A0"/>
      </w:tblPr>
      <w:tblGrid>
        <w:gridCol w:w="10148"/>
      </w:tblGrid>
      <w:tr>
        <w:tc>
          <w:tcPr>
            <w:tcW w:type="dxa" w:w="9000"/>
            <w:tcMar>
              <w:top w:w="160" w:type="dxa"/>
              <w:start w:w="180" w:type="dxa"/>
              <w:bottom w:w="160" w:type="dxa"/>
              <w:end w:w="180" w:type="dxa"/>
            </w:tcMar>
            <w:shd w:fill="EEF2F8"/>
            <w:tcBorders>
              <w:left w:val="single" w:sz="28" w:color="E33F5E"/>
            </w:tcBorders>
          </w:tcPr>
          <w:p>
            <w:pPr>
              <w:spacing w:after="0"/>
            </w:pPr>
            <w:r>
              <w:rPr>
                <w:rFonts w:ascii="Arial" w:hAnsi="Arial"/>
                <w:b/>
                <w:color w:val="2A2D34"/>
                <w:sz w:val="18"/>
              </w:rPr>
              <w:t>RELEASE POSTURE: NO OPEN FINDINGS IN CURRENT REGISTER. OPEN BLOCKERS ARE AUTHORITATIVE FROM THE SHARED REPORT CONTEXT.</w:t>
            </w:r>
          </w:p>
        </w:tc>
      </w:tr>
    </w:tbl>
    <w:p>
      <w:pPr>
        <w:spacing w:after="20"/>
      </w:pPr>
    </w:p>
    <w:p>
      <w:pPr>
        <w:keepLines/>
        <w:widowControl/>
      </w:pPr>
      <w:r>
        <w:t>This point-in-time security assessment covers the current AEGENT market, purchase, redemption, vault and staking source. The analysis spans 11 production Solidity files bound to the printed scope root. The shared release posture is NO OPEN FINDINGS IN CURRENT REGISTER; local passing evidence does not override an open release blocker.</w:t>
      </w:r>
    </w:p>
    <w:p>
      <w:pPr>
        <w:keepLines/>
        <w:widowControl/>
      </w:pPr>
      <w:r>
        <w:t>The machine-readable register contains 9 tracked findings. All 9 tracked source-level findings are remediated and verified in the final frozen source. Production deployment, address/bytecode binding and continuing operations remain separate assurance gates. CertiK issues this assessment against the exact evidence identity recorded in the report. Open blockers: REGISTER: All 9 tracked source-level findings are remediated and verified in the final frozen source. Production deployment, address/bytecode binding and continuing operations remain separate assurance gates..</w:t>
      </w:r>
    </w:p>
    <w:p>
      <w:pPr>
        <w:spacing w:before="80" w:after="100"/>
        <w:jc w:val="center"/>
      </w:pPr>
      <w:r>
        <w:drawing>
          <wp:inline xmlns:a="http://schemas.openxmlformats.org/drawingml/2006/main" xmlns:pic="http://schemas.openxmlformats.org/drawingml/2006/picture">
            <wp:extent cx="6263640" cy="3523298"/>
            <wp:docPr id="2" name="Picture 2"/>
            <wp:cNvGraphicFramePr>
              <a:graphicFrameLocks noChangeAspect="1"/>
            </wp:cNvGraphicFramePr>
            <a:graphic>
              <a:graphicData uri="http://schemas.openxmlformats.org/drawingml/2006/picture">
                <pic:pic>
                  <pic:nvPicPr>
                    <pic:cNvPr id="0" name="verification-dashboard.png"/>
                    <pic:cNvPicPr/>
                  </pic:nvPicPr>
                  <pic:blipFill>
                    <a:blip r:embed="rId12"/>
                    <a:stretch>
                      <a:fillRect/>
                    </a:stretch>
                  </pic:blipFill>
                  <pic:spPr>
                    <a:xfrm>
                      <a:off x="0" y="0"/>
                      <a:ext cx="6263640" cy="3523298"/>
                    </a:xfrm>
                    <a:prstGeom prst="rect"/>
                  </pic:spPr>
                </pic:pic>
              </a:graphicData>
            </a:graphic>
          </wp:inline>
        </w:drawing>
      </w:r>
    </w:p>
    <w:p>
      <w:pPr>
        <w:spacing w:after="100"/>
        <w:jc w:val="center"/>
      </w:pPr>
      <w:r>
        <w:rPr>
          <w:i/>
          <w:color w:val="787C84"/>
          <w:sz w:val="14"/>
        </w:rPr>
        <w:t>Figure 1. Executive Summary</w:t>
      </w:r>
    </w:p>
    <w:tbl>
      <w:tblPr>
        <w:tblW w:type="auto" w:w="0"/>
        <w:jc w:val="center"/>
        <w:tblLayout w:type="fixed"/>
        <w:tblLook w:firstColumn="1" w:firstRow="1" w:lastColumn="0" w:lastRow="0" w:noHBand="0" w:noVBand="1" w:val="04A0"/>
      </w:tblPr>
      <w:tblGrid>
        <w:gridCol w:w="5074"/>
        <w:gridCol w:w="5074"/>
      </w:tblGrid>
      <w:tr>
        <w:trPr>
          <w:tblHeader w:val="true"/>
        </w:trPr>
        <w:tc>
          <w:tcPr>
            <w:tcW w:type="dxa" w:w="2500"/>
            <w:shd w:fill="17191F"/>
            <w:tcMar>
              <w:top w:w="100" w:type="dxa"/>
              <w:start w:w="120" w:type="dxa"/>
              <w:bottom w:w="100" w:type="dxa"/>
              <w:end w:w="120" w:type="dxa"/>
            </w:tcMar>
            <w:vAlign w:val="center"/>
          </w:tcPr>
          <w:p>
            <w:pPr>
              <w:spacing w:after="0"/>
            </w:pPr>
            <w:r>
              <w:rPr>
                <w:rFonts w:ascii="Arial" w:hAnsi="Arial"/>
                <w:b/>
                <w:color w:val="FFFFFF"/>
                <w:sz w:val="16"/>
              </w:rPr>
              <w:t>Metric</w:t>
            </w:r>
          </w:p>
        </w:tc>
        <w:tc>
          <w:tcPr>
            <w:tcW w:type="dxa" w:w="6500"/>
            <w:shd w:fill="17191F"/>
            <w:tcMar>
              <w:top w:w="100" w:type="dxa"/>
              <w:start w:w="120" w:type="dxa"/>
              <w:bottom w:w="100" w:type="dxa"/>
              <w:end w:w="120" w:type="dxa"/>
            </w:tcMar>
            <w:vAlign w:val="center"/>
          </w:tcPr>
          <w:p>
            <w:pPr>
              <w:spacing w:after="0"/>
            </w:pPr>
            <w:r>
              <w:rPr>
                <w:rFonts w:ascii="Arial" w:hAnsi="Arial"/>
                <w:b/>
                <w:color w:val="FFFFFF"/>
                <w:sz w:val="16"/>
              </w:rPr>
              <w:t>Verified result</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Production scope</w:t>
            </w:r>
          </w:p>
        </w:tc>
        <w:tc>
          <w:tcPr>
            <w:tcW w:type="dxa" w:w="6500"/>
            <w:tcMar>
              <w:top w:w="85" w:type="dxa"/>
              <w:start w:w="120" w:type="dxa"/>
              <w:bottom w:w="85" w:type="dxa"/>
              <w:end w:w="120" w:type="dxa"/>
            </w:tcMar>
            <w:vAlign w:val="center"/>
          </w:tcPr>
          <w:p>
            <w:pPr>
              <w:spacing w:after="0"/>
            </w:pPr>
            <w:r>
              <w:rPr>
                <w:rFonts w:ascii="Arial" w:hAnsi="Arial"/>
                <w:color w:val="2A2D34"/>
                <w:sz w:val="15"/>
              </w:rPr>
              <w:t>11 Solidity files / 4,103 lines</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Compilation</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34 Solidity files compiled</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Chain 56</w:t>
            </w:r>
          </w:p>
        </w:tc>
        <w:tc>
          <w:tcPr>
            <w:tcW w:type="dxa" w:w="6500"/>
            <w:tcMar>
              <w:top w:w="85" w:type="dxa"/>
              <w:start w:w="120" w:type="dxa"/>
              <w:bottom w:w="85" w:type="dxa"/>
              <w:end w:w="120" w:type="dxa"/>
            </w:tcMar>
            <w:vAlign w:val="center"/>
          </w:tcPr>
          <w:p>
            <w:pPr>
              <w:spacing w:after="0"/>
            </w:pPr>
            <w:r>
              <w:rPr>
                <w:rFonts w:ascii="Arial" w:hAnsi="Arial"/>
                <w:color w:val="2A2D34"/>
                <w:sz w:val="15"/>
              </w:rPr>
              <w:t>245 passing / 1 intentional exclusions</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Chain 97</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1 passing / 0 excluded wrong-chain guard</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Coverage</w:t>
            </w:r>
          </w:p>
        </w:tc>
        <w:tc>
          <w:tcPr>
            <w:tcW w:type="dxa" w:w="6500"/>
            <w:tcMar>
              <w:top w:w="85" w:type="dxa"/>
              <w:start w:w="120" w:type="dxa"/>
              <w:bottom w:w="85" w:type="dxa"/>
              <w:end w:w="120" w:type="dxa"/>
            </w:tcMar>
            <w:vAlign w:val="center"/>
          </w:tcPr>
          <w:p>
            <w:pPr>
              <w:spacing w:after="0"/>
            </w:pPr>
            <w:r>
              <w:rPr>
                <w:rFonts w:ascii="Arial" w:hAnsi="Arial"/>
                <w:color w:val="2A2D34"/>
                <w:sz w:val="15"/>
              </w:rPr>
              <w:t>Not collected in the final frozen run</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Production npm audit</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0 known advisories</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Release posture</w:t>
            </w:r>
          </w:p>
        </w:tc>
        <w:tc>
          <w:tcPr>
            <w:tcW w:type="dxa" w:w="6500"/>
            <w:tcMar>
              <w:top w:w="85" w:type="dxa"/>
              <w:start w:w="120" w:type="dxa"/>
              <w:bottom w:w="85" w:type="dxa"/>
              <w:end w:w="120" w:type="dxa"/>
            </w:tcMar>
            <w:vAlign w:val="center"/>
          </w:tcPr>
          <w:p>
            <w:pPr>
              <w:spacing w:after="0"/>
            </w:pPr>
            <w:r>
              <w:rPr>
                <w:rFonts w:ascii="Arial" w:hAnsi="Arial"/>
                <w:color w:val="2A2D34"/>
                <w:sz w:val="15"/>
              </w:rPr>
              <w:t>NO OPEN FINDINGS IN CURRENT REGISTER / 0 blocker(s)</w:t>
            </w:r>
          </w:p>
        </w:tc>
      </w:tr>
    </w:tbl>
    <w:p>
      <w:r>
        <w:br w:type="page"/>
      </w:r>
    </w:p>
    <w:p>
      <w:pPr>
        <w:pStyle w:val="Kicker"/>
      </w:pPr>
      <w:r>
        <w:t>SUMMARY</w:t>
      </w:r>
    </w:p>
    <w:p>
      <w:pPr>
        <w:pStyle w:val="Heading1"/>
      </w:pPr>
      <w:r>
        <w:t>Vulnerability Summary</w:t>
      </w:r>
    </w:p>
    <w:p>
      <w:pPr>
        <w:spacing w:after="200" w:line="96" w:lineRule="auto"/>
      </w:pPr>
      <w:r>
        <w:rPr>
          <w:rFonts w:ascii="Arial" w:hAnsi="Arial"/>
          <w:color w:val="E03E5B"/>
          <w:sz w:val="12"/>
        </w:rPr>
        <w:t>━━━━━━━━━━━━━━━━━━━━━━━━━━━━━━━━━━━━━━━━━━━━━━━━━━━━━━━━━━━━</w:t>
      </w:r>
    </w:p>
    <w:p>
      <w:pPr>
        <w:keepLines/>
        <w:widowControl/>
      </w:pPr>
      <w:r>
        <w:t>Severity expresses potential impact before remediation. Status expresses the strongest evidence available for the current source. A source-level remediation status does not by itself establish live-production validation or continuing operational assurance.</w:t>
      </w:r>
    </w:p>
    <w:p>
      <w:pPr>
        <w:keepLines/>
        <w:widowControl/>
      </w:pPr>
      <w:r>
        <w:t>The current register contains 0 Critical, 0 High, 4 Medium, 1 Low and 4 Informational items. Each item has a dedicated page with the affected component, exploit condition, control change and current verification boundary.</w:t>
      </w:r>
    </w:p>
    <w:p>
      <w:pPr>
        <w:spacing w:before="80" w:after="100"/>
        <w:jc w:val="center"/>
      </w:pPr>
      <w:r>
        <w:drawing>
          <wp:inline xmlns:a="http://schemas.openxmlformats.org/drawingml/2006/main" xmlns:pic="http://schemas.openxmlformats.org/drawingml/2006/picture">
            <wp:extent cx="6263640" cy="3523298"/>
            <wp:docPr id="3" name="Picture 3"/>
            <wp:cNvGraphicFramePr>
              <a:graphicFrameLocks noChangeAspect="1"/>
            </wp:cNvGraphicFramePr>
            <a:graphic>
              <a:graphicData uri="http://schemas.openxmlformats.org/drawingml/2006/picture">
                <pic:pic>
                  <pic:nvPicPr>
                    <pic:cNvPr id="0" name="remediation-dashboard.png"/>
                    <pic:cNvPicPr/>
                  </pic:nvPicPr>
                  <pic:blipFill>
                    <a:blip r:embed="rId13"/>
                    <a:stretch>
                      <a:fillRect/>
                    </a:stretch>
                  </pic:blipFill>
                  <pic:spPr>
                    <a:xfrm>
                      <a:off x="0" y="0"/>
                      <a:ext cx="6263640" cy="3523298"/>
                    </a:xfrm>
                    <a:prstGeom prst="rect"/>
                  </pic:spPr>
                </pic:pic>
              </a:graphicData>
            </a:graphic>
          </wp:inline>
        </w:drawing>
      </w:r>
    </w:p>
    <w:p>
      <w:pPr>
        <w:spacing w:after="100"/>
        <w:jc w:val="center"/>
      </w:pPr>
      <w:r>
        <w:rPr>
          <w:i/>
          <w:color w:val="787C84"/>
          <w:sz w:val="14"/>
        </w:rPr>
        <w:t>Figure 2. Vulnerability Summary</w:t>
      </w:r>
    </w:p>
    <w:tbl>
      <w:tblPr>
        <w:tblW w:type="auto" w:w="0"/>
        <w:jc w:val="center"/>
        <w:tblLayout w:type="fixed"/>
        <w:tblLook w:firstColumn="1" w:firstRow="1" w:lastColumn="0" w:lastRow="0" w:noHBand="0" w:noVBand="1" w:val="04A0"/>
      </w:tblPr>
      <w:tblGrid>
        <w:gridCol w:w="3383"/>
        <w:gridCol w:w="3383"/>
        <w:gridCol w:w="3383"/>
      </w:tblGrid>
      <w:tr>
        <w:trPr>
          <w:tblHeader w:val="true"/>
        </w:trPr>
        <w:tc>
          <w:tcPr>
            <w:tcW w:type="dxa" w:w="2100"/>
            <w:shd w:fill="17191F"/>
            <w:tcMar>
              <w:top w:w="100" w:type="dxa"/>
              <w:start w:w="120" w:type="dxa"/>
              <w:bottom w:w="100" w:type="dxa"/>
              <w:end w:w="120" w:type="dxa"/>
            </w:tcMar>
            <w:vAlign w:val="center"/>
          </w:tcPr>
          <w:p>
            <w:pPr>
              <w:spacing w:after="0"/>
            </w:pPr>
            <w:r>
              <w:rPr>
                <w:rFonts w:ascii="Arial" w:hAnsi="Arial"/>
                <w:b/>
                <w:color w:val="FFFFFF"/>
                <w:sz w:val="16"/>
              </w:rPr>
              <w:t>Severity</w:t>
            </w:r>
          </w:p>
        </w:tc>
        <w:tc>
          <w:tcPr>
            <w:tcW w:type="dxa" w:w="1800"/>
            <w:shd w:fill="17191F"/>
            <w:tcMar>
              <w:top w:w="100" w:type="dxa"/>
              <w:start w:w="120" w:type="dxa"/>
              <w:bottom w:w="100" w:type="dxa"/>
              <w:end w:w="120" w:type="dxa"/>
            </w:tcMar>
            <w:vAlign w:val="center"/>
          </w:tcPr>
          <w:p>
            <w:pPr>
              <w:spacing w:after="0"/>
            </w:pPr>
            <w:r>
              <w:rPr>
                <w:rFonts w:ascii="Arial" w:hAnsi="Arial"/>
                <w:b/>
                <w:color w:val="FFFFFF"/>
                <w:sz w:val="16"/>
              </w:rPr>
              <w:t>Tracked</w:t>
            </w:r>
          </w:p>
        </w:tc>
        <w:tc>
          <w:tcPr>
            <w:tcW w:type="dxa" w:w="5100"/>
            <w:shd w:fill="17191F"/>
            <w:tcMar>
              <w:top w:w="100" w:type="dxa"/>
              <w:start w:w="120" w:type="dxa"/>
              <w:bottom w:w="100" w:type="dxa"/>
              <w:end w:w="120" w:type="dxa"/>
            </w:tcMar>
            <w:vAlign w:val="center"/>
          </w:tcPr>
          <w:p>
            <w:pPr>
              <w:spacing w:after="0"/>
            </w:pPr>
            <w:r>
              <w:rPr>
                <w:rFonts w:ascii="Arial" w:hAnsi="Arial"/>
                <w:b/>
                <w:color w:val="FFFFFF"/>
                <w:sz w:val="16"/>
              </w:rPr>
              <w:t>Current disposition</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Critical</w:t>
            </w:r>
          </w:p>
        </w:tc>
        <w:tc>
          <w:tcPr>
            <w:tcW w:type="dxa" w:w="1800"/>
            <w:tcMar>
              <w:top w:w="85" w:type="dxa"/>
              <w:start w:w="120" w:type="dxa"/>
              <w:bottom w:w="85" w:type="dxa"/>
              <w:end w:w="120" w:type="dxa"/>
            </w:tcMar>
            <w:vAlign w:val="center"/>
          </w:tcPr>
          <w:p>
            <w:pPr>
              <w:spacing w:after="0"/>
            </w:pPr>
            <w:r>
              <w:rPr>
                <w:rFonts w:ascii="Arial" w:hAnsi="Arial"/>
                <w:color w:val="2A2D34"/>
                <w:sz w:val="15"/>
              </w:rPr>
              <w:t>0</w:t>
            </w:r>
          </w:p>
        </w:tc>
        <w:tc>
          <w:tcPr>
            <w:tcW w:type="dxa" w:w="5100"/>
            <w:tcMar>
              <w:top w:w="85" w:type="dxa"/>
              <w:start w:w="120" w:type="dxa"/>
              <w:bottom w:w="85" w:type="dxa"/>
              <w:end w:w="120" w:type="dxa"/>
            </w:tcMar>
            <w:vAlign w:val="center"/>
          </w:tcPr>
          <w:p>
            <w:pPr>
              <w:spacing w:after="0"/>
            </w:pPr>
            <w:r>
              <w:rPr>
                <w:rFonts w:ascii="Arial" w:hAnsi="Arial"/>
                <w:color w:val="2A2D34"/>
                <w:sz w:val="15"/>
              </w:rPr>
              <w:t>Shared finding register</w:t>
            </w:r>
          </w:p>
        </w:tc>
      </w:tr>
      <w:tr>
        <w:tc>
          <w:tcPr>
            <w:tcW w:type="dxa" w:w="2100"/>
            <w:tcMar>
              <w:top w:w="85" w:type="dxa"/>
              <w:start w:w="120" w:type="dxa"/>
              <w:bottom w:w="85" w:type="dxa"/>
              <w:end w:w="120" w:type="dxa"/>
            </w:tcMar>
            <w:shd w:fill="F4F5F7"/>
            <w:vAlign w:val="center"/>
          </w:tcPr>
          <w:p>
            <w:pPr>
              <w:spacing w:after="0"/>
            </w:pPr>
            <w:r>
              <w:rPr>
                <w:rFonts w:ascii="Arial" w:hAnsi="Arial"/>
                <w:color w:val="2A2D34"/>
                <w:sz w:val="15"/>
              </w:rPr>
              <w:t>High</w:t>
            </w:r>
          </w:p>
        </w:tc>
        <w:tc>
          <w:tcPr>
            <w:tcW w:type="dxa" w:w="1800"/>
            <w:tcMar>
              <w:top w:w="85" w:type="dxa"/>
              <w:start w:w="120" w:type="dxa"/>
              <w:bottom w:w="85" w:type="dxa"/>
              <w:end w:w="120" w:type="dxa"/>
            </w:tcMar>
            <w:shd w:fill="F4F5F7"/>
            <w:vAlign w:val="center"/>
          </w:tcPr>
          <w:p>
            <w:pPr>
              <w:spacing w:after="0"/>
            </w:pPr>
            <w:r>
              <w:rPr>
                <w:rFonts w:ascii="Arial" w:hAnsi="Arial"/>
                <w:color w:val="2A2D34"/>
                <w:sz w:val="15"/>
              </w:rPr>
              <w:t>0</w:t>
            </w:r>
          </w:p>
        </w:tc>
        <w:tc>
          <w:tcPr>
            <w:tcW w:type="dxa" w:w="5100"/>
            <w:tcMar>
              <w:top w:w="85" w:type="dxa"/>
              <w:start w:w="120" w:type="dxa"/>
              <w:bottom w:w="85" w:type="dxa"/>
              <w:end w:w="120" w:type="dxa"/>
            </w:tcMar>
            <w:shd w:fill="F4F5F7"/>
            <w:vAlign w:val="center"/>
          </w:tcPr>
          <w:p>
            <w:pPr>
              <w:spacing w:after="0"/>
            </w:pPr>
            <w:r>
              <w:rPr>
                <w:rFonts w:ascii="Arial" w:hAnsi="Arial"/>
                <w:color w:val="2A2D34"/>
                <w:sz w:val="15"/>
              </w:rPr>
              <w:t>Shared finding register</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Medium</w:t>
            </w:r>
          </w:p>
        </w:tc>
        <w:tc>
          <w:tcPr>
            <w:tcW w:type="dxa" w:w="1800"/>
            <w:tcMar>
              <w:top w:w="85" w:type="dxa"/>
              <w:start w:w="120" w:type="dxa"/>
              <w:bottom w:w="85" w:type="dxa"/>
              <w:end w:w="120" w:type="dxa"/>
            </w:tcMar>
            <w:vAlign w:val="center"/>
          </w:tcPr>
          <w:p>
            <w:pPr>
              <w:spacing w:after="0"/>
            </w:pPr>
            <w:r>
              <w:rPr>
                <w:rFonts w:ascii="Arial" w:hAnsi="Arial"/>
                <w:color w:val="2A2D34"/>
                <w:sz w:val="15"/>
              </w:rPr>
              <w:t>4</w:t>
            </w:r>
          </w:p>
        </w:tc>
        <w:tc>
          <w:tcPr>
            <w:tcW w:type="dxa" w:w="5100"/>
            <w:tcMar>
              <w:top w:w="85" w:type="dxa"/>
              <w:start w:w="120" w:type="dxa"/>
              <w:bottom w:w="85" w:type="dxa"/>
              <w:end w:w="120" w:type="dxa"/>
            </w:tcMar>
            <w:vAlign w:val="center"/>
          </w:tcPr>
          <w:p>
            <w:pPr>
              <w:spacing w:after="0"/>
            </w:pPr>
            <w:r>
              <w:rPr>
                <w:rFonts w:ascii="Arial" w:hAnsi="Arial"/>
                <w:color w:val="2A2D34"/>
                <w:sz w:val="15"/>
              </w:rPr>
              <w:t>Shared finding register</w:t>
            </w:r>
          </w:p>
        </w:tc>
      </w:tr>
      <w:tr>
        <w:tc>
          <w:tcPr>
            <w:tcW w:type="dxa" w:w="2100"/>
            <w:tcMar>
              <w:top w:w="85" w:type="dxa"/>
              <w:start w:w="120" w:type="dxa"/>
              <w:bottom w:w="85" w:type="dxa"/>
              <w:end w:w="120" w:type="dxa"/>
            </w:tcMar>
            <w:shd w:fill="F4F5F7"/>
            <w:vAlign w:val="center"/>
          </w:tcPr>
          <w:p>
            <w:pPr>
              <w:spacing w:after="0"/>
            </w:pPr>
            <w:r>
              <w:rPr>
                <w:rFonts w:ascii="Arial" w:hAnsi="Arial"/>
                <w:color w:val="2A2D34"/>
                <w:sz w:val="15"/>
              </w:rPr>
              <w:t>Low</w:t>
            </w:r>
          </w:p>
        </w:tc>
        <w:tc>
          <w:tcPr>
            <w:tcW w:type="dxa" w:w="1800"/>
            <w:tcMar>
              <w:top w:w="85" w:type="dxa"/>
              <w:start w:w="120" w:type="dxa"/>
              <w:bottom w:w="85" w:type="dxa"/>
              <w:end w:w="120" w:type="dxa"/>
            </w:tcMar>
            <w:shd w:fill="F4F5F7"/>
            <w:vAlign w:val="center"/>
          </w:tcPr>
          <w:p>
            <w:pPr>
              <w:spacing w:after="0"/>
            </w:pPr>
            <w:r>
              <w:rPr>
                <w:rFonts w:ascii="Arial" w:hAnsi="Arial"/>
                <w:color w:val="2A2D34"/>
                <w:sz w:val="15"/>
              </w:rPr>
              <w:t>1</w:t>
            </w:r>
          </w:p>
        </w:tc>
        <w:tc>
          <w:tcPr>
            <w:tcW w:type="dxa" w:w="5100"/>
            <w:tcMar>
              <w:top w:w="85" w:type="dxa"/>
              <w:start w:w="120" w:type="dxa"/>
              <w:bottom w:w="85" w:type="dxa"/>
              <w:end w:w="120" w:type="dxa"/>
            </w:tcMar>
            <w:shd w:fill="F4F5F7"/>
            <w:vAlign w:val="center"/>
          </w:tcPr>
          <w:p>
            <w:pPr>
              <w:spacing w:after="0"/>
            </w:pPr>
            <w:r>
              <w:rPr>
                <w:rFonts w:ascii="Arial" w:hAnsi="Arial"/>
                <w:color w:val="2A2D34"/>
                <w:sz w:val="15"/>
              </w:rPr>
              <w:t>Shared finding register</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Informational</w:t>
            </w:r>
          </w:p>
        </w:tc>
        <w:tc>
          <w:tcPr>
            <w:tcW w:type="dxa" w:w="1800"/>
            <w:tcMar>
              <w:top w:w="85" w:type="dxa"/>
              <w:start w:w="120" w:type="dxa"/>
              <w:bottom w:w="85" w:type="dxa"/>
              <w:end w:w="120" w:type="dxa"/>
            </w:tcMar>
            <w:vAlign w:val="center"/>
          </w:tcPr>
          <w:p>
            <w:pPr>
              <w:spacing w:after="0"/>
            </w:pPr>
            <w:r>
              <w:rPr>
                <w:rFonts w:ascii="Arial" w:hAnsi="Arial"/>
                <w:color w:val="2A2D34"/>
                <w:sz w:val="15"/>
              </w:rPr>
              <w:t>4</w:t>
            </w:r>
          </w:p>
        </w:tc>
        <w:tc>
          <w:tcPr>
            <w:tcW w:type="dxa" w:w="5100"/>
            <w:tcMar>
              <w:top w:w="85" w:type="dxa"/>
              <w:start w:w="120" w:type="dxa"/>
              <w:bottom w:w="85" w:type="dxa"/>
              <w:end w:w="120" w:type="dxa"/>
            </w:tcMar>
            <w:vAlign w:val="center"/>
          </w:tcPr>
          <w:p>
            <w:pPr>
              <w:spacing w:after="0"/>
            </w:pPr>
            <w:r>
              <w:rPr>
                <w:rFonts w:ascii="Arial" w:hAnsi="Arial"/>
                <w:color w:val="2A2D34"/>
                <w:sz w:val="15"/>
              </w:rPr>
              <w:t>Shared finding register</w:t>
            </w:r>
          </w:p>
        </w:tc>
      </w:tr>
    </w:tbl>
    <w:p>
      <w:pPr>
        <w:spacing w:before="140" w:after="80"/>
      </w:pPr>
      <w:r>
        <w:rPr>
          <w:rFonts w:ascii="Arial" w:hAnsi="Arial"/>
          <w:b/>
          <w:color w:val="D73454"/>
          <w:sz w:val="16"/>
        </w:rPr>
        <w:t>SEVERITY, STATUS AND EVIDENCE SEMANTICS</w:t>
      </w:r>
    </w:p>
    <w:p>
      <w:pPr>
        <w:keepLines/>
        <w:widowControl/>
      </w:pPr>
      <w:r>
        <w:t>Severity records the plausible pre-control consequence, while status records only the evidence available for the frozen source. A local regression can support current-source remediation but cannot establish production configuration or continuing operational closure. The analysis therefore keeps historical severity visible, names the implemented control and separates source remediation from production revalidation.</w:t>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CRITICAL / HIGH</w:t>
            </w:r>
          </w:p>
          <w:p>
            <w:pPr>
              <w:spacing w:after="0"/>
            </w:pPr>
            <w:r>
              <w:rPr>
                <w:rFonts w:ascii="Arial" w:hAnsi="Arial"/>
                <w:color w:val="2A2D34"/>
                <w:sz w:val="14"/>
              </w:rPr>
              <w:t>0 / 0 tracked</w:t>
            </w:r>
          </w:p>
        </w:tc>
        <w:tc>
          <w:tcPr>
            <w:tcW w:type="dxa" w:w="2250"/>
            <w:tcMar>
              <w:top w:w="120" w:type="dxa"/>
              <w:start w:w="130" w:type="dxa"/>
              <w:bottom w:w="120" w:type="dxa"/>
              <w:end w:w="130" w:type="dxa"/>
            </w:tcMar>
            <w:shd w:fill="EAEDF2"/>
            <w:tcBorders>
              <w:top w:val="single" w:sz="22" w:color="E33F5E"/>
            </w:tcBorders>
          </w:tcPr>
          <w:p>
            <w:pPr>
              <w:spacing w:after="40"/>
            </w:pPr>
            <w:r>
              <w:rPr>
                <w:rFonts w:ascii="Arial" w:hAnsi="Arial"/>
                <w:b/>
                <w:color w:val="D73454"/>
                <w:sz w:val="14"/>
              </w:rPr>
              <w:t>MEDIUM</w:t>
            </w:r>
          </w:p>
          <w:p>
            <w:pPr>
              <w:spacing w:after="0"/>
            </w:pPr>
            <w:r>
              <w:rPr>
                <w:rFonts w:ascii="Arial" w:hAnsi="Arial"/>
                <w:color w:val="2A2D34"/>
                <w:sz w:val="14"/>
              </w:rPr>
              <w:t>4 tracked</w:t>
            </w:r>
          </w:p>
        </w:tc>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LOW</w:t>
            </w:r>
          </w:p>
          <w:p>
            <w:pPr>
              <w:spacing w:after="0"/>
            </w:pPr>
            <w:r>
              <w:rPr>
                <w:rFonts w:ascii="Arial" w:hAnsi="Arial"/>
                <w:color w:val="2A2D34"/>
                <w:sz w:val="14"/>
              </w:rPr>
              <w:t>1 tracked</w:t>
            </w:r>
          </w:p>
        </w:tc>
        <w:tc>
          <w:tcPr>
            <w:tcW w:type="dxa" w:w="2250"/>
            <w:tcMar>
              <w:top w:w="120" w:type="dxa"/>
              <w:start w:w="130" w:type="dxa"/>
              <w:bottom w:w="120" w:type="dxa"/>
              <w:end w:w="130" w:type="dxa"/>
            </w:tcMar>
            <w:shd w:fill="EAEDF2"/>
            <w:tcBorders>
              <w:top w:val="single" w:sz="22" w:color="17191F"/>
            </w:tcBorders>
          </w:tcPr>
          <w:p>
            <w:pPr>
              <w:spacing w:after="40"/>
            </w:pPr>
            <w:r>
              <w:rPr>
                <w:rFonts w:ascii="Arial" w:hAnsi="Arial"/>
                <w:b/>
                <w:color w:val="D73454"/>
                <w:sz w:val="14"/>
              </w:rPr>
              <w:t>INFORMATIONAL</w:t>
            </w:r>
          </w:p>
          <w:p>
            <w:pPr>
              <w:spacing w:after="0"/>
            </w:pPr>
            <w:r>
              <w:rPr>
                <w:rFonts w:ascii="Arial" w:hAnsi="Arial"/>
                <w:color w:val="2A2D34"/>
                <w:sz w:val="14"/>
              </w:rPr>
              <w:t>4 tracked</w:t>
            </w:r>
          </w:p>
        </w:tc>
      </w:tr>
    </w:tbl>
    <w:p>
      <w:r>
        <w:br w:type="page"/>
      </w:r>
    </w:p>
    <w:p>
      <w:pPr>
        <w:pStyle w:val="Kicker"/>
      </w:pPr>
      <w:r>
        <w:t>NAVIGATION</w:t>
      </w:r>
    </w:p>
    <w:p>
      <w:pPr>
        <w:pStyle w:val="Heading1"/>
      </w:pPr>
      <w:r>
        <w:t>Table of Contents</w:t>
      </w:r>
    </w:p>
    <w:p>
      <w:pPr>
        <w:spacing w:after="200" w:line="96" w:lineRule="auto"/>
      </w:pPr>
      <w:r>
        <w:rPr>
          <w:rFonts w:ascii="Arial" w:hAnsi="Arial"/>
          <w:color w:val="E03E5B"/>
          <w:sz w:val="12"/>
        </w:rPr>
        <w:t>━━━━━━━━━━━━━━━━━━━━━━━━━━━━━━━━━━━━━━━━━━━━━━━━━━━━━━━━━━━━</w:t>
      </w:r>
    </w:p>
    <w:tbl>
      <w:tblPr>
        <w:tblW w:type="auto" w:w="0"/>
        <w:jc w:val="center"/>
        <w:tblLayout w:type="fixed"/>
        <w:tblLook w:firstColumn="1" w:firstRow="1" w:lastColumn="0" w:lastRow="0" w:noHBand="0" w:noVBand="1" w:val="04A0"/>
      </w:tblPr>
      <w:tblGrid>
        <w:gridCol w:w="10148"/>
      </w:tblGrid>
      <w:tr>
        <w:tc>
          <w:tcPr>
            <w:tcW w:type="dxa" w:w="9000"/>
            <w:tcMar>
              <w:top w:w="160" w:type="dxa"/>
              <w:start w:w="180" w:type="dxa"/>
              <w:bottom w:w="160" w:type="dxa"/>
              <w:end w:w="180" w:type="dxa"/>
            </w:tcMar>
            <w:shd w:fill="EEF2F8"/>
            <w:tcBorders>
              <w:left w:val="single" w:sz="28" w:color="E33F5E"/>
            </w:tcBorders>
          </w:tcPr>
          <w:p>
            <w:pPr>
              <w:spacing w:after="0"/>
            </w:pPr>
            <w:r>
              <w:rPr>
                <w:rFonts w:ascii="Arial" w:hAnsi="Arial"/>
                <w:b/>
                <w:color w:val="2A2D34"/>
                <w:sz w:val="18"/>
              </w:rPr>
              <w:t>All page references are fixed to this 42-page issue.</w:t>
            </w:r>
          </w:p>
        </w:tc>
      </w:tr>
    </w:tbl>
    <w:p>
      <w:pPr>
        <w:spacing w:after="20"/>
      </w:pPr>
    </w:p>
    <w:p>
      <w:pPr>
        <w:keepLines/>
        <w:widowControl/>
      </w:pPr>
      <w:r>
        <w:t>The report is organized into executive summary, scope, methods, analysis notes, findings, verification, appendices and legal terms. AEGENT architecture, source evidence and finding status are presented in the sections where they support the assessment conclusion.</w:t>
      </w:r>
    </w:p>
    <w:tbl>
      <w:tblPr>
        <w:tblW w:type="auto" w:w="0"/>
        <w:jc w:val="center"/>
        <w:tblLayout w:type="fixed"/>
        <w:tblLook w:firstColumn="1" w:firstRow="1" w:lastColumn="0" w:lastRow="0" w:noHBand="0" w:noVBand="1" w:val="04A0"/>
      </w:tblPr>
      <w:tblGrid>
        <w:gridCol w:w="5074"/>
        <w:gridCol w:w="5074"/>
      </w:tblGrid>
      <w:tr>
        <w:trPr>
          <w:tblHeader w:val="true"/>
        </w:trPr>
        <w:tc>
          <w:tcPr>
            <w:tcW w:type="dxa" w:w="2500"/>
            <w:shd w:fill="17191F"/>
            <w:tcMar>
              <w:top w:w="100" w:type="dxa"/>
              <w:start w:w="120" w:type="dxa"/>
              <w:bottom w:w="100" w:type="dxa"/>
              <w:end w:w="120" w:type="dxa"/>
            </w:tcMar>
            <w:vAlign w:val="center"/>
          </w:tcPr>
          <w:p>
            <w:pPr>
              <w:spacing w:after="0"/>
            </w:pPr>
            <w:r>
              <w:rPr>
                <w:rFonts w:ascii="Arial" w:hAnsi="Arial"/>
                <w:b/>
                <w:color w:val="FFFFFF"/>
                <w:sz w:val="16"/>
              </w:rPr>
              <w:t>Section</w:t>
            </w:r>
          </w:p>
        </w:tc>
        <w:tc>
          <w:tcPr>
            <w:tcW w:type="dxa" w:w="6500"/>
            <w:shd w:fill="17191F"/>
            <w:tcMar>
              <w:top w:w="100" w:type="dxa"/>
              <w:start w:w="120" w:type="dxa"/>
              <w:bottom w:w="100" w:type="dxa"/>
              <w:end w:w="120" w:type="dxa"/>
            </w:tcMar>
            <w:vAlign w:val="center"/>
          </w:tcPr>
          <w:p>
            <w:pPr>
              <w:spacing w:after="0"/>
            </w:pPr>
            <w:r>
              <w:rPr>
                <w:rFonts w:ascii="Arial" w:hAnsi="Arial"/>
                <w:b/>
                <w:color w:val="FFFFFF"/>
                <w:sz w:val="16"/>
              </w:rPr>
              <w:t>Pages</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Summary</w:t>
            </w:r>
          </w:p>
        </w:tc>
        <w:tc>
          <w:tcPr>
            <w:tcW w:type="dxa" w:w="6500"/>
            <w:tcMar>
              <w:top w:w="85" w:type="dxa"/>
              <w:start w:w="120" w:type="dxa"/>
              <w:bottom w:w="85" w:type="dxa"/>
              <w:end w:w="120" w:type="dxa"/>
            </w:tcMar>
            <w:vAlign w:val="center"/>
          </w:tcPr>
          <w:p>
            <w:pPr>
              <w:spacing w:after="0"/>
            </w:pPr>
            <w:r>
              <w:rPr>
                <w:rFonts w:ascii="Arial" w:hAnsi="Arial"/>
                <w:color w:val="2A2D34"/>
                <w:sz w:val="15"/>
              </w:rPr>
              <w:t>2-4</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Codebase and Scope</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5-7</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Architecture and Trust Model</w:t>
            </w:r>
          </w:p>
        </w:tc>
        <w:tc>
          <w:tcPr>
            <w:tcW w:type="dxa" w:w="6500"/>
            <w:tcMar>
              <w:top w:w="85" w:type="dxa"/>
              <w:start w:w="120" w:type="dxa"/>
              <w:bottom w:w="85" w:type="dxa"/>
              <w:end w:w="120" w:type="dxa"/>
            </w:tcMar>
            <w:vAlign w:val="center"/>
          </w:tcPr>
          <w:p>
            <w:pPr>
              <w:spacing w:after="0"/>
            </w:pPr>
            <w:r>
              <w:rPr>
                <w:rFonts w:ascii="Arial" w:hAnsi="Arial"/>
                <w:color w:val="2A2D34"/>
                <w:sz w:val="15"/>
              </w:rPr>
              <w:t>8-17</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Findings</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18-27</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Verification and Operations</w:t>
            </w:r>
          </w:p>
        </w:tc>
        <w:tc>
          <w:tcPr>
            <w:tcW w:type="dxa" w:w="6500"/>
            <w:tcMar>
              <w:top w:w="85" w:type="dxa"/>
              <w:start w:w="120" w:type="dxa"/>
              <w:bottom w:w="85" w:type="dxa"/>
              <w:end w:w="120" w:type="dxa"/>
            </w:tcMar>
            <w:vAlign w:val="center"/>
          </w:tcPr>
          <w:p>
            <w:pPr>
              <w:spacing w:after="0"/>
            </w:pPr>
            <w:r>
              <w:rPr>
                <w:rFonts w:ascii="Arial" w:hAnsi="Arial"/>
                <w:color w:val="2A2D34"/>
                <w:sz w:val="15"/>
              </w:rPr>
              <w:t>28-39</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Conclusion and Disclaimer</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40-42</w:t>
            </w:r>
          </w:p>
        </w:tc>
      </w:tr>
    </w:tbl>
    <w:p>
      <w:pPr>
        <w:spacing w:before="140" w:after="80"/>
      </w:pPr>
      <w:r>
        <w:rPr>
          <w:rFonts w:ascii="Arial" w:hAnsi="Arial"/>
          <w:b/>
          <w:color w:val="D73454"/>
          <w:sz w:val="16"/>
        </w:rPr>
        <w:t>DOCUMENT CONTROL AND EVIDENCE IDENTITY</w:t>
      </w:r>
    </w:p>
    <w:p>
      <w:pPr>
        <w:keepLines/>
        <w:widowControl/>
      </w:pPr>
      <w:r>
        <w:t>CertiK conducted this point-in-time security assessment and issues this report for AEGENT. This issue is controlled by evidence run req223-20260731T134906328Z-c14331b422a13df5; scope/source cff85cbfc727272ccf234a69745299a4f73de007ee6ac7b6f9c6d6b9a31651e1; manifest ae20c397eec2941560d6048ec03746068d3bbf086de780e0cd2256d989c3b902; build 54dda9d4ac9d0e6ce83d2bc863ae05be30e3a71dd6a8faecb8aa31a02afd2d16; toolchain 89a6096feeea6b0fdc0f7ad564ccdd38e0e042382fd020a4c4d05a5c6ba910de; finding status b586fa2c5916ebe964d17a593d20038d40dc8c3959591f2633806c3c55a45117; triage 7b4943babf25f2c9ae78be34e2563022d4a120dc88eae5b366e20379b94e4bb1; and run summary 112057d3eaa5f2e1c6552fb673b9f0e807406a442af666d84eb50865aba3a011. Page numbers, source hashes and local verification results belong to one point-in-time package; replacing code, configuration, compiler inputs or deployment bindings requires a newly frozen run rather than an in-place edit.</w:t>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REPORT ISSUER</w:t>
            </w:r>
          </w:p>
          <w:p>
            <w:pPr>
              <w:spacing w:after="0"/>
            </w:pPr>
            <w:r>
              <w:rPr>
                <w:rFonts w:ascii="Arial" w:hAnsi="Arial"/>
                <w:color w:val="2A2D34"/>
                <w:sz w:val="14"/>
              </w:rPr>
              <w:t>CertiK</w:t>
            </w:r>
          </w:p>
        </w:tc>
        <w:tc>
          <w:tcPr>
            <w:tcW w:type="dxa" w:w="2250"/>
            <w:tcMar>
              <w:top w:w="120" w:type="dxa"/>
              <w:start w:w="130" w:type="dxa"/>
              <w:bottom w:w="120" w:type="dxa"/>
              <w:end w:w="130" w:type="dxa"/>
            </w:tcMar>
            <w:shd w:fill="EAEDF2"/>
            <w:tcBorders>
              <w:top w:val="single" w:sz="22" w:color="E33F5E"/>
            </w:tcBorders>
          </w:tcPr>
          <w:p>
            <w:pPr>
              <w:spacing w:after="40"/>
            </w:pPr>
            <w:r>
              <w:rPr>
                <w:rFonts w:ascii="Arial" w:hAnsi="Arial"/>
                <w:b/>
                <w:color w:val="D73454"/>
                <w:sz w:val="14"/>
              </w:rPr>
              <w:t>ASSESSED PROJECT</w:t>
            </w:r>
          </w:p>
          <w:p>
            <w:pPr>
              <w:spacing w:after="0"/>
            </w:pPr>
            <w:r>
              <w:rPr>
                <w:rFonts w:ascii="Arial" w:hAnsi="Arial"/>
                <w:color w:val="2A2D34"/>
                <w:sz w:val="14"/>
              </w:rPr>
              <w:t>AEGENT</w:t>
            </w:r>
          </w:p>
        </w:tc>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EVIDENCE CLASS</w:t>
            </w:r>
          </w:p>
          <w:p>
            <w:pPr>
              <w:spacing w:after="0"/>
            </w:pPr>
            <w:r>
              <w:rPr>
                <w:rFonts w:ascii="Arial" w:hAnsi="Arial"/>
                <w:color w:val="2A2D34"/>
                <w:sz w:val="14"/>
              </w:rPr>
              <w:t>Frozen source + local execution</w:t>
            </w:r>
          </w:p>
        </w:tc>
        <w:tc>
          <w:tcPr>
            <w:tcW w:type="dxa" w:w="2250"/>
            <w:tcMar>
              <w:top w:w="120" w:type="dxa"/>
              <w:start w:w="130" w:type="dxa"/>
              <w:bottom w:w="120" w:type="dxa"/>
              <w:end w:w="130" w:type="dxa"/>
            </w:tcMar>
            <w:shd w:fill="EAEDF2"/>
            <w:tcBorders>
              <w:top w:val="single" w:sz="22" w:color="17191F"/>
            </w:tcBorders>
          </w:tcPr>
          <w:p>
            <w:pPr>
              <w:spacing w:after="40"/>
            </w:pPr>
            <w:r>
              <w:rPr>
                <w:rFonts w:ascii="Arial" w:hAnsi="Arial"/>
                <w:b/>
                <w:color w:val="D73454"/>
                <w:sz w:val="14"/>
              </w:rPr>
              <w:t>PAGE SET</w:t>
            </w:r>
          </w:p>
          <w:p>
            <w:pPr>
              <w:spacing w:after="0"/>
            </w:pPr>
            <w:r>
              <w:rPr>
                <w:rFonts w:ascii="Arial" w:hAnsi="Arial"/>
                <w:color w:val="2A2D34"/>
                <w:sz w:val="14"/>
              </w:rPr>
              <w:t>42 full / 2 summary</w:t>
            </w:r>
          </w:p>
        </w:tc>
      </w:tr>
    </w:tbl>
    <w:p>
      <w:r>
        <w:br w:type="page"/>
      </w:r>
    </w:p>
    <w:p>
      <w:pPr>
        <w:pStyle w:val="Kicker"/>
      </w:pPr>
      <w:r>
        <w:t>CODEBASE</w:t>
      </w:r>
    </w:p>
    <w:p>
      <w:pPr>
        <w:pStyle w:val="Heading1"/>
      </w:pPr>
      <w:r>
        <w:t>Codebase Identity</w:t>
      </w:r>
    </w:p>
    <w:p>
      <w:pPr>
        <w:spacing w:after="200" w:line="96" w:lineRule="auto"/>
      </w:pPr>
      <w:r>
        <w:rPr>
          <w:rFonts w:ascii="Arial" w:hAnsi="Arial"/>
          <w:color w:val="E03E5B"/>
          <w:sz w:val="12"/>
        </w:rPr>
        <w:t>━━━━━━━━━━━━━━━━━━━━━━━━━━━━━━━━━━━━━━━━━━━━━━━━━━━━━━━━━━━━</w:t>
      </w:r>
    </w:p>
    <w:tbl>
      <w:tblPr>
        <w:tblW w:type="auto" w:w="0"/>
        <w:jc w:val="center"/>
        <w:tblLayout w:type="fixed"/>
        <w:tblLook w:firstColumn="1" w:firstRow="1" w:lastColumn="0" w:lastRow="0" w:noHBand="0" w:noVBand="1" w:val="04A0"/>
      </w:tblPr>
      <w:tblGrid>
        <w:gridCol w:w="10148"/>
      </w:tblGrid>
      <w:tr>
        <w:tc>
          <w:tcPr>
            <w:tcW w:type="dxa" w:w="9000"/>
            <w:tcMar>
              <w:top w:w="160" w:type="dxa"/>
              <w:start w:w="180" w:type="dxa"/>
              <w:bottom w:w="160" w:type="dxa"/>
              <w:end w:w="180" w:type="dxa"/>
            </w:tcMar>
            <w:shd w:fill="EEF2F8"/>
            <w:tcBorders>
              <w:left w:val="single" w:sz="28" w:color="E33F5E"/>
            </w:tcBorders>
          </w:tcPr>
          <w:p>
            <w:pPr>
              <w:spacing w:after="0"/>
            </w:pPr>
            <w:r>
              <w:rPr>
                <w:rFonts w:ascii="Arial" w:hAnsi="Arial"/>
                <w:b/>
                <w:color w:val="2A2D34"/>
                <w:sz w:val="18"/>
              </w:rPr>
              <w:t>Any source change after this issue changes at least one file hash and requires a new evidence run.</w:t>
            </w:r>
          </w:p>
        </w:tc>
      </w:tr>
    </w:tbl>
    <w:p>
      <w:pPr>
        <w:spacing w:after="20"/>
      </w:pPr>
    </w:p>
    <w:p>
      <w:pPr>
        <w:keepLines/>
        <w:widowControl/>
      </w:pPr>
      <w:r>
        <w:t>The controlling identity for this issue is the ordered set of 11 current production Solidity paths and their SHA-256 values. It is intentionally independent of a mutable branch name or an unverified deployment address.</w:t>
      </w:r>
    </w:p>
    <w:p>
      <w:pPr>
        <w:keepLines/>
        <w:widowControl/>
      </w:pPr>
      <w:r>
        <w:t>Scope root SHA-256: cff85cbfc727272ccf234a69745299a4f73de007ee6ac7b6f9c6d6b9a31651e1. The source register on pages 5 and 6 is the human-readable representation of the same code boundary.</w:t>
      </w:r>
    </w:p>
    <w:tbl>
      <w:tblPr>
        <w:tblW w:type="auto" w:w="0"/>
        <w:jc w:val="center"/>
        <w:tblLayout w:type="fixed"/>
        <w:tblLook w:firstColumn="1" w:firstRow="1" w:lastColumn="0" w:lastRow="0" w:noHBand="0" w:noVBand="1" w:val="04A0"/>
      </w:tblPr>
      <w:tblGrid>
        <w:gridCol w:w="5074"/>
        <w:gridCol w:w="5074"/>
      </w:tblGrid>
      <w:tr>
        <w:trPr>
          <w:tblHeader w:val="true"/>
        </w:trPr>
        <w:tc>
          <w:tcPr>
            <w:tcW w:type="dxa" w:w="2500"/>
            <w:shd w:fill="17191F"/>
            <w:tcMar>
              <w:top w:w="100" w:type="dxa"/>
              <w:start w:w="120" w:type="dxa"/>
              <w:bottom w:w="100" w:type="dxa"/>
              <w:end w:w="120" w:type="dxa"/>
            </w:tcMar>
            <w:vAlign w:val="center"/>
          </w:tcPr>
          <w:p>
            <w:pPr>
              <w:spacing w:after="0"/>
            </w:pPr>
            <w:r>
              <w:rPr>
                <w:rFonts w:ascii="Arial" w:hAnsi="Arial"/>
                <w:b/>
                <w:color w:val="FFFFFF"/>
                <w:sz w:val="16"/>
              </w:rPr>
              <w:t>Identity field</w:t>
            </w:r>
          </w:p>
        </w:tc>
        <w:tc>
          <w:tcPr>
            <w:tcW w:type="dxa" w:w="6500"/>
            <w:shd w:fill="17191F"/>
            <w:tcMar>
              <w:top w:w="100" w:type="dxa"/>
              <w:start w:w="120" w:type="dxa"/>
              <w:bottom w:w="100" w:type="dxa"/>
              <w:end w:w="120" w:type="dxa"/>
            </w:tcMar>
            <w:vAlign w:val="center"/>
          </w:tcPr>
          <w:p>
            <w:pPr>
              <w:spacing w:after="0"/>
            </w:pPr>
            <w:r>
              <w:rPr>
                <w:rFonts w:ascii="Arial" w:hAnsi="Arial"/>
                <w:b/>
                <w:color w:val="FFFFFF"/>
                <w:sz w:val="16"/>
              </w:rPr>
              <w:t>Value</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Core contracts</w:t>
            </w:r>
          </w:p>
        </w:tc>
        <w:tc>
          <w:tcPr>
            <w:tcW w:type="dxa" w:w="6500"/>
            <w:tcMar>
              <w:top w:w="85" w:type="dxa"/>
              <w:start w:w="120" w:type="dxa"/>
              <w:bottom w:w="85" w:type="dxa"/>
              <w:end w:w="120" w:type="dxa"/>
            </w:tcMar>
            <w:vAlign w:val="center"/>
          </w:tcPr>
          <w:p>
            <w:pPr>
              <w:spacing w:after="0"/>
            </w:pPr>
            <w:r>
              <w:rPr>
                <w:rFonts w:ascii="Arial" w:hAnsi="Arial"/>
                <w:color w:val="2A2D34"/>
                <w:sz w:val="15"/>
              </w:rPr>
              <w:t>5</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Production interfaces</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6</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Total Solidity lines</w:t>
            </w:r>
          </w:p>
        </w:tc>
        <w:tc>
          <w:tcPr>
            <w:tcW w:type="dxa" w:w="6500"/>
            <w:tcMar>
              <w:top w:w="85" w:type="dxa"/>
              <w:start w:w="120" w:type="dxa"/>
              <w:bottom w:w="85" w:type="dxa"/>
              <w:end w:w="120" w:type="dxa"/>
            </w:tcMar>
            <w:vAlign w:val="center"/>
          </w:tcPr>
          <w:p>
            <w:pPr>
              <w:spacing w:after="0"/>
            </w:pPr>
            <w:r>
              <w:rPr>
                <w:rFonts w:ascii="Arial" w:hAnsi="Arial"/>
                <w:color w:val="2A2D34"/>
                <w:sz w:val="15"/>
              </w:rPr>
              <w:t>4,103</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Target ecosystem</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BNB Smart Chain (chain 56)</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Solidity toolchain</w:t>
            </w:r>
          </w:p>
        </w:tc>
        <w:tc>
          <w:tcPr>
            <w:tcW w:type="dxa" w:w="6500"/>
            <w:tcMar>
              <w:top w:w="85" w:type="dxa"/>
              <w:start w:w="120" w:type="dxa"/>
              <w:bottom w:w="85" w:type="dxa"/>
              <w:end w:w="120" w:type="dxa"/>
            </w:tcMar>
            <w:vAlign w:val="center"/>
          </w:tcPr>
          <w:p>
            <w:pPr>
              <w:spacing w:after="0"/>
            </w:pPr>
            <w:r>
              <w:rPr>
                <w:rFonts w:ascii="Arial" w:hAnsi="Arial"/>
                <w:color w:val="2A2D34"/>
                <w:sz w:val="15"/>
              </w:rPr>
              <w:t>Hardhat 2.29.0 / Solidity build pipeline</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Primary library</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OpenZeppelin Contracts 5.1.0</w:t>
            </w:r>
          </w:p>
        </w:tc>
      </w:tr>
    </w:tbl>
    <w:p>
      <w:pPr>
        <w:spacing w:before="140" w:after="80"/>
      </w:pPr>
      <w:r>
        <w:rPr>
          <w:rFonts w:ascii="Arial" w:hAnsi="Arial"/>
          <w:b/>
          <w:color w:val="D73454"/>
          <w:sz w:val="16"/>
        </w:rPr>
        <w:t>IDENTITY DERIVATION CHAIN</w:t>
      </w:r>
    </w:p>
    <w:p>
      <w:pPr>
        <w:keepLines/>
        <w:widowControl/>
      </w:pPr>
      <w:r>
        <w:t>Each production path is normalized, read from the working source boundary, hashed independently and then included in an ordered aggregate. The manifest binds those source digests to compiler, test, coverage, static-analysis and dependency evidence. This prevents a passing result from being silently reused after a file is replaced, renamed or rebuilt from different inputs.</w:t>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PATH SET</w:t>
            </w:r>
          </w:p>
          <w:p>
            <w:pPr>
              <w:spacing w:after="0"/>
            </w:pPr>
            <w:r>
              <w:rPr>
                <w:rFonts w:ascii="Arial" w:hAnsi="Arial"/>
                <w:color w:val="2A2D34"/>
                <w:sz w:val="14"/>
              </w:rPr>
              <w:t>11 ordered files</w:t>
            </w:r>
          </w:p>
        </w:tc>
        <w:tc>
          <w:tcPr>
            <w:tcW w:type="dxa" w:w="2250"/>
            <w:tcMar>
              <w:top w:w="120" w:type="dxa"/>
              <w:start w:w="130" w:type="dxa"/>
              <w:bottom w:w="120" w:type="dxa"/>
              <w:end w:w="130" w:type="dxa"/>
            </w:tcMar>
            <w:shd w:fill="EAEDF2"/>
            <w:tcBorders>
              <w:top w:val="single" w:sz="22" w:color="E33F5E"/>
            </w:tcBorders>
          </w:tcPr>
          <w:p>
            <w:pPr>
              <w:spacing w:after="40"/>
            </w:pPr>
            <w:r>
              <w:rPr>
                <w:rFonts w:ascii="Arial" w:hAnsi="Arial"/>
                <w:b/>
                <w:color w:val="D73454"/>
                <w:sz w:val="14"/>
              </w:rPr>
              <w:t>PER-FILE PROOF</w:t>
            </w:r>
          </w:p>
          <w:p>
            <w:pPr>
              <w:spacing w:after="0"/>
            </w:pPr>
            <w:r>
              <w:rPr>
                <w:rFonts w:ascii="Arial" w:hAnsi="Arial"/>
                <w:color w:val="2A2D34"/>
                <w:sz w:val="14"/>
              </w:rPr>
              <w:t>SHA-256</w:t>
            </w:r>
          </w:p>
        </w:tc>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AGGREGATE PROOF</w:t>
            </w:r>
          </w:p>
          <w:p>
            <w:pPr>
              <w:spacing w:after="0"/>
            </w:pPr>
            <w:r>
              <w:rPr>
                <w:rFonts w:ascii="Arial" w:hAnsi="Arial"/>
                <w:color w:val="2A2D34"/>
                <w:sz w:val="14"/>
              </w:rPr>
              <w:t>Scope root</w:t>
            </w:r>
          </w:p>
        </w:tc>
        <w:tc>
          <w:tcPr>
            <w:tcW w:type="dxa" w:w="2250"/>
            <w:tcMar>
              <w:top w:w="120" w:type="dxa"/>
              <w:start w:w="130" w:type="dxa"/>
              <w:bottom w:w="120" w:type="dxa"/>
              <w:end w:w="130" w:type="dxa"/>
            </w:tcMar>
            <w:shd w:fill="EAEDF2"/>
            <w:tcBorders>
              <w:top w:val="single" w:sz="22" w:color="17191F"/>
            </w:tcBorders>
          </w:tcPr>
          <w:p>
            <w:pPr>
              <w:spacing w:after="40"/>
            </w:pPr>
            <w:r>
              <w:rPr>
                <w:rFonts w:ascii="Arial" w:hAnsi="Arial"/>
                <w:b/>
                <w:color w:val="D73454"/>
                <w:sz w:val="14"/>
              </w:rPr>
              <w:t>EXECUTION PROOF</w:t>
            </w:r>
          </w:p>
          <w:p>
            <w:pPr>
              <w:spacing w:after="0"/>
            </w:pPr>
            <w:r>
              <w:rPr>
                <w:rFonts w:ascii="Arial" w:hAnsi="Arial"/>
                <w:color w:val="2A2D34"/>
                <w:sz w:val="14"/>
              </w:rPr>
              <w:t>Frozen manifest</w:t>
            </w:r>
          </w:p>
        </w:tc>
      </w:tr>
    </w:tbl>
    <w:p>
      <w:r>
        <w:br w:type="page"/>
      </w:r>
    </w:p>
    <w:p>
      <w:pPr>
        <w:pStyle w:val="Kicker"/>
      </w:pPr>
      <w:r>
        <w:t>SCOPE</w:t>
      </w:r>
    </w:p>
    <w:p>
      <w:pPr>
        <w:pStyle w:val="Heading1"/>
      </w:pPr>
      <w:r>
        <w:t>Audit Scope - Core Contracts</w:t>
      </w:r>
    </w:p>
    <w:p>
      <w:pPr>
        <w:spacing w:after="200" w:line="96" w:lineRule="auto"/>
      </w:pPr>
      <w:r>
        <w:rPr>
          <w:rFonts w:ascii="Arial" w:hAnsi="Arial"/>
          <w:color w:val="E03E5B"/>
          <w:sz w:val="12"/>
        </w:rPr>
        <w:t>━━━━━━━━━━━━━━━━━━━━━━━━━━━━━━━━━━━━━━━━━━━━━━━━━━━━━━━━━━━━</w:t>
      </w:r>
    </w:p>
    <w:tbl>
      <w:tblPr>
        <w:tblW w:type="auto" w:w="0"/>
        <w:jc w:val="center"/>
        <w:tblLayout w:type="fixed"/>
        <w:tblLook w:firstColumn="1" w:firstRow="1" w:lastColumn="0" w:lastRow="0" w:noHBand="0" w:noVBand="1" w:val="04A0"/>
      </w:tblPr>
      <w:tblGrid>
        <w:gridCol w:w="10148"/>
      </w:tblGrid>
      <w:tr>
        <w:tc>
          <w:tcPr>
            <w:tcW w:type="dxa" w:w="9000"/>
            <w:tcMar>
              <w:top w:w="160" w:type="dxa"/>
              <w:start w:w="180" w:type="dxa"/>
              <w:bottom w:w="160" w:type="dxa"/>
              <w:end w:w="180" w:type="dxa"/>
            </w:tcMar>
            <w:shd w:fill="EEF2F8"/>
            <w:tcBorders>
              <w:left w:val="single" w:sz="28" w:color="E33F5E"/>
            </w:tcBorders>
          </w:tcPr>
          <w:p>
            <w:pPr>
              <w:spacing w:after="0"/>
            </w:pPr>
            <w:r>
              <w:rPr>
                <w:rFonts w:ascii="Arial" w:hAnsi="Arial"/>
                <w:b/>
                <w:color w:val="2A2D34"/>
                <w:sz w:val="18"/>
              </w:rPr>
              <w:t>Full SHA-256 values are reproduced in Appendix A; no deployed address is asserted.</w:t>
            </w:r>
          </w:p>
        </w:tc>
      </w:tr>
    </w:tbl>
    <w:p>
      <w:pPr>
        <w:spacing w:after="20"/>
      </w:pPr>
    </w:p>
    <w:p>
      <w:pPr>
        <w:keepLines/>
        <w:widowControl/>
      </w:pPr>
      <w:r>
        <w:t>Core scope covers the state machine, payment intake, reserve-backed redemption, proceeds custody and term-based staking. Generated artifacts, mocks, tests and deployment scripts support validation but are not counted as production Solidity scope.</w:t>
      </w:r>
    </w:p>
    <w:tbl>
      <w:tblPr>
        <w:tblW w:type="auto" w:w="0"/>
        <w:jc w:val="center"/>
        <w:tblLayout w:type="fixed"/>
        <w:tblLook w:firstColumn="1" w:firstRow="1" w:lastColumn="0" w:lastRow="0" w:noHBand="0" w:noVBand="1" w:val="04A0"/>
      </w:tblPr>
      <w:tblGrid>
        <w:gridCol w:w="3383"/>
        <w:gridCol w:w="3383"/>
        <w:gridCol w:w="3383"/>
      </w:tblGrid>
      <w:tr>
        <w:trPr>
          <w:tblHeader w:val="true"/>
        </w:trPr>
        <w:tc>
          <w:tcPr>
            <w:tcW w:type="dxa" w:w="2100"/>
            <w:shd w:fill="17191F"/>
            <w:tcMar>
              <w:top w:w="100" w:type="dxa"/>
              <w:start w:w="120" w:type="dxa"/>
              <w:bottom w:w="100" w:type="dxa"/>
              <w:end w:w="120" w:type="dxa"/>
            </w:tcMar>
            <w:vAlign w:val="center"/>
          </w:tcPr>
          <w:p>
            <w:pPr>
              <w:spacing w:after="0"/>
            </w:pPr>
            <w:r>
              <w:rPr>
                <w:rFonts w:ascii="Arial" w:hAnsi="Arial"/>
                <w:b/>
                <w:color w:val="FFFFFF"/>
                <w:sz w:val="16"/>
              </w:rPr>
              <w:t>Relative path</w:t>
            </w:r>
          </w:p>
        </w:tc>
        <w:tc>
          <w:tcPr>
            <w:tcW w:type="dxa" w:w="1800"/>
            <w:shd w:fill="17191F"/>
            <w:tcMar>
              <w:top w:w="100" w:type="dxa"/>
              <w:start w:w="120" w:type="dxa"/>
              <w:bottom w:w="100" w:type="dxa"/>
              <w:end w:w="120" w:type="dxa"/>
            </w:tcMar>
            <w:vAlign w:val="center"/>
          </w:tcPr>
          <w:p>
            <w:pPr>
              <w:spacing w:after="0"/>
            </w:pPr>
            <w:r>
              <w:rPr>
                <w:rFonts w:ascii="Arial" w:hAnsi="Arial"/>
                <w:b/>
                <w:color w:val="FFFFFF"/>
                <w:sz w:val="16"/>
              </w:rPr>
              <w:t>LOC</w:t>
            </w:r>
          </w:p>
        </w:tc>
        <w:tc>
          <w:tcPr>
            <w:tcW w:type="dxa" w:w="5100"/>
            <w:shd w:fill="17191F"/>
            <w:tcMar>
              <w:top w:w="100" w:type="dxa"/>
              <w:start w:w="120" w:type="dxa"/>
              <w:bottom w:w="100" w:type="dxa"/>
              <w:end w:w="120" w:type="dxa"/>
            </w:tcMar>
            <w:vAlign w:val="center"/>
          </w:tcPr>
          <w:p>
            <w:pPr>
              <w:spacing w:after="0"/>
            </w:pPr>
            <w:r>
              <w:rPr>
                <w:rFonts w:ascii="Arial" w:hAnsi="Arial"/>
                <w:b/>
                <w:color w:val="FFFFFF"/>
                <w:sz w:val="16"/>
              </w:rPr>
              <w:t>SHA-256 (prefix)</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contracts/AegentMarketRegistry.sol</w:t>
            </w:r>
          </w:p>
        </w:tc>
        <w:tc>
          <w:tcPr>
            <w:tcW w:type="dxa" w:w="1800"/>
            <w:tcMar>
              <w:top w:w="85" w:type="dxa"/>
              <w:start w:w="120" w:type="dxa"/>
              <w:bottom w:w="85" w:type="dxa"/>
              <w:end w:w="120" w:type="dxa"/>
            </w:tcMar>
            <w:vAlign w:val="center"/>
          </w:tcPr>
          <w:p>
            <w:pPr>
              <w:spacing w:after="0"/>
            </w:pPr>
            <w:r>
              <w:rPr>
                <w:rFonts w:ascii="Arial" w:hAnsi="Arial"/>
                <w:color w:val="2A2D34"/>
                <w:sz w:val="15"/>
              </w:rPr>
              <w:t>482</w:t>
            </w:r>
          </w:p>
        </w:tc>
        <w:tc>
          <w:tcPr>
            <w:tcW w:type="dxa" w:w="5100"/>
            <w:tcMar>
              <w:top w:w="85" w:type="dxa"/>
              <w:start w:w="120" w:type="dxa"/>
              <w:bottom w:w="85" w:type="dxa"/>
              <w:end w:w="120" w:type="dxa"/>
            </w:tcMar>
            <w:vAlign w:val="center"/>
          </w:tcPr>
          <w:p>
            <w:pPr>
              <w:spacing w:after="0"/>
            </w:pPr>
            <w:r>
              <w:rPr>
                <w:rFonts w:ascii="Arial" w:hAnsi="Arial"/>
                <w:color w:val="2A2D34"/>
                <w:sz w:val="15"/>
              </w:rPr>
              <w:t>d0f5e1e1414973c834…</w:t>
            </w:r>
          </w:p>
        </w:tc>
      </w:tr>
      <w:tr>
        <w:tc>
          <w:tcPr>
            <w:tcW w:type="dxa" w:w="2100"/>
            <w:tcMar>
              <w:top w:w="85" w:type="dxa"/>
              <w:start w:w="120" w:type="dxa"/>
              <w:bottom w:w="85" w:type="dxa"/>
              <w:end w:w="120" w:type="dxa"/>
            </w:tcMar>
            <w:shd w:fill="F4F5F7"/>
            <w:vAlign w:val="center"/>
          </w:tcPr>
          <w:p>
            <w:pPr>
              <w:spacing w:after="0"/>
            </w:pPr>
            <w:r>
              <w:rPr>
                <w:rFonts w:ascii="Arial" w:hAnsi="Arial"/>
                <w:color w:val="2A2D34"/>
                <w:sz w:val="15"/>
              </w:rPr>
              <w:t>contracts/AegentRedemptionV2.sol</w:t>
            </w:r>
          </w:p>
        </w:tc>
        <w:tc>
          <w:tcPr>
            <w:tcW w:type="dxa" w:w="1800"/>
            <w:tcMar>
              <w:top w:w="85" w:type="dxa"/>
              <w:start w:w="120" w:type="dxa"/>
              <w:bottom w:w="85" w:type="dxa"/>
              <w:end w:w="120" w:type="dxa"/>
            </w:tcMar>
            <w:shd w:fill="F4F5F7"/>
            <w:vAlign w:val="center"/>
          </w:tcPr>
          <w:p>
            <w:pPr>
              <w:spacing w:after="0"/>
            </w:pPr>
            <w:r>
              <w:rPr>
                <w:rFonts w:ascii="Arial" w:hAnsi="Arial"/>
                <w:color w:val="2A2D34"/>
                <w:sz w:val="15"/>
              </w:rPr>
              <w:t>1055</w:t>
            </w:r>
          </w:p>
        </w:tc>
        <w:tc>
          <w:tcPr>
            <w:tcW w:type="dxa" w:w="5100"/>
            <w:tcMar>
              <w:top w:w="85" w:type="dxa"/>
              <w:start w:w="120" w:type="dxa"/>
              <w:bottom w:w="85" w:type="dxa"/>
              <w:end w:w="120" w:type="dxa"/>
            </w:tcMar>
            <w:shd w:fill="F4F5F7"/>
            <w:vAlign w:val="center"/>
          </w:tcPr>
          <w:p>
            <w:pPr>
              <w:spacing w:after="0"/>
            </w:pPr>
            <w:r>
              <w:rPr>
                <w:rFonts w:ascii="Arial" w:hAnsi="Arial"/>
                <w:color w:val="2A2D34"/>
                <w:sz w:val="15"/>
              </w:rPr>
              <w:t>8c56661ffb368b80a5…</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contracts/AegentSaleProceedsVault.sol</w:t>
            </w:r>
          </w:p>
        </w:tc>
        <w:tc>
          <w:tcPr>
            <w:tcW w:type="dxa" w:w="1800"/>
            <w:tcMar>
              <w:top w:w="85" w:type="dxa"/>
              <w:start w:w="120" w:type="dxa"/>
              <w:bottom w:w="85" w:type="dxa"/>
              <w:end w:w="120" w:type="dxa"/>
            </w:tcMar>
            <w:vAlign w:val="center"/>
          </w:tcPr>
          <w:p>
            <w:pPr>
              <w:spacing w:after="0"/>
            </w:pPr>
            <w:r>
              <w:rPr>
                <w:rFonts w:ascii="Arial" w:hAnsi="Arial"/>
                <w:color w:val="2A2D34"/>
                <w:sz w:val="15"/>
              </w:rPr>
              <w:t>254</w:t>
            </w:r>
          </w:p>
        </w:tc>
        <w:tc>
          <w:tcPr>
            <w:tcW w:type="dxa" w:w="5100"/>
            <w:tcMar>
              <w:top w:w="85" w:type="dxa"/>
              <w:start w:w="120" w:type="dxa"/>
              <w:bottom w:w="85" w:type="dxa"/>
              <w:end w:w="120" w:type="dxa"/>
            </w:tcMar>
            <w:vAlign w:val="center"/>
          </w:tcPr>
          <w:p>
            <w:pPr>
              <w:spacing w:after="0"/>
            </w:pPr>
            <w:r>
              <w:rPr>
                <w:rFonts w:ascii="Arial" w:hAnsi="Arial"/>
                <w:color w:val="2A2D34"/>
                <w:sz w:val="15"/>
              </w:rPr>
              <w:t>f957dff5842c987fed…</w:t>
            </w:r>
          </w:p>
        </w:tc>
      </w:tr>
      <w:tr>
        <w:tc>
          <w:tcPr>
            <w:tcW w:type="dxa" w:w="2100"/>
            <w:tcMar>
              <w:top w:w="85" w:type="dxa"/>
              <w:start w:w="120" w:type="dxa"/>
              <w:bottom w:w="85" w:type="dxa"/>
              <w:end w:w="120" w:type="dxa"/>
            </w:tcMar>
            <w:shd w:fill="F4F5F7"/>
            <w:vAlign w:val="center"/>
          </w:tcPr>
          <w:p>
            <w:pPr>
              <w:spacing w:after="0"/>
            </w:pPr>
            <w:r>
              <w:rPr>
                <w:rFonts w:ascii="Arial" w:hAnsi="Arial"/>
                <w:color w:val="2A2D34"/>
                <w:sz w:val="15"/>
              </w:rPr>
              <w:t>contracts/AegentStakingV1.sol</w:t>
            </w:r>
          </w:p>
        </w:tc>
        <w:tc>
          <w:tcPr>
            <w:tcW w:type="dxa" w:w="1800"/>
            <w:tcMar>
              <w:top w:w="85" w:type="dxa"/>
              <w:start w:w="120" w:type="dxa"/>
              <w:bottom w:w="85" w:type="dxa"/>
              <w:end w:w="120" w:type="dxa"/>
            </w:tcMar>
            <w:shd w:fill="F4F5F7"/>
            <w:vAlign w:val="center"/>
          </w:tcPr>
          <w:p>
            <w:pPr>
              <w:spacing w:after="0"/>
            </w:pPr>
            <w:r>
              <w:rPr>
                <w:rFonts w:ascii="Arial" w:hAnsi="Arial"/>
                <w:color w:val="2A2D34"/>
                <w:sz w:val="15"/>
              </w:rPr>
              <w:t>1013</w:t>
            </w:r>
          </w:p>
        </w:tc>
        <w:tc>
          <w:tcPr>
            <w:tcW w:type="dxa" w:w="5100"/>
            <w:tcMar>
              <w:top w:w="85" w:type="dxa"/>
              <w:start w:w="120" w:type="dxa"/>
              <w:bottom w:w="85" w:type="dxa"/>
              <w:end w:w="120" w:type="dxa"/>
            </w:tcMar>
            <w:shd w:fill="F4F5F7"/>
            <w:vAlign w:val="center"/>
          </w:tcPr>
          <w:p>
            <w:pPr>
              <w:spacing w:after="0"/>
            </w:pPr>
            <w:r>
              <w:rPr>
                <w:rFonts w:ascii="Arial" w:hAnsi="Arial"/>
                <w:color w:val="2A2D34"/>
                <w:sz w:val="15"/>
              </w:rPr>
              <w:t>7f2da9495e739c90d8…</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contracts/AegentSwapV2.sol</w:t>
            </w:r>
          </w:p>
        </w:tc>
        <w:tc>
          <w:tcPr>
            <w:tcW w:type="dxa" w:w="1800"/>
            <w:tcMar>
              <w:top w:w="85" w:type="dxa"/>
              <w:start w:w="120" w:type="dxa"/>
              <w:bottom w:w="85" w:type="dxa"/>
              <w:end w:w="120" w:type="dxa"/>
            </w:tcMar>
            <w:vAlign w:val="center"/>
          </w:tcPr>
          <w:p>
            <w:pPr>
              <w:spacing w:after="0"/>
            </w:pPr>
            <w:r>
              <w:rPr>
                <w:rFonts w:ascii="Arial" w:hAnsi="Arial"/>
                <w:color w:val="2A2D34"/>
                <w:sz w:val="15"/>
              </w:rPr>
              <w:t>1151</w:t>
            </w:r>
          </w:p>
        </w:tc>
        <w:tc>
          <w:tcPr>
            <w:tcW w:type="dxa" w:w="5100"/>
            <w:tcMar>
              <w:top w:w="85" w:type="dxa"/>
              <w:start w:w="120" w:type="dxa"/>
              <w:bottom w:w="85" w:type="dxa"/>
              <w:end w:w="120" w:type="dxa"/>
            </w:tcMar>
            <w:vAlign w:val="center"/>
          </w:tcPr>
          <w:p>
            <w:pPr>
              <w:spacing w:after="0"/>
            </w:pPr>
            <w:r>
              <w:rPr>
                <w:rFonts w:ascii="Arial" w:hAnsi="Arial"/>
                <w:color w:val="2A2D34"/>
                <w:sz w:val="15"/>
              </w:rPr>
              <w:t>202b46ad78c0f10798…</w:t>
            </w:r>
          </w:p>
        </w:tc>
      </w:tr>
    </w:tbl>
    <w:p>
      <w:pPr>
        <w:spacing w:before="140" w:after="80"/>
      </w:pPr>
      <w:r>
        <w:rPr>
          <w:rFonts w:ascii="Arial" w:hAnsi="Arial"/>
          <w:b/>
          <w:color w:val="D73454"/>
          <w:sz w:val="16"/>
        </w:rPr>
        <w:t>CORE-SCOPE CLASSIFICATION</w:t>
      </w:r>
    </w:p>
    <w:p>
      <w:pPr>
        <w:keepLines/>
        <w:widowControl/>
      </w:pPr>
      <w:r>
        <w:t>The core contracts are grouped by authority and value role rather than file size alone. Registry code defines admissible state, Swap creates purchase liability, Redemption settles that liability, the Vault protects proceeds, and Staking creates separate inventory-backed entitlements. Cross-contract assumptions are assessed wherever one component reads another component before accepting value.</w:t>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CONTROL PLANE</w:t>
            </w:r>
          </w:p>
          <w:p>
            <w:pPr>
              <w:spacing w:after="0"/>
            </w:pPr>
            <w:r>
              <w:rPr>
                <w:rFonts w:ascii="Arial" w:hAnsi="Arial"/>
                <w:color w:val="2A2D34"/>
                <w:sz w:val="14"/>
              </w:rPr>
              <w:t>Market Registry</w:t>
            </w:r>
          </w:p>
        </w:tc>
        <w:tc>
          <w:tcPr>
            <w:tcW w:type="dxa" w:w="2250"/>
            <w:tcMar>
              <w:top w:w="120" w:type="dxa"/>
              <w:start w:w="130" w:type="dxa"/>
              <w:bottom w:w="120" w:type="dxa"/>
              <w:end w:w="130" w:type="dxa"/>
            </w:tcMar>
            <w:shd w:fill="EAEDF2"/>
            <w:tcBorders>
              <w:top w:val="single" w:sz="22" w:color="E33F5E"/>
            </w:tcBorders>
          </w:tcPr>
          <w:p>
            <w:pPr>
              <w:spacing w:after="40"/>
            </w:pPr>
            <w:r>
              <w:rPr>
                <w:rFonts w:ascii="Arial" w:hAnsi="Arial"/>
                <w:b/>
                <w:color w:val="D73454"/>
                <w:sz w:val="14"/>
              </w:rPr>
              <w:t>VALUE INTAKE</w:t>
            </w:r>
          </w:p>
          <w:p>
            <w:pPr>
              <w:spacing w:after="0"/>
            </w:pPr>
            <w:r>
              <w:rPr>
                <w:rFonts w:ascii="Arial" w:hAnsi="Arial"/>
                <w:color w:val="2A2D34"/>
                <w:sz w:val="14"/>
              </w:rPr>
              <w:t>Swap V2</w:t>
            </w:r>
          </w:p>
        </w:tc>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LIABILITY EXIT</w:t>
            </w:r>
          </w:p>
          <w:p>
            <w:pPr>
              <w:spacing w:after="0"/>
            </w:pPr>
            <w:r>
              <w:rPr>
                <w:rFonts w:ascii="Arial" w:hAnsi="Arial"/>
                <w:color w:val="2A2D34"/>
                <w:sz w:val="14"/>
              </w:rPr>
              <w:t>Redemption V2</w:t>
            </w:r>
          </w:p>
        </w:tc>
        <w:tc>
          <w:tcPr>
            <w:tcW w:type="dxa" w:w="2250"/>
            <w:tcMar>
              <w:top w:w="120" w:type="dxa"/>
              <w:start w:w="130" w:type="dxa"/>
              <w:bottom w:w="120" w:type="dxa"/>
              <w:end w:w="130" w:type="dxa"/>
            </w:tcMar>
            <w:shd w:fill="EAEDF2"/>
            <w:tcBorders>
              <w:top w:val="single" w:sz="22" w:color="17191F"/>
            </w:tcBorders>
          </w:tcPr>
          <w:p>
            <w:pPr>
              <w:spacing w:after="40"/>
            </w:pPr>
            <w:r>
              <w:rPr>
                <w:rFonts w:ascii="Arial" w:hAnsi="Arial"/>
                <w:b/>
                <w:color w:val="D73454"/>
                <w:sz w:val="14"/>
              </w:rPr>
              <w:t>CUSTODY / REWARD</w:t>
            </w:r>
          </w:p>
          <w:p>
            <w:pPr>
              <w:spacing w:after="0"/>
            </w:pPr>
            <w:r>
              <w:rPr>
                <w:rFonts w:ascii="Arial" w:hAnsi="Arial"/>
                <w:color w:val="2A2D34"/>
                <w:sz w:val="14"/>
              </w:rPr>
              <w:t>Vault + Staking</w:t>
            </w:r>
          </w:p>
        </w:tc>
      </w:tr>
    </w:tbl>
    <w:p>
      <w:r>
        <w:br w:type="page"/>
      </w:r>
    </w:p>
    <w:p>
      <w:pPr>
        <w:pStyle w:val="Kicker"/>
      </w:pPr>
      <w:r>
        <w:t>SCOPE</w:t>
      </w:r>
    </w:p>
    <w:p>
      <w:pPr>
        <w:pStyle w:val="Heading1"/>
      </w:pPr>
      <w:r>
        <w:t>Audit Scope - Interfaces and Exclusions</w:t>
      </w:r>
    </w:p>
    <w:p>
      <w:pPr>
        <w:spacing w:after="200" w:line="96" w:lineRule="auto"/>
      </w:pPr>
      <w:r>
        <w:rPr>
          <w:rFonts w:ascii="Arial" w:hAnsi="Arial"/>
          <w:color w:val="E03E5B"/>
          <w:sz w:val="12"/>
        </w:rPr>
        <w:t>━━━━━━━━━━━━━━━━━━━━━━━━━━━━━━━━━━━━━━━━━━━━━━━━━━━━━━━━━━━━</w:t>
      </w:r>
    </w:p>
    <w:p>
      <w:pPr>
        <w:keepLines/>
        <w:widowControl/>
      </w:pPr>
      <w:r>
        <w:t>Production interfaces define the expected registry, receipt, redemption, vault and oracle boundaries. External token implementations, Chainlink infrastructure, Safe, TimelockController, RPC service, frontends and exchange systems are treated as dependencies or operational environment.</w:t>
      </w:r>
    </w:p>
    <w:p>
      <w:pPr>
        <w:keepLines/>
        <w:widowControl/>
      </w:pPr>
      <w:r>
        <w:t>The assessment does not establish legal compliance, token price, exchange listing, reserve ownership outside the assessed contracts, private-key security, or behavior of external contracts beyond the interfaces exercised by tests.</w:t>
      </w:r>
    </w:p>
    <w:tbl>
      <w:tblPr>
        <w:tblW w:type="auto" w:w="0"/>
        <w:jc w:val="center"/>
        <w:tblLayout w:type="fixed"/>
        <w:tblLook w:firstColumn="1" w:firstRow="1" w:lastColumn="0" w:lastRow="0" w:noHBand="0" w:noVBand="1" w:val="04A0"/>
      </w:tblPr>
      <w:tblGrid>
        <w:gridCol w:w="3383"/>
        <w:gridCol w:w="3383"/>
        <w:gridCol w:w="3383"/>
      </w:tblGrid>
      <w:tr>
        <w:trPr>
          <w:tblHeader w:val="true"/>
        </w:trPr>
        <w:tc>
          <w:tcPr>
            <w:tcW w:type="dxa" w:w="2100"/>
            <w:shd w:fill="17191F"/>
            <w:tcMar>
              <w:top w:w="100" w:type="dxa"/>
              <w:start w:w="120" w:type="dxa"/>
              <w:bottom w:w="100" w:type="dxa"/>
              <w:end w:w="120" w:type="dxa"/>
            </w:tcMar>
            <w:vAlign w:val="center"/>
          </w:tcPr>
          <w:p>
            <w:pPr>
              <w:spacing w:after="0"/>
            </w:pPr>
            <w:r>
              <w:rPr>
                <w:rFonts w:ascii="Arial" w:hAnsi="Arial"/>
                <w:b/>
                <w:color w:val="FFFFFF"/>
                <w:sz w:val="16"/>
              </w:rPr>
              <w:t>Relative path</w:t>
            </w:r>
          </w:p>
        </w:tc>
        <w:tc>
          <w:tcPr>
            <w:tcW w:type="dxa" w:w="1800"/>
            <w:shd w:fill="17191F"/>
            <w:tcMar>
              <w:top w:w="100" w:type="dxa"/>
              <w:start w:w="120" w:type="dxa"/>
              <w:bottom w:w="100" w:type="dxa"/>
              <w:end w:w="120" w:type="dxa"/>
            </w:tcMar>
            <w:vAlign w:val="center"/>
          </w:tcPr>
          <w:p>
            <w:pPr>
              <w:spacing w:after="0"/>
            </w:pPr>
            <w:r>
              <w:rPr>
                <w:rFonts w:ascii="Arial" w:hAnsi="Arial"/>
                <w:b/>
                <w:color w:val="FFFFFF"/>
                <w:sz w:val="16"/>
              </w:rPr>
              <w:t>LOC</w:t>
            </w:r>
          </w:p>
        </w:tc>
        <w:tc>
          <w:tcPr>
            <w:tcW w:type="dxa" w:w="5100"/>
            <w:shd w:fill="17191F"/>
            <w:tcMar>
              <w:top w:w="100" w:type="dxa"/>
              <w:start w:w="120" w:type="dxa"/>
              <w:bottom w:w="100" w:type="dxa"/>
              <w:end w:w="120" w:type="dxa"/>
            </w:tcMar>
            <w:vAlign w:val="center"/>
          </w:tcPr>
          <w:p>
            <w:pPr>
              <w:spacing w:after="0"/>
            </w:pPr>
            <w:r>
              <w:rPr>
                <w:rFonts w:ascii="Arial" w:hAnsi="Arial"/>
                <w:b/>
                <w:color w:val="FFFFFF"/>
                <w:sz w:val="16"/>
              </w:rPr>
              <w:t>SHA-256 (prefix)</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contracts/interfaces/IAegentMarketRegistry.sol</w:t>
            </w:r>
          </w:p>
        </w:tc>
        <w:tc>
          <w:tcPr>
            <w:tcW w:type="dxa" w:w="1800"/>
            <w:tcMar>
              <w:top w:w="85" w:type="dxa"/>
              <w:start w:w="120" w:type="dxa"/>
              <w:bottom w:w="85" w:type="dxa"/>
              <w:end w:w="120" w:type="dxa"/>
            </w:tcMar>
            <w:vAlign w:val="center"/>
          </w:tcPr>
          <w:p>
            <w:pPr>
              <w:spacing w:after="0"/>
            </w:pPr>
            <w:r>
              <w:rPr>
                <w:rFonts w:ascii="Arial" w:hAnsi="Arial"/>
                <w:color w:val="2A2D34"/>
                <w:sz w:val="15"/>
              </w:rPr>
              <w:t>70</w:t>
            </w:r>
          </w:p>
        </w:tc>
        <w:tc>
          <w:tcPr>
            <w:tcW w:type="dxa" w:w="5100"/>
            <w:tcMar>
              <w:top w:w="85" w:type="dxa"/>
              <w:start w:w="120" w:type="dxa"/>
              <w:bottom w:w="85" w:type="dxa"/>
              <w:end w:w="120" w:type="dxa"/>
            </w:tcMar>
            <w:vAlign w:val="center"/>
          </w:tcPr>
          <w:p>
            <w:pPr>
              <w:spacing w:after="0"/>
            </w:pPr>
            <w:r>
              <w:rPr>
                <w:rFonts w:ascii="Arial" w:hAnsi="Arial"/>
                <w:color w:val="2A2D34"/>
                <w:sz w:val="15"/>
              </w:rPr>
              <w:t>20f86c9d6927aec67a…</w:t>
            </w:r>
          </w:p>
        </w:tc>
      </w:tr>
      <w:tr>
        <w:tc>
          <w:tcPr>
            <w:tcW w:type="dxa" w:w="2100"/>
            <w:tcMar>
              <w:top w:w="85" w:type="dxa"/>
              <w:start w:w="120" w:type="dxa"/>
              <w:bottom w:w="85" w:type="dxa"/>
              <w:end w:w="120" w:type="dxa"/>
            </w:tcMar>
            <w:shd w:fill="F4F5F7"/>
            <w:vAlign w:val="center"/>
          </w:tcPr>
          <w:p>
            <w:pPr>
              <w:spacing w:after="0"/>
            </w:pPr>
            <w:r>
              <w:rPr>
                <w:rFonts w:ascii="Arial" w:hAnsi="Arial"/>
                <w:color w:val="2A2D34"/>
                <w:sz w:val="15"/>
              </w:rPr>
              <w:t>contracts/interfaces/IAegentPurchaseReceiptSource.sol</w:t>
            </w:r>
          </w:p>
        </w:tc>
        <w:tc>
          <w:tcPr>
            <w:tcW w:type="dxa" w:w="1800"/>
            <w:tcMar>
              <w:top w:w="85" w:type="dxa"/>
              <w:start w:w="120" w:type="dxa"/>
              <w:bottom w:w="85" w:type="dxa"/>
              <w:end w:w="120" w:type="dxa"/>
            </w:tcMar>
            <w:shd w:fill="F4F5F7"/>
            <w:vAlign w:val="center"/>
          </w:tcPr>
          <w:p>
            <w:pPr>
              <w:spacing w:after="0"/>
            </w:pPr>
            <w:r>
              <w:rPr>
                <w:rFonts w:ascii="Arial" w:hAnsi="Arial"/>
                <w:color w:val="2A2D34"/>
                <w:sz w:val="15"/>
              </w:rPr>
              <w:t>28</w:t>
            </w:r>
          </w:p>
        </w:tc>
        <w:tc>
          <w:tcPr>
            <w:tcW w:type="dxa" w:w="5100"/>
            <w:tcMar>
              <w:top w:w="85" w:type="dxa"/>
              <w:start w:w="120" w:type="dxa"/>
              <w:bottom w:w="85" w:type="dxa"/>
              <w:end w:w="120" w:type="dxa"/>
            </w:tcMar>
            <w:shd w:fill="F4F5F7"/>
            <w:vAlign w:val="center"/>
          </w:tcPr>
          <w:p>
            <w:pPr>
              <w:spacing w:after="0"/>
            </w:pPr>
            <w:r>
              <w:rPr>
                <w:rFonts w:ascii="Arial" w:hAnsi="Arial"/>
                <w:color w:val="2A2D34"/>
                <w:sz w:val="15"/>
              </w:rPr>
              <w:t>52abd846c87734040b…</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contracts/interfaces/IAegentRedemptionEndpoint.sol</w:t>
            </w:r>
          </w:p>
        </w:tc>
        <w:tc>
          <w:tcPr>
            <w:tcW w:type="dxa" w:w="1800"/>
            <w:tcMar>
              <w:top w:w="85" w:type="dxa"/>
              <w:start w:w="120" w:type="dxa"/>
              <w:bottom w:w="85" w:type="dxa"/>
              <w:end w:w="120" w:type="dxa"/>
            </w:tcMar>
            <w:vAlign w:val="center"/>
          </w:tcPr>
          <w:p>
            <w:pPr>
              <w:spacing w:after="0"/>
            </w:pPr>
            <w:r>
              <w:rPr>
                <w:rFonts w:ascii="Arial" w:hAnsi="Arial"/>
                <w:color w:val="2A2D34"/>
                <w:sz w:val="15"/>
              </w:rPr>
              <w:t>13</w:t>
            </w:r>
          </w:p>
        </w:tc>
        <w:tc>
          <w:tcPr>
            <w:tcW w:type="dxa" w:w="5100"/>
            <w:tcMar>
              <w:top w:w="85" w:type="dxa"/>
              <w:start w:w="120" w:type="dxa"/>
              <w:bottom w:w="85" w:type="dxa"/>
              <w:end w:w="120" w:type="dxa"/>
            </w:tcMar>
            <w:vAlign w:val="center"/>
          </w:tcPr>
          <w:p>
            <w:pPr>
              <w:spacing w:after="0"/>
            </w:pPr>
            <w:r>
              <w:rPr>
                <w:rFonts w:ascii="Arial" w:hAnsi="Arial"/>
                <w:color w:val="2A2D34"/>
                <w:sz w:val="15"/>
              </w:rPr>
              <w:t>b78ac12e384e2c71bd…</w:t>
            </w:r>
          </w:p>
        </w:tc>
      </w:tr>
      <w:tr>
        <w:tc>
          <w:tcPr>
            <w:tcW w:type="dxa" w:w="2100"/>
            <w:tcMar>
              <w:top w:w="85" w:type="dxa"/>
              <w:start w:w="120" w:type="dxa"/>
              <w:bottom w:w="85" w:type="dxa"/>
              <w:end w:w="120" w:type="dxa"/>
            </w:tcMar>
            <w:shd w:fill="F4F5F7"/>
            <w:vAlign w:val="center"/>
          </w:tcPr>
          <w:p>
            <w:pPr>
              <w:spacing w:after="0"/>
            </w:pPr>
            <w:r>
              <w:rPr>
                <w:rFonts w:ascii="Arial" w:hAnsi="Arial"/>
                <w:color w:val="2A2D34"/>
                <w:sz w:val="15"/>
              </w:rPr>
              <w:t>contracts/interfaces/IAegentRegistryBound.sol</w:t>
            </w:r>
          </w:p>
        </w:tc>
        <w:tc>
          <w:tcPr>
            <w:tcW w:type="dxa" w:w="1800"/>
            <w:tcMar>
              <w:top w:w="85" w:type="dxa"/>
              <w:start w:w="120" w:type="dxa"/>
              <w:bottom w:w="85" w:type="dxa"/>
              <w:end w:w="120" w:type="dxa"/>
            </w:tcMar>
            <w:shd w:fill="F4F5F7"/>
            <w:vAlign w:val="center"/>
          </w:tcPr>
          <w:p>
            <w:pPr>
              <w:spacing w:after="0"/>
            </w:pPr>
            <w:r>
              <w:rPr>
                <w:rFonts w:ascii="Arial" w:hAnsi="Arial"/>
                <w:color w:val="2A2D34"/>
                <w:sz w:val="15"/>
              </w:rPr>
              <w:t>8</w:t>
            </w:r>
          </w:p>
        </w:tc>
        <w:tc>
          <w:tcPr>
            <w:tcW w:type="dxa" w:w="5100"/>
            <w:tcMar>
              <w:top w:w="85" w:type="dxa"/>
              <w:start w:w="120" w:type="dxa"/>
              <w:bottom w:w="85" w:type="dxa"/>
              <w:end w:w="120" w:type="dxa"/>
            </w:tcMar>
            <w:shd w:fill="F4F5F7"/>
            <w:vAlign w:val="center"/>
          </w:tcPr>
          <w:p>
            <w:pPr>
              <w:spacing w:after="0"/>
            </w:pPr>
            <w:r>
              <w:rPr>
                <w:rFonts w:ascii="Arial" w:hAnsi="Arial"/>
                <w:color w:val="2A2D34"/>
                <w:sz w:val="15"/>
              </w:rPr>
              <w:t>bf53c7606cbc5853a7…</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contracts/interfaces/IAegentSaleProceedsVault.sol</w:t>
            </w:r>
          </w:p>
        </w:tc>
        <w:tc>
          <w:tcPr>
            <w:tcW w:type="dxa" w:w="1800"/>
            <w:tcMar>
              <w:top w:w="85" w:type="dxa"/>
              <w:start w:w="120" w:type="dxa"/>
              <w:bottom w:w="85" w:type="dxa"/>
              <w:end w:w="120" w:type="dxa"/>
            </w:tcMar>
            <w:vAlign w:val="center"/>
          </w:tcPr>
          <w:p>
            <w:pPr>
              <w:spacing w:after="0"/>
            </w:pPr>
            <w:r>
              <w:rPr>
                <w:rFonts w:ascii="Arial" w:hAnsi="Arial"/>
                <w:color w:val="2A2D34"/>
                <w:sz w:val="15"/>
              </w:rPr>
              <w:t>12</w:t>
            </w:r>
          </w:p>
        </w:tc>
        <w:tc>
          <w:tcPr>
            <w:tcW w:type="dxa" w:w="5100"/>
            <w:tcMar>
              <w:top w:w="85" w:type="dxa"/>
              <w:start w:w="120" w:type="dxa"/>
              <w:bottom w:w="85" w:type="dxa"/>
              <w:end w:w="120" w:type="dxa"/>
            </w:tcMar>
            <w:vAlign w:val="center"/>
          </w:tcPr>
          <w:p>
            <w:pPr>
              <w:spacing w:after="0"/>
            </w:pPr>
            <w:r>
              <w:rPr>
                <w:rFonts w:ascii="Arial" w:hAnsi="Arial"/>
                <w:color w:val="2A2D34"/>
                <w:sz w:val="15"/>
              </w:rPr>
              <w:t>eb1005d38941efc7df…</w:t>
            </w:r>
          </w:p>
        </w:tc>
      </w:tr>
      <w:tr>
        <w:tc>
          <w:tcPr>
            <w:tcW w:type="dxa" w:w="2100"/>
            <w:tcMar>
              <w:top w:w="85" w:type="dxa"/>
              <w:start w:w="120" w:type="dxa"/>
              <w:bottom w:w="85" w:type="dxa"/>
              <w:end w:w="120" w:type="dxa"/>
            </w:tcMar>
            <w:shd w:fill="F4F5F7"/>
            <w:vAlign w:val="center"/>
          </w:tcPr>
          <w:p>
            <w:pPr>
              <w:spacing w:after="0"/>
            </w:pPr>
            <w:r>
              <w:rPr>
                <w:rFonts w:ascii="Arial" w:hAnsi="Arial"/>
                <w:color w:val="2A2D34"/>
                <w:sz w:val="15"/>
              </w:rPr>
              <w:t>contracts/interfaces/IAggregatorV3.sol</w:t>
            </w:r>
          </w:p>
        </w:tc>
        <w:tc>
          <w:tcPr>
            <w:tcW w:type="dxa" w:w="1800"/>
            <w:tcMar>
              <w:top w:w="85" w:type="dxa"/>
              <w:start w:w="120" w:type="dxa"/>
              <w:bottom w:w="85" w:type="dxa"/>
              <w:end w:w="120" w:type="dxa"/>
            </w:tcMar>
            <w:shd w:fill="F4F5F7"/>
            <w:vAlign w:val="center"/>
          </w:tcPr>
          <w:p>
            <w:pPr>
              <w:spacing w:after="0"/>
            </w:pPr>
            <w:r>
              <w:rPr>
                <w:rFonts w:ascii="Arial" w:hAnsi="Arial"/>
                <w:color w:val="2A2D34"/>
                <w:sz w:val="15"/>
              </w:rPr>
              <w:t>17</w:t>
            </w:r>
          </w:p>
        </w:tc>
        <w:tc>
          <w:tcPr>
            <w:tcW w:type="dxa" w:w="5100"/>
            <w:tcMar>
              <w:top w:w="85" w:type="dxa"/>
              <w:start w:w="120" w:type="dxa"/>
              <w:bottom w:w="85" w:type="dxa"/>
              <w:end w:w="120" w:type="dxa"/>
            </w:tcMar>
            <w:shd w:fill="F4F5F7"/>
            <w:vAlign w:val="center"/>
          </w:tcPr>
          <w:p>
            <w:pPr>
              <w:spacing w:after="0"/>
            </w:pPr>
            <w:r>
              <w:rPr>
                <w:rFonts w:ascii="Arial" w:hAnsi="Arial"/>
                <w:color w:val="2A2D34"/>
                <w:sz w:val="15"/>
              </w:rPr>
              <w:t>2dc0d69856b9cf3579…</w:t>
            </w:r>
          </w:p>
        </w:tc>
      </w:tr>
    </w:tbl>
    <w:p>
      <w:pPr>
        <w:spacing w:before="140" w:after="80"/>
      </w:pPr>
      <w:r>
        <w:rPr>
          <w:rFonts w:ascii="Arial" w:hAnsi="Arial"/>
          <w:b/>
          <w:color w:val="D73454"/>
          <w:sz w:val="16"/>
        </w:rPr>
        <w:t>BOUNDARY ANALYSIS METHOD</w:t>
      </w:r>
    </w:p>
    <w:p>
      <w:pPr>
        <w:keepLines/>
        <w:widowControl/>
      </w:pPr>
      <w:r>
        <w:t>Interfaces are assessed for trust direction, revert behavior, decimal assumptions and the effect of unreadable state. External implementations remain outside source scope, but the caller-side controls are in scope: SafeERC20 balance effects, oracle round validation, endpoint bindings and fail-closed handling. Exclusions therefore describe ownership of evidence, not permission to ignore dependency failure.</w:t>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ERC-20 BOUNDARY</w:t>
            </w:r>
          </w:p>
          <w:p>
            <w:pPr>
              <w:spacing w:after="0"/>
            </w:pPr>
            <w:r>
              <w:rPr>
                <w:rFonts w:ascii="Arial" w:hAnsi="Arial"/>
                <w:color w:val="2A2D34"/>
                <w:sz w:val="14"/>
              </w:rPr>
              <w:t>Transfer effect checked</w:t>
            </w:r>
          </w:p>
        </w:tc>
        <w:tc>
          <w:tcPr>
            <w:tcW w:type="dxa" w:w="2250"/>
            <w:tcMar>
              <w:top w:w="120" w:type="dxa"/>
              <w:start w:w="130" w:type="dxa"/>
              <w:bottom w:w="120" w:type="dxa"/>
              <w:end w:w="130" w:type="dxa"/>
            </w:tcMar>
            <w:shd w:fill="EAEDF2"/>
            <w:tcBorders>
              <w:top w:val="single" w:sz="22" w:color="E33F5E"/>
            </w:tcBorders>
          </w:tcPr>
          <w:p>
            <w:pPr>
              <w:spacing w:after="40"/>
            </w:pPr>
            <w:r>
              <w:rPr>
                <w:rFonts w:ascii="Arial" w:hAnsi="Arial"/>
                <w:b/>
                <w:color w:val="D73454"/>
                <w:sz w:val="14"/>
              </w:rPr>
              <w:t>ORACLE BOUNDARY</w:t>
            </w:r>
          </w:p>
          <w:p>
            <w:pPr>
              <w:spacing w:after="0"/>
            </w:pPr>
            <w:r>
              <w:rPr>
                <w:rFonts w:ascii="Arial" w:hAnsi="Arial"/>
                <w:color w:val="2A2D34"/>
                <w:sz w:val="14"/>
              </w:rPr>
              <w:t>Round health checked</w:t>
            </w:r>
          </w:p>
        </w:tc>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GOVERNANCE BOUNDARY</w:t>
            </w:r>
          </w:p>
          <w:p>
            <w:pPr>
              <w:spacing w:after="0"/>
            </w:pPr>
            <w:r>
              <w:rPr>
                <w:rFonts w:ascii="Arial" w:hAnsi="Arial"/>
                <w:color w:val="2A2D34"/>
                <w:sz w:val="14"/>
              </w:rPr>
              <w:t>Address + owner checked</w:t>
            </w:r>
          </w:p>
        </w:tc>
        <w:tc>
          <w:tcPr>
            <w:tcW w:type="dxa" w:w="2250"/>
            <w:tcMar>
              <w:top w:w="120" w:type="dxa"/>
              <w:start w:w="130" w:type="dxa"/>
              <w:bottom w:w="120" w:type="dxa"/>
              <w:end w:w="130" w:type="dxa"/>
            </w:tcMar>
            <w:shd w:fill="EAEDF2"/>
            <w:tcBorders>
              <w:top w:val="single" w:sz="22" w:color="17191F"/>
            </w:tcBorders>
          </w:tcPr>
          <w:p>
            <w:pPr>
              <w:spacing w:after="40"/>
            </w:pPr>
            <w:r>
              <w:rPr>
                <w:rFonts w:ascii="Arial" w:hAnsi="Arial"/>
                <w:b/>
                <w:color w:val="D73454"/>
                <w:sz w:val="14"/>
              </w:rPr>
              <w:t>RPC / UI</w:t>
            </w:r>
          </w:p>
          <w:p>
            <w:pPr>
              <w:spacing w:after="0"/>
            </w:pPr>
            <w:r>
              <w:rPr>
                <w:rFonts w:ascii="Arial" w:hAnsi="Arial"/>
                <w:color w:val="2A2D34"/>
                <w:sz w:val="14"/>
              </w:rPr>
              <w:t>No safety authority</w:t>
            </w:r>
          </w:p>
        </w:tc>
      </w:tr>
    </w:tbl>
    <w:p>
      <w:r>
        <w:br w:type="page"/>
      </w:r>
    </w:p>
    <w:p>
      <w:pPr>
        <w:pStyle w:val="Kicker"/>
      </w:pPr>
      <w:r>
        <w:t>METHODOLOGY</w:t>
      </w:r>
    </w:p>
    <w:p>
      <w:pPr>
        <w:pStyle w:val="Heading1"/>
      </w:pPr>
      <w:r>
        <w:t>Approach and Methods</w:t>
      </w:r>
    </w:p>
    <w:p>
      <w:pPr>
        <w:spacing w:after="200" w:line="96" w:lineRule="auto"/>
      </w:pPr>
      <w:r>
        <w:rPr>
          <w:rFonts w:ascii="Arial" w:hAnsi="Arial"/>
          <w:color w:val="E03E5B"/>
          <w:sz w:val="12"/>
        </w:rPr>
        <w:t>━━━━━━━━━━━━━━━━━━━━━━━━━━━━━━━━━━━━━━━━━━━━━━━━━━━━━━━━━━━━</w:t>
      </w:r>
    </w:p>
    <w:tbl>
      <w:tblPr>
        <w:tblW w:type="auto" w:w="0"/>
        <w:jc w:val="center"/>
        <w:tblLayout w:type="fixed"/>
        <w:tblLook w:firstColumn="1" w:firstRow="1" w:lastColumn="0" w:lastRow="0" w:noHBand="0" w:noVBand="1" w:val="04A0"/>
      </w:tblPr>
      <w:tblGrid>
        <w:gridCol w:w="10148"/>
      </w:tblGrid>
      <w:tr>
        <w:tc>
          <w:tcPr>
            <w:tcW w:type="dxa" w:w="9000"/>
            <w:tcMar>
              <w:top w:w="160" w:type="dxa"/>
              <w:start w:w="180" w:type="dxa"/>
              <w:bottom w:w="160" w:type="dxa"/>
              <w:end w:w="180" w:type="dxa"/>
            </w:tcMar>
            <w:shd w:fill="EEF2F8"/>
            <w:tcBorders>
              <w:left w:val="single" w:sz="28" w:color="E33F5E"/>
            </w:tcBorders>
          </w:tcPr>
          <w:p>
            <w:pPr>
              <w:spacing w:after="0"/>
            </w:pPr>
            <w:r>
              <w:rPr>
                <w:rFonts w:ascii="Arial" w:hAnsi="Arial"/>
                <w:b/>
                <w:color w:val="2A2D34"/>
                <w:sz w:val="18"/>
              </w:rPr>
              <w:t>Evidence strength is layered: source identity and repeatable local tests do not substitute for production deployment evidence or continuing operational revalidation.</w:t>
            </w:r>
          </w:p>
        </w:tc>
      </w:tr>
    </w:tbl>
    <w:p>
      <w:pPr>
        <w:spacing w:after="20"/>
      </w:pPr>
    </w:p>
    <w:p>
      <w:pPr>
        <w:keepLines/>
        <w:widowControl/>
      </w:pPr>
      <w:r>
        <w:t>Procedures combined source-level manual analysis, adversarial state-transition analysis, unit and integration tests, wrong-chain controls, static-analysis triage, dependency advisory analysis and release-gate inspection.</w:t>
      </w:r>
    </w:p>
    <w:p>
      <w:pPr>
        <w:keepLines/>
        <w:widowControl/>
      </w:pPr>
      <w:r>
        <w:t>Manual analysis emphasized value conservation, authorization, oracle data quality, time windows, state-machine transitions, quote/execution consistency, reentrancy, token-transfer edge cases, recovery paths and evidence quality.</w:t>
      </w:r>
    </w:p>
    <w:p>
      <w:pPr>
        <w:spacing w:before="80" w:after="100"/>
        <w:jc w:val="center"/>
      </w:pPr>
      <w:r>
        <w:drawing>
          <wp:inline xmlns:a="http://schemas.openxmlformats.org/drawingml/2006/main" xmlns:pic="http://schemas.openxmlformats.org/drawingml/2006/picture">
            <wp:extent cx="6263640" cy="3523298"/>
            <wp:docPr id="4" name="Picture 4"/>
            <wp:cNvGraphicFramePr>
              <a:graphicFrameLocks noChangeAspect="1"/>
            </wp:cNvGraphicFramePr>
            <a:graphic>
              <a:graphicData uri="http://schemas.openxmlformats.org/drawingml/2006/picture">
                <pic:pic>
                  <pic:nvPicPr>
                    <pic:cNvPr id="0" name="methodology-evidence-stack.png"/>
                    <pic:cNvPicPr/>
                  </pic:nvPicPr>
                  <pic:blipFill>
                    <a:blip r:embed="rId14"/>
                    <a:stretch>
                      <a:fillRect/>
                    </a:stretch>
                  </pic:blipFill>
                  <pic:spPr>
                    <a:xfrm>
                      <a:off x="0" y="0"/>
                      <a:ext cx="6263640" cy="3523298"/>
                    </a:xfrm>
                    <a:prstGeom prst="rect"/>
                  </pic:spPr>
                </pic:pic>
              </a:graphicData>
            </a:graphic>
          </wp:inline>
        </w:drawing>
      </w:r>
    </w:p>
    <w:p>
      <w:pPr>
        <w:spacing w:after="100"/>
        <w:jc w:val="center"/>
      </w:pPr>
      <w:r>
        <w:rPr>
          <w:i/>
          <w:color w:val="787C84"/>
          <w:sz w:val="14"/>
        </w:rPr>
        <w:t>Figure 7. Approach and Methods</w:t>
      </w:r>
    </w:p>
    <w:tbl>
      <w:tblPr>
        <w:tblW w:type="auto" w:w="0"/>
        <w:jc w:val="center"/>
        <w:tblLayout w:type="fixed"/>
        <w:tblLook w:firstColumn="1" w:firstRow="1" w:lastColumn="0" w:lastRow="0" w:noHBand="0" w:noVBand="1" w:val="04A0"/>
      </w:tblPr>
      <w:tblGrid>
        <w:gridCol w:w="3383"/>
        <w:gridCol w:w="3383"/>
        <w:gridCol w:w="3383"/>
      </w:tblGrid>
      <w:tr>
        <w:trPr>
          <w:tblHeader w:val="true"/>
        </w:trPr>
        <w:tc>
          <w:tcPr>
            <w:tcW w:type="dxa" w:w="2100"/>
            <w:shd w:fill="17191F"/>
            <w:tcMar>
              <w:top w:w="100" w:type="dxa"/>
              <w:start w:w="120" w:type="dxa"/>
              <w:bottom w:w="100" w:type="dxa"/>
              <w:end w:w="120" w:type="dxa"/>
            </w:tcMar>
            <w:vAlign w:val="center"/>
          </w:tcPr>
          <w:p>
            <w:pPr>
              <w:spacing w:after="0"/>
            </w:pPr>
            <w:r>
              <w:rPr>
                <w:rFonts w:ascii="Arial" w:hAnsi="Arial"/>
                <w:b/>
                <w:color w:val="FFFFFF"/>
                <w:sz w:val="16"/>
              </w:rPr>
              <w:t>Layer</w:t>
            </w:r>
          </w:p>
        </w:tc>
        <w:tc>
          <w:tcPr>
            <w:tcW w:type="dxa" w:w="1800"/>
            <w:shd w:fill="17191F"/>
            <w:tcMar>
              <w:top w:w="100" w:type="dxa"/>
              <w:start w:w="120" w:type="dxa"/>
              <w:bottom w:w="100" w:type="dxa"/>
              <w:end w:w="120" w:type="dxa"/>
            </w:tcMar>
            <w:vAlign w:val="center"/>
          </w:tcPr>
          <w:p>
            <w:pPr>
              <w:spacing w:after="0"/>
            </w:pPr>
            <w:r>
              <w:rPr>
                <w:rFonts w:ascii="Arial" w:hAnsi="Arial"/>
                <w:b/>
                <w:color w:val="FFFFFF"/>
                <w:sz w:val="16"/>
              </w:rPr>
              <w:t>Evidence</w:t>
            </w:r>
          </w:p>
        </w:tc>
        <w:tc>
          <w:tcPr>
            <w:tcW w:type="dxa" w:w="5100"/>
            <w:shd w:fill="17191F"/>
            <w:tcMar>
              <w:top w:w="100" w:type="dxa"/>
              <w:start w:w="120" w:type="dxa"/>
              <w:bottom w:w="100" w:type="dxa"/>
              <w:end w:w="120" w:type="dxa"/>
            </w:tcMar>
            <w:vAlign w:val="center"/>
          </w:tcPr>
          <w:p>
            <w:pPr>
              <w:spacing w:after="0"/>
            </w:pPr>
            <w:r>
              <w:rPr>
                <w:rFonts w:ascii="Arial" w:hAnsi="Arial"/>
                <w:b/>
                <w:color w:val="FFFFFF"/>
                <w:sz w:val="16"/>
              </w:rPr>
              <w:t>Assertion boundary</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Source identity</w:t>
            </w:r>
          </w:p>
        </w:tc>
        <w:tc>
          <w:tcPr>
            <w:tcW w:type="dxa" w:w="1800"/>
            <w:tcMar>
              <w:top w:w="85" w:type="dxa"/>
              <w:start w:w="120" w:type="dxa"/>
              <w:bottom w:w="85" w:type="dxa"/>
              <w:end w:w="120" w:type="dxa"/>
            </w:tcMar>
            <w:vAlign w:val="center"/>
          </w:tcPr>
          <w:p>
            <w:pPr>
              <w:spacing w:after="0"/>
            </w:pPr>
            <w:r>
              <w:rPr>
                <w:rFonts w:ascii="Arial" w:hAnsi="Arial"/>
                <w:color w:val="2A2D34"/>
                <w:sz w:val="15"/>
              </w:rPr>
              <w:t>scope root + manifest</w:t>
            </w:r>
          </w:p>
        </w:tc>
        <w:tc>
          <w:tcPr>
            <w:tcW w:type="dxa" w:w="5100"/>
            <w:tcMar>
              <w:top w:w="85" w:type="dxa"/>
              <w:start w:w="120" w:type="dxa"/>
              <w:bottom w:w="85" w:type="dxa"/>
              <w:end w:w="120" w:type="dxa"/>
            </w:tcMar>
            <w:vAlign w:val="center"/>
          </w:tcPr>
          <w:p>
            <w:pPr>
              <w:spacing w:after="0"/>
            </w:pPr>
            <w:r>
              <w:rPr>
                <w:rFonts w:ascii="Arial" w:hAnsi="Arial"/>
                <w:color w:val="2A2D34"/>
                <w:sz w:val="15"/>
              </w:rPr>
              <w:t>Repeatable current-source boundary</w:t>
            </w:r>
          </w:p>
        </w:tc>
      </w:tr>
      <w:tr>
        <w:tc>
          <w:tcPr>
            <w:tcW w:type="dxa" w:w="2100"/>
            <w:tcMar>
              <w:top w:w="85" w:type="dxa"/>
              <w:start w:w="120" w:type="dxa"/>
              <w:bottom w:w="85" w:type="dxa"/>
              <w:end w:w="120" w:type="dxa"/>
            </w:tcMar>
            <w:shd w:fill="F4F5F7"/>
            <w:vAlign w:val="center"/>
          </w:tcPr>
          <w:p>
            <w:pPr>
              <w:spacing w:after="0"/>
            </w:pPr>
            <w:r>
              <w:rPr>
                <w:rFonts w:ascii="Arial" w:hAnsi="Arial"/>
                <w:color w:val="2A2D34"/>
                <w:sz w:val="15"/>
              </w:rPr>
              <w:t>Execution evidence</w:t>
            </w:r>
          </w:p>
        </w:tc>
        <w:tc>
          <w:tcPr>
            <w:tcW w:type="dxa" w:w="1800"/>
            <w:tcMar>
              <w:top w:w="85" w:type="dxa"/>
              <w:start w:w="120" w:type="dxa"/>
              <w:bottom w:w="85" w:type="dxa"/>
              <w:end w:w="120" w:type="dxa"/>
            </w:tcMar>
            <w:shd w:fill="F4F5F7"/>
            <w:vAlign w:val="center"/>
          </w:tcPr>
          <w:p>
            <w:pPr>
              <w:spacing w:after="0"/>
            </w:pPr>
            <w:r>
              <w:rPr>
                <w:rFonts w:ascii="Arial" w:hAnsi="Arial"/>
                <w:color w:val="2A2D34"/>
                <w:sz w:val="15"/>
              </w:rPr>
              <w:t>245 passing / 1 intentional exclusions / 1 passing / 0 excluded</w:t>
            </w:r>
          </w:p>
        </w:tc>
        <w:tc>
          <w:tcPr>
            <w:tcW w:type="dxa" w:w="5100"/>
            <w:tcMar>
              <w:top w:w="85" w:type="dxa"/>
              <w:start w:w="120" w:type="dxa"/>
              <w:bottom w:w="85" w:type="dxa"/>
              <w:end w:w="120" w:type="dxa"/>
            </w:tcMar>
            <w:shd w:fill="F4F5F7"/>
            <w:vAlign w:val="center"/>
          </w:tcPr>
          <w:p>
            <w:pPr>
              <w:spacing w:after="0"/>
            </w:pPr>
            <w:r>
              <w:rPr>
                <w:rFonts w:ascii="Arial" w:hAnsi="Arial"/>
                <w:color w:val="2A2D34"/>
                <w:sz w:val="15"/>
              </w:rPr>
              <w:t>Local environment only</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Disposition evidence</w:t>
            </w:r>
          </w:p>
        </w:tc>
        <w:tc>
          <w:tcPr>
            <w:tcW w:type="dxa" w:w="1800"/>
            <w:tcMar>
              <w:top w:w="85" w:type="dxa"/>
              <w:start w:w="120" w:type="dxa"/>
              <w:bottom w:w="85" w:type="dxa"/>
              <w:end w:w="120" w:type="dxa"/>
            </w:tcMar>
            <w:vAlign w:val="center"/>
          </w:tcPr>
          <w:p>
            <w:pPr>
              <w:spacing w:after="0"/>
            </w:pPr>
            <w:r>
              <w:rPr>
                <w:rFonts w:ascii="Arial" w:hAnsi="Arial"/>
                <w:color w:val="2A2D34"/>
                <w:sz w:val="15"/>
              </w:rPr>
              <w:t>9/9 tracked findings verified</w:t>
            </w:r>
          </w:p>
        </w:tc>
        <w:tc>
          <w:tcPr>
            <w:tcW w:type="dxa" w:w="5100"/>
            <w:tcMar>
              <w:top w:w="85" w:type="dxa"/>
              <w:start w:w="120" w:type="dxa"/>
              <w:bottom w:w="85" w:type="dxa"/>
              <w:end w:w="120" w:type="dxa"/>
            </w:tcMar>
            <w:vAlign w:val="center"/>
          </w:tcPr>
          <w:p>
            <w:pPr>
              <w:spacing w:after="0"/>
            </w:pPr>
            <w:r>
              <w:rPr>
                <w:rFonts w:ascii="Arial" w:hAnsi="Arial"/>
                <w:color w:val="2A2D34"/>
                <w:sz w:val="15"/>
              </w:rPr>
              <w:t>Assessed against frozen scope</w:t>
            </w:r>
          </w:p>
        </w:tc>
      </w:tr>
    </w:tbl>
    <w:p>
      <w:pPr>
        <w:spacing w:before="140" w:after="80"/>
      </w:pPr>
      <w:r>
        <w:rPr>
          <w:rFonts w:ascii="Arial" w:hAnsi="Arial"/>
          <w:b/>
          <w:color w:val="D73454"/>
          <w:sz w:val="16"/>
        </w:rPr>
        <w:t>ANALYSIS PROCEDURE AND EVIDENCE HIERARCHY</w:t>
      </w:r>
    </w:p>
    <w:p>
      <w:pPr>
        <w:keepLines/>
        <w:widowControl/>
      </w:pPr>
      <w:r>
        <w:t>Manual analysis starts from asset, authority and state-transition maps, then traces user and privileged paths through the exact source boundary. Targeted tests reproduce candidate failures, integration tests exercise multi-contract value movement, and static-analysis records are reconciled against code context. Results are promoted only to the evidence level actually demonstrated; live deployment and continuing production verification remain separate.</w:t>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MODEL</w:t>
            </w:r>
          </w:p>
          <w:p>
            <w:pPr>
              <w:spacing w:after="0"/>
            </w:pPr>
            <w:r>
              <w:rPr>
                <w:rFonts w:ascii="Arial" w:hAnsi="Arial"/>
                <w:color w:val="2A2D34"/>
                <w:sz w:val="14"/>
              </w:rPr>
              <w:t>Assets, actors and states</w:t>
            </w:r>
          </w:p>
        </w:tc>
        <w:tc>
          <w:tcPr>
            <w:tcW w:type="dxa" w:w="2250"/>
            <w:tcMar>
              <w:top w:w="120" w:type="dxa"/>
              <w:start w:w="130" w:type="dxa"/>
              <w:bottom w:w="120" w:type="dxa"/>
              <w:end w:w="130" w:type="dxa"/>
            </w:tcMar>
            <w:shd w:fill="EAEDF2"/>
            <w:tcBorders>
              <w:top w:val="single" w:sz="22" w:color="E33F5E"/>
            </w:tcBorders>
          </w:tcPr>
          <w:p>
            <w:pPr>
              <w:spacing w:after="40"/>
            </w:pPr>
            <w:r>
              <w:rPr>
                <w:rFonts w:ascii="Arial" w:hAnsi="Arial"/>
                <w:b/>
                <w:color w:val="D73454"/>
                <w:sz w:val="14"/>
              </w:rPr>
              <w:t>CHALLENGE</w:t>
            </w:r>
          </w:p>
          <w:p>
            <w:pPr>
              <w:spacing w:after="0"/>
            </w:pPr>
            <w:r>
              <w:rPr>
                <w:rFonts w:ascii="Arial" w:hAnsi="Arial"/>
                <w:color w:val="2A2D34"/>
                <w:sz w:val="14"/>
              </w:rPr>
              <w:t>Adversarial transition analysis</w:t>
            </w:r>
          </w:p>
        </w:tc>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EXECUTE</w:t>
            </w:r>
          </w:p>
          <w:p>
            <w:pPr>
              <w:spacing w:after="0"/>
            </w:pPr>
            <w:r>
              <w:rPr>
                <w:rFonts w:ascii="Arial" w:hAnsi="Arial"/>
                <w:color w:val="2A2D34"/>
                <w:sz w:val="14"/>
              </w:rPr>
              <w:t>Targeted plus integration tests</w:t>
            </w:r>
          </w:p>
        </w:tc>
        <w:tc>
          <w:tcPr>
            <w:tcW w:type="dxa" w:w="2250"/>
            <w:tcMar>
              <w:top w:w="120" w:type="dxa"/>
              <w:start w:w="130" w:type="dxa"/>
              <w:bottom w:w="120" w:type="dxa"/>
              <w:end w:w="130" w:type="dxa"/>
            </w:tcMar>
            <w:shd w:fill="EAEDF2"/>
            <w:tcBorders>
              <w:top w:val="single" w:sz="22" w:color="17191F"/>
            </w:tcBorders>
          </w:tcPr>
          <w:p>
            <w:pPr>
              <w:spacing w:after="40"/>
            </w:pPr>
            <w:r>
              <w:rPr>
                <w:rFonts w:ascii="Arial" w:hAnsi="Arial"/>
                <w:b/>
                <w:color w:val="D73454"/>
                <w:sz w:val="14"/>
              </w:rPr>
              <w:t>BOUND</w:t>
            </w:r>
          </w:p>
          <w:p>
            <w:pPr>
              <w:spacing w:after="0"/>
            </w:pPr>
            <w:r>
              <w:rPr>
                <w:rFonts w:ascii="Arial" w:hAnsi="Arial"/>
                <w:color w:val="2A2D34"/>
                <w:sz w:val="14"/>
              </w:rPr>
              <w:t>State only proven evidence</w:t>
            </w:r>
          </w:p>
        </w:tc>
      </w:tr>
    </w:tbl>
    <w:p>
      <w:r>
        <w:br w:type="page"/>
      </w:r>
    </w:p>
    <w:p>
      <w:pPr>
        <w:pStyle w:val="Kicker"/>
      </w:pPr>
      <w:r>
        <w:t>ANALYSIS NOTES</w:t>
      </w:r>
    </w:p>
    <w:p>
      <w:pPr>
        <w:pStyle w:val="Heading1"/>
      </w:pPr>
      <w:r>
        <w:t>System Architecture</w:t>
      </w:r>
    </w:p>
    <w:p>
      <w:pPr>
        <w:spacing w:after="200" w:line="96" w:lineRule="auto"/>
      </w:pPr>
      <w:r>
        <w:rPr>
          <w:rFonts w:ascii="Arial" w:hAnsi="Arial"/>
          <w:color w:val="E03E5B"/>
          <w:sz w:val="12"/>
        </w:rPr>
        <w:t>━━━━━━━━━━━━━━━━━━━━━━━━━━━━━━━━━━━━━━━━━━━━━━━━━━━━━━━━━━━━</w:t>
      </w:r>
    </w:p>
    <w:tbl>
      <w:tblPr>
        <w:tblW w:type="auto" w:w="0"/>
        <w:jc w:val="center"/>
        <w:tblLayout w:type="fixed"/>
        <w:tblLook w:firstColumn="1" w:firstRow="1" w:lastColumn="0" w:lastRow="0" w:noHBand="0" w:noVBand="1" w:val="04A0"/>
      </w:tblPr>
      <w:tblGrid>
        <w:gridCol w:w="10148"/>
      </w:tblGrid>
      <w:tr>
        <w:tc>
          <w:tcPr>
            <w:tcW w:type="dxa" w:w="9000"/>
            <w:tcMar>
              <w:top w:w="160" w:type="dxa"/>
              <w:start w:w="180" w:type="dxa"/>
              <w:bottom w:w="160" w:type="dxa"/>
              <w:end w:w="180" w:type="dxa"/>
            </w:tcMar>
            <w:shd w:fill="EEF2F8"/>
            <w:tcBorders>
              <w:left w:val="single" w:sz="28" w:color="E33F5E"/>
            </w:tcBorders>
          </w:tcPr>
          <w:p>
            <w:pPr>
              <w:spacing w:after="0"/>
            </w:pPr>
            <w:r>
              <w:rPr>
                <w:rFonts w:ascii="Arial" w:hAnsi="Arial"/>
                <w:b/>
                <w:color w:val="2A2D34"/>
                <w:sz w:val="18"/>
              </w:rPr>
              <w:t>The diagram reflects the current source, not a claimed live deployment.</w:t>
            </w:r>
          </w:p>
        </w:tc>
      </w:tr>
    </w:tbl>
    <w:p>
      <w:pPr>
        <w:spacing w:after="20"/>
      </w:pPr>
    </w:p>
    <w:p>
      <w:pPr>
        <w:keepLines/>
        <w:widowControl/>
      </w:pPr>
      <w:r>
        <w:t>The registry is the control-plane source of market phase, endpoints and persistent oracle-breaker state. Swap V2 accepts BNB, USDT or USDC only after registry, oracle, inventory, min-out and reserve checks. Redemption V2 carries cost-basis liability and post-sale claim state. Staking V1 creates fixed AGNT entitlement after bounded oracle valuation.</w:t>
      </w:r>
    </w:p>
    <w:p>
      <w:pPr>
        <w:keepLines/>
        <w:widowControl/>
      </w:pPr>
      <w:r>
        <w:t>The Sale Proceeds Vault isolates release and recovery logic from purchase execution. All value-moving contracts use OpenZeppelin SafeERC20 and ReentrancyGuard where external transfers occur.</w:t>
      </w:r>
    </w:p>
    <w:p>
      <w:pPr>
        <w:spacing w:before="80" w:after="100"/>
        <w:jc w:val="center"/>
      </w:pPr>
      <w:r>
        <w:drawing>
          <wp:inline xmlns:a="http://schemas.openxmlformats.org/drawingml/2006/main" xmlns:pic="http://schemas.openxmlformats.org/drawingml/2006/picture">
            <wp:extent cx="6263640" cy="3523298"/>
            <wp:docPr id="5" name="Picture 5"/>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6263640" cy="3523298"/>
                    </a:xfrm>
                    <a:prstGeom prst="rect"/>
                  </pic:spPr>
                </pic:pic>
              </a:graphicData>
            </a:graphic>
          </wp:inline>
        </w:drawing>
      </w:r>
    </w:p>
    <w:p>
      <w:pPr>
        <w:spacing w:after="100"/>
        <w:jc w:val="center"/>
      </w:pPr>
      <w:r>
        <w:rPr>
          <w:i/>
          <w:color w:val="787C84"/>
          <w:sz w:val="14"/>
        </w:rPr>
        <w:t>Figure 8. System Architecture</w:t>
      </w:r>
    </w:p>
    <w:tbl>
      <w:tblPr>
        <w:tblW w:type="auto" w:w="0"/>
        <w:jc w:val="center"/>
        <w:tblLayout w:type="fixed"/>
        <w:tblLook w:firstColumn="1" w:firstRow="1" w:lastColumn="0" w:lastRow="0" w:noHBand="0" w:noVBand="1" w:val="04A0"/>
      </w:tblPr>
      <w:tblGrid>
        <w:gridCol w:w="5074"/>
        <w:gridCol w:w="5074"/>
      </w:tblGrid>
      <w:tr>
        <w:trPr>
          <w:tblHeader w:val="true"/>
        </w:trPr>
        <w:tc>
          <w:tcPr>
            <w:tcW w:type="dxa" w:w="2500"/>
            <w:shd w:fill="17191F"/>
            <w:tcMar>
              <w:top w:w="100" w:type="dxa"/>
              <w:start w:w="120" w:type="dxa"/>
              <w:bottom w:w="100" w:type="dxa"/>
              <w:end w:w="120" w:type="dxa"/>
            </w:tcMar>
            <w:vAlign w:val="center"/>
          </w:tcPr>
          <w:p>
            <w:pPr>
              <w:spacing w:after="0"/>
            </w:pPr>
            <w:r>
              <w:rPr>
                <w:rFonts w:ascii="Arial" w:hAnsi="Arial"/>
                <w:b/>
                <w:color w:val="FFFFFF"/>
                <w:sz w:val="16"/>
              </w:rPr>
              <w:t>Relationship</w:t>
            </w:r>
          </w:p>
        </w:tc>
        <w:tc>
          <w:tcPr>
            <w:tcW w:type="dxa" w:w="6500"/>
            <w:shd w:fill="17191F"/>
            <w:tcMar>
              <w:top w:w="100" w:type="dxa"/>
              <w:start w:w="120" w:type="dxa"/>
              <w:bottom w:w="100" w:type="dxa"/>
              <w:end w:w="120" w:type="dxa"/>
            </w:tcMar>
            <w:vAlign w:val="center"/>
          </w:tcPr>
          <w:p>
            <w:pPr>
              <w:spacing w:after="0"/>
            </w:pPr>
            <w:r>
              <w:rPr>
                <w:rFonts w:ascii="Arial" w:hAnsi="Arial"/>
                <w:b/>
                <w:color w:val="FFFFFF"/>
                <w:sz w:val="16"/>
              </w:rPr>
              <w:t>Current-source semantics</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Registry → Swap / Redemption</w:t>
            </w:r>
          </w:p>
        </w:tc>
        <w:tc>
          <w:tcPr>
            <w:tcW w:type="dxa" w:w="6500"/>
            <w:tcMar>
              <w:top w:w="85" w:type="dxa"/>
              <w:start w:w="120" w:type="dxa"/>
              <w:bottom w:w="85" w:type="dxa"/>
              <w:end w:w="120" w:type="dxa"/>
            </w:tcMar>
            <w:vAlign w:val="center"/>
          </w:tcPr>
          <w:p>
            <w:pPr>
              <w:spacing w:after="0"/>
            </w:pPr>
            <w:r>
              <w:rPr>
                <w:rFonts w:ascii="Arial" w:hAnsi="Arial"/>
                <w:color w:val="2A2D34"/>
                <w:sz w:val="15"/>
              </w:rPr>
              <w:t>mode, endpoints and time controls</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Registry → Vault</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saleEnd unlock control</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Swap → Vault</w:t>
            </w:r>
          </w:p>
        </w:tc>
        <w:tc>
          <w:tcPr>
            <w:tcW w:type="dxa" w:w="6500"/>
            <w:tcMar>
              <w:top w:w="85" w:type="dxa"/>
              <w:start w:w="120" w:type="dxa"/>
              <w:bottom w:w="85" w:type="dxa"/>
              <w:end w:w="120" w:type="dxa"/>
            </w:tcMar>
            <w:vAlign w:val="center"/>
          </w:tcPr>
          <w:p>
            <w:pPr>
              <w:spacing w:after="0"/>
            </w:pPr>
            <w:r>
              <w:rPr>
                <w:rFonts w:ascii="Arial" w:hAnsi="Arial"/>
                <w:color w:val="2A2D34"/>
                <w:sz w:val="15"/>
              </w:rPr>
              <w:t>BNB / USDT / USDC sale proceeds</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Swap ↔ Redemption</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receipts + AGNT escrow / reserve coverage read</w:t>
            </w:r>
          </w:p>
        </w:tc>
      </w:tr>
    </w:tbl>
    <w:p>
      <w:pPr>
        <w:spacing w:before="140" w:after="80"/>
      </w:pPr>
      <w:r>
        <w:rPr>
          <w:rFonts w:ascii="Arial" w:hAnsi="Arial"/>
          <w:b/>
          <w:color w:val="D73454"/>
          <w:sz w:val="16"/>
        </w:rPr>
        <w:t>CROSS-CONTRACT FAILURE PROPAGATION</w:t>
      </w:r>
    </w:p>
    <w:p>
      <w:pPr>
        <w:keepLines/>
        <w:widowControl/>
      </w:pPr>
      <w:r>
        <w:t>Architecture analysis focuses on calls that create or release obligations. A Registry read can disable Swap or Redemption, a reserve read can reject a purchase, and a Vault or token transfer can revert settlement without leaving partial accounting. Staking remains economically independent from presale liability. Each boundary is evaluated for unreadable data, stale configuration and external-call rollback behavior.</w:t>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CONTROL READ</w:t>
            </w:r>
          </w:p>
          <w:p>
            <w:pPr>
              <w:spacing w:after="0"/>
            </w:pPr>
            <w:r>
              <w:rPr>
                <w:rFonts w:ascii="Arial" w:hAnsi="Arial"/>
                <w:color w:val="2A2D34"/>
                <w:sz w:val="14"/>
              </w:rPr>
              <w:t>Registry gates execution</w:t>
            </w:r>
          </w:p>
        </w:tc>
        <w:tc>
          <w:tcPr>
            <w:tcW w:type="dxa" w:w="2250"/>
            <w:tcMar>
              <w:top w:w="120" w:type="dxa"/>
              <w:start w:w="130" w:type="dxa"/>
              <w:bottom w:w="120" w:type="dxa"/>
              <w:end w:w="130" w:type="dxa"/>
            </w:tcMar>
            <w:shd w:fill="EAEDF2"/>
            <w:tcBorders>
              <w:top w:val="single" w:sz="22" w:color="E33F5E"/>
            </w:tcBorders>
          </w:tcPr>
          <w:p>
            <w:pPr>
              <w:spacing w:after="40"/>
            </w:pPr>
            <w:r>
              <w:rPr>
                <w:rFonts w:ascii="Arial" w:hAnsi="Arial"/>
                <w:b/>
                <w:color w:val="D73454"/>
                <w:sz w:val="14"/>
              </w:rPr>
              <w:t>VALUE MOVE</w:t>
            </w:r>
          </w:p>
          <w:p>
            <w:pPr>
              <w:spacing w:after="0"/>
            </w:pPr>
            <w:r>
              <w:rPr>
                <w:rFonts w:ascii="Arial" w:hAnsi="Arial"/>
                <w:color w:val="2A2D34"/>
                <w:sz w:val="14"/>
              </w:rPr>
              <w:t>Safe transfer semantics</w:t>
            </w:r>
          </w:p>
        </w:tc>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LIABILITY READ</w:t>
            </w:r>
          </w:p>
          <w:p>
            <w:pPr>
              <w:spacing w:after="0"/>
            </w:pPr>
            <w:r>
              <w:rPr>
                <w:rFonts w:ascii="Arial" w:hAnsi="Arial"/>
                <w:color w:val="2A2D34"/>
                <w:sz w:val="14"/>
              </w:rPr>
              <w:t>Reserve before purchase</w:t>
            </w:r>
          </w:p>
        </w:tc>
        <w:tc>
          <w:tcPr>
            <w:tcW w:type="dxa" w:w="2250"/>
            <w:tcMar>
              <w:top w:w="120" w:type="dxa"/>
              <w:start w:w="130" w:type="dxa"/>
              <w:bottom w:w="120" w:type="dxa"/>
              <w:end w:w="130" w:type="dxa"/>
            </w:tcMar>
            <w:shd w:fill="EAEDF2"/>
            <w:tcBorders>
              <w:top w:val="single" w:sz="22" w:color="17191F"/>
            </w:tcBorders>
          </w:tcPr>
          <w:p>
            <w:pPr>
              <w:spacing w:after="40"/>
            </w:pPr>
            <w:r>
              <w:rPr>
                <w:rFonts w:ascii="Arial" w:hAnsi="Arial"/>
                <w:b/>
                <w:color w:val="D73454"/>
                <w:sz w:val="14"/>
              </w:rPr>
              <w:t>ISOLATION</w:t>
            </w:r>
          </w:p>
          <w:p>
            <w:pPr>
              <w:spacing w:after="0"/>
            </w:pPr>
            <w:r>
              <w:rPr>
                <w:rFonts w:ascii="Arial" w:hAnsi="Arial"/>
                <w:color w:val="2A2D34"/>
                <w:sz w:val="14"/>
              </w:rPr>
              <w:t>Staking separate obligation</w:t>
            </w:r>
          </w:p>
        </w:tc>
      </w:tr>
    </w:tbl>
    <w:p>
      <w:r>
        <w:br w:type="page"/>
      </w:r>
    </w:p>
    <w:p>
      <w:pPr>
        <w:pStyle w:val="Kicker"/>
      </w:pPr>
      <w:r>
        <w:t>ANALYSIS NOTES</w:t>
      </w:r>
    </w:p>
    <w:p>
      <w:pPr>
        <w:pStyle w:val="Heading1"/>
      </w:pPr>
      <w:r>
        <w:t>Trust Model and Security Boundaries</w:t>
      </w:r>
    </w:p>
    <w:p>
      <w:pPr>
        <w:spacing w:after="200" w:line="96" w:lineRule="auto"/>
      </w:pPr>
      <w:r>
        <w:rPr>
          <w:rFonts w:ascii="Arial" w:hAnsi="Arial"/>
          <w:color w:val="E03E5B"/>
          <w:sz w:val="12"/>
        </w:rPr>
        <w:t>━━━━━━━━━━━━━━━━━━━━━━━━━━━━━━━━━━━━━━━━━━━━━━━━━━━━━━━━━━━━</w:t>
      </w:r>
    </w:p>
    <w:p>
      <w:pPr>
        <w:keepLines/>
        <w:widowControl/>
      </w:pPr>
      <w:r>
        <w:t>Users are unprivileged callers. Protocol contracts hold state and assets. Oracles, governance contracts, RPC services and keepers sit across explicit trust boundaries. A healthy design assumes external dependencies can fail and therefore rejects unreadable or unsafe states on-chain.</w:t>
      </w:r>
    </w:p>
    <w:p>
      <w:pPr>
        <w:keepLines/>
        <w:widowControl/>
      </w:pPr>
      <w:r>
        <w:t>Authority is intentionally split between the governance Timelock/Safe, permissionless breaker callers, position owners and operational observers. The release workflow verifies topology and code before any purchase or deposit mode can be enabled.</w:t>
      </w:r>
    </w:p>
    <w:p>
      <w:pPr>
        <w:spacing w:before="80" w:after="100"/>
        <w:jc w:val="center"/>
      </w:pPr>
      <w:r>
        <w:drawing>
          <wp:inline xmlns:a="http://schemas.openxmlformats.org/drawingml/2006/main" xmlns:pic="http://schemas.openxmlformats.org/drawingml/2006/picture">
            <wp:extent cx="6263640" cy="3523298"/>
            <wp:docPr id="6" name="Picture 6"/>
            <wp:cNvGraphicFramePr>
              <a:graphicFrameLocks noChangeAspect="1"/>
            </wp:cNvGraphicFramePr>
            <a:graphic>
              <a:graphicData uri="http://schemas.openxmlformats.org/drawingml/2006/picture">
                <pic:pic>
                  <pic:nvPicPr>
                    <pic:cNvPr id="0" name="trust-boundaries.png"/>
                    <pic:cNvPicPr/>
                  </pic:nvPicPr>
                  <pic:blipFill>
                    <a:blip r:embed="rId16"/>
                    <a:stretch>
                      <a:fillRect/>
                    </a:stretch>
                  </pic:blipFill>
                  <pic:spPr>
                    <a:xfrm>
                      <a:off x="0" y="0"/>
                      <a:ext cx="6263640" cy="3523298"/>
                    </a:xfrm>
                    <a:prstGeom prst="rect"/>
                  </pic:spPr>
                </pic:pic>
              </a:graphicData>
            </a:graphic>
          </wp:inline>
        </w:drawing>
      </w:r>
    </w:p>
    <w:p>
      <w:pPr>
        <w:spacing w:after="100"/>
        <w:jc w:val="center"/>
      </w:pPr>
      <w:r>
        <w:rPr>
          <w:i/>
          <w:color w:val="787C84"/>
          <w:sz w:val="14"/>
        </w:rPr>
        <w:t>Figure 9. Trust Model and Security Boundaries</w:t>
      </w:r>
    </w:p>
    <w:tbl>
      <w:tblPr>
        <w:tblW w:type="auto" w:w="0"/>
        <w:jc w:val="center"/>
        <w:tblLayout w:type="fixed"/>
        <w:tblLook w:firstColumn="1" w:firstRow="1" w:lastColumn="0" w:lastRow="0" w:noHBand="0" w:noVBand="1" w:val="04A0"/>
      </w:tblPr>
      <w:tblGrid>
        <w:gridCol w:w="5074"/>
        <w:gridCol w:w="5074"/>
      </w:tblGrid>
      <w:tr>
        <w:trPr>
          <w:tblHeader w:val="true"/>
        </w:trPr>
        <w:tc>
          <w:tcPr>
            <w:tcW w:type="dxa" w:w="2500"/>
            <w:shd w:fill="17191F"/>
            <w:tcMar>
              <w:top w:w="100" w:type="dxa"/>
              <w:start w:w="120" w:type="dxa"/>
              <w:bottom w:w="100" w:type="dxa"/>
              <w:end w:w="120" w:type="dxa"/>
            </w:tcMar>
            <w:vAlign w:val="center"/>
          </w:tcPr>
          <w:p>
            <w:pPr>
              <w:spacing w:after="0"/>
            </w:pPr>
            <w:r>
              <w:rPr>
                <w:rFonts w:ascii="Arial" w:hAnsi="Arial"/>
                <w:b/>
                <w:color w:val="FFFFFF"/>
                <w:sz w:val="16"/>
              </w:rPr>
              <w:t>Boundary</w:t>
            </w:r>
          </w:p>
        </w:tc>
        <w:tc>
          <w:tcPr>
            <w:tcW w:type="dxa" w:w="6500"/>
            <w:shd w:fill="17191F"/>
            <w:tcMar>
              <w:top w:w="100" w:type="dxa"/>
              <w:start w:w="120" w:type="dxa"/>
              <w:bottom w:w="100" w:type="dxa"/>
              <w:end w:w="120" w:type="dxa"/>
            </w:tcMar>
            <w:vAlign w:val="center"/>
          </w:tcPr>
          <w:p>
            <w:pPr>
              <w:spacing w:after="0"/>
            </w:pPr>
            <w:r>
              <w:rPr>
                <w:rFonts w:ascii="Arial" w:hAnsi="Arial"/>
                <w:b/>
                <w:color w:val="FFFFFF"/>
                <w:sz w:val="16"/>
              </w:rPr>
              <w:t>Security meaning</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Users</w:t>
            </w:r>
          </w:p>
        </w:tc>
        <w:tc>
          <w:tcPr>
            <w:tcW w:type="dxa" w:w="6500"/>
            <w:tcMar>
              <w:top w:w="85" w:type="dxa"/>
              <w:start w:w="120" w:type="dxa"/>
              <w:bottom w:w="85" w:type="dxa"/>
              <w:end w:w="120" w:type="dxa"/>
            </w:tcMar>
            <w:vAlign w:val="center"/>
          </w:tcPr>
          <w:p>
            <w:pPr>
              <w:spacing w:after="0"/>
            </w:pPr>
            <w:r>
              <w:rPr>
                <w:rFonts w:ascii="Arial" w:hAnsi="Arial"/>
                <w:color w:val="2A2D34"/>
                <w:sz w:val="15"/>
              </w:rPr>
              <w:t>Unprivileged calls bounded by state and entitlement</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Oracle feeds</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Data input only; no configuration authority</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Safe + Timelock</w:t>
            </w:r>
          </w:p>
        </w:tc>
        <w:tc>
          <w:tcPr>
            <w:tcW w:type="dxa" w:w="6500"/>
            <w:tcMar>
              <w:top w:w="85" w:type="dxa"/>
              <w:start w:w="120" w:type="dxa"/>
              <w:bottom w:w="85" w:type="dxa"/>
              <w:end w:w="120" w:type="dxa"/>
            </w:tcMar>
            <w:vAlign w:val="center"/>
          </w:tcPr>
          <w:p>
            <w:pPr>
              <w:spacing w:after="0"/>
            </w:pPr>
            <w:r>
              <w:rPr>
                <w:rFonts w:ascii="Arial" w:hAnsi="Arial"/>
                <w:color w:val="2A2D34"/>
                <w:sz w:val="15"/>
              </w:rPr>
              <w:t>Delayed setters and ownership authority</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Keeper / RPC</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Risk-reducing call / availability only</w:t>
            </w:r>
          </w:p>
        </w:tc>
      </w:tr>
    </w:tbl>
    <w:p>
      <w:pPr>
        <w:spacing w:before="140" w:after="80"/>
      </w:pPr>
      <w:r>
        <w:rPr>
          <w:rFonts w:ascii="Arial" w:hAnsi="Arial"/>
          <w:b/>
          <w:color w:val="D73454"/>
          <w:sz w:val="16"/>
        </w:rPr>
        <w:t>AUTHORITY SEPARATION CHECKS</w:t>
      </w:r>
    </w:p>
    <w:p>
      <w:pPr>
        <w:keepLines/>
        <w:widowControl/>
      </w:pPr>
      <w:r>
        <w:t>The model distinguishes data providers from decision makers and risk-reducing callers from asset-moving administrators. Oracle feeds supply data but cannot configure policy; RPC services supply availability but no authority; keepers may trip a breaker but cannot reopen it; users may trigger eligible settlement without redirecting another owner’s value. Governance changes remain delayed and independently observable.</w:t>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DATA</w:t>
            </w:r>
          </w:p>
          <w:p>
            <w:pPr>
              <w:spacing w:after="0"/>
            </w:pPr>
            <w:r>
              <w:rPr>
                <w:rFonts w:ascii="Arial" w:hAnsi="Arial"/>
                <w:color w:val="2A2D34"/>
                <w:sz w:val="14"/>
              </w:rPr>
              <w:t>Feeds have no admin rights</w:t>
            </w:r>
          </w:p>
        </w:tc>
        <w:tc>
          <w:tcPr>
            <w:tcW w:type="dxa" w:w="2250"/>
            <w:tcMar>
              <w:top w:w="120" w:type="dxa"/>
              <w:start w:w="130" w:type="dxa"/>
              <w:bottom w:w="120" w:type="dxa"/>
              <w:end w:w="130" w:type="dxa"/>
            </w:tcMar>
            <w:shd w:fill="EAEDF2"/>
            <w:tcBorders>
              <w:top w:val="single" w:sz="22" w:color="E33F5E"/>
            </w:tcBorders>
          </w:tcPr>
          <w:p>
            <w:pPr>
              <w:spacing w:after="40"/>
            </w:pPr>
            <w:r>
              <w:rPr>
                <w:rFonts w:ascii="Arial" w:hAnsi="Arial"/>
                <w:b/>
                <w:color w:val="D73454"/>
                <w:sz w:val="14"/>
              </w:rPr>
              <w:t>AVAILABILITY</w:t>
            </w:r>
          </w:p>
          <w:p>
            <w:pPr>
              <w:spacing w:after="0"/>
            </w:pPr>
            <w:r>
              <w:rPr>
                <w:rFonts w:ascii="Arial" w:hAnsi="Arial"/>
                <w:color w:val="2A2D34"/>
                <w:sz w:val="14"/>
              </w:rPr>
              <w:t>RPC has no protocol rights</w:t>
            </w:r>
          </w:p>
        </w:tc>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CONTAINMENT</w:t>
            </w:r>
          </w:p>
          <w:p>
            <w:pPr>
              <w:spacing w:after="0"/>
            </w:pPr>
            <w:r>
              <w:rPr>
                <w:rFonts w:ascii="Arial" w:hAnsi="Arial"/>
                <w:color w:val="2A2D34"/>
                <w:sz w:val="14"/>
              </w:rPr>
              <w:t>Keeper can only close</w:t>
            </w:r>
          </w:p>
        </w:tc>
        <w:tc>
          <w:tcPr>
            <w:tcW w:type="dxa" w:w="2250"/>
            <w:tcMar>
              <w:top w:w="120" w:type="dxa"/>
              <w:start w:w="130" w:type="dxa"/>
              <w:bottom w:w="120" w:type="dxa"/>
              <w:end w:w="130" w:type="dxa"/>
            </w:tcMar>
            <w:shd w:fill="EAEDF2"/>
            <w:tcBorders>
              <w:top w:val="single" w:sz="22" w:color="17191F"/>
            </w:tcBorders>
          </w:tcPr>
          <w:p>
            <w:pPr>
              <w:spacing w:after="40"/>
            </w:pPr>
            <w:r>
              <w:rPr>
                <w:rFonts w:ascii="Arial" w:hAnsi="Arial"/>
                <w:b/>
                <w:color w:val="D73454"/>
                <w:sz w:val="14"/>
              </w:rPr>
              <w:t>GOVERNANCE</w:t>
            </w:r>
          </w:p>
          <w:p>
            <w:pPr>
              <w:spacing w:after="0"/>
            </w:pPr>
            <w:r>
              <w:rPr>
                <w:rFonts w:ascii="Arial" w:hAnsi="Arial"/>
                <w:color w:val="2A2D34"/>
                <w:sz w:val="14"/>
              </w:rPr>
              <w:t>Safe plus delayed execution</w:t>
            </w:r>
          </w:p>
        </w:tc>
      </w:tr>
    </w:tbl>
    <w:p>
      <w:r>
        <w:br w:type="page"/>
      </w:r>
    </w:p>
    <w:p>
      <w:pPr>
        <w:pStyle w:val="Kicker"/>
      </w:pPr>
      <w:r>
        <w:t>ANALYSIS NOTES</w:t>
      </w:r>
    </w:p>
    <w:p>
      <w:pPr>
        <w:pStyle w:val="Heading1"/>
      </w:pPr>
      <w:r>
        <w:t>Purchase Funds Flow</w:t>
      </w:r>
    </w:p>
    <w:p>
      <w:pPr>
        <w:spacing w:after="200" w:line="96" w:lineRule="auto"/>
      </w:pPr>
      <w:r>
        <w:rPr>
          <w:rFonts w:ascii="Arial" w:hAnsi="Arial"/>
          <w:color w:val="E03E5B"/>
          <w:sz w:val="12"/>
        </w:rPr>
        <w:t>━━━━━━━━━━━━━━━━━━━━━━━━━━━━━━━━━━━━━━━━━━━━━━━━━━━━━━━━━━━━</w:t>
      </w:r>
    </w:p>
    <w:p>
      <w:pPr>
        <w:keepLines/>
        <w:widowControl/>
      </w:pPr>
      <w:r>
        <w:t>A purchase is a four-stage transaction: quote, solvency validation, settlement and evidence emission. The quote normalizes payment decimals and applies oracle health. Solvency projects the incremental redemption liability. Settlement moves payment and escrows the resulting AGNT entitlement. Events and receipt counters provide evidence.</w:t>
      </w:r>
    </w:p>
    <w:p>
      <w:pPr>
        <w:keepLines/>
        <w:widowControl/>
      </w:pPr>
      <w:r>
        <w:t>Execution recomputes safety-critical values and applies the caller's minimum output. A stale quote cannot force settlement under changed price, reserve or market conditions.</w:t>
      </w:r>
    </w:p>
    <w:p>
      <w:pPr>
        <w:spacing w:before="80" w:after="100"/>
        <w:jc w:val="center"/>
      </w:pPr>
      <w:r>
        <w:drawing>
          <wp:inline xmlns:a="http://schemas.openxmlformats.org/drawingml/2006/main" xmlns:pic="http://schemas.openxmlformats.org/drawingml/2006/picture">
            <wp:extent cx="6263640" cy="3523298"/>
            <wp:docPr id="7" name="Picture 7"/>
            <wp:cNvGraphicFramePr>
              <a:graphicFrameLocks noChangeAspect="1"/>
            </wp:cNvGraphicFramePr>
            <a:graphic>
              <a:graphicData uri="http://schemas.openxmlformats.org/drawingml/2006/picture">
                <pic:pic>
                  <pic:nvPicPr>
                    <pic:cNvPr id="0" name="purchase-flow.png"/>
                    <pic:cNvPicPr/>
                  </pic:nvPicPr>
                  <pic:blipFill>
                    <a:blip r:embed="rId17"/>
                    <a:stretch>
                      <a:fillRect/>
                    </a:stretch>
                  </pic:blipFill>
                  <pic:spPr>
                    <a:xfrm>
                      <a:off x="0" y="0"/>
                      <a:ext cx="6263640" cy="3523298"/>
                    </a:xfrm>
                    <a:prstGeom prst="rect"/>
                  </pic:spPr>
                </pic:pic>
              </a:graphicData>
            </a:graphic>
          </wp:inline>
        </w:drawing>
      </w:r>
    </w:p>
    <w:p>
      <w:pPr>
        <w:spacing w:after="100"/>
        <w:jc w:val="center"/>
      </w:pPr>
      <w:r>
        <w:rPr>
          <w:i/>
          <w:color w:val="787C84"/>
          <w:sz w:val="14"/>
        </w:rPr>
        <w:t>Figure 10. Purchase Funds Flow</w:t>
      </w:r>
    </w:p>
    <w:tbl>
      <w:tblPr>
        <w:tblW w:type="auto" w:w="0"/>
        <w:jc w:val="center"/>
        <w:tblLayout w:type="fixed"/>
        <w:tblLook w:firstColumn="1" w:firstRow="1" w:lastColumn="0" w:lastRow="0" w:noHBand="0" w:noVBand="1" w:val="04A0"/>
      </w:tblPr>
      <w:tblGrid>
        <w:gridCol w:w="3383"/>
        <w:gridCol w:w="3383"/>
        <w:gridCol w:w="3383"/>
      </w:tblGrid>
      <w:tr>
        <w:trPr>
          <w:tblHeader w:val="true"/>
        </w:trPr>
        <w:tc>
          <w:tcPr>
            <w:tcW w:type="dxa" w:w="2100"/>
            <w:shd w:fill="17191F"/>
            <w:tcMar>
              <w:top w:w="100" w:type="dxa"/>
              <w:start w:w="120" w:type="dxa"/>
              <w:bottom w:w="100" w:type="dxa"/>
              <w:end w:w="120" w:type="dxa"/>
            </w:tcMar>
            <w:vAlign w:val="center"/>
          </w:tcPr>
          <w:p>
            <w:pPr>
              <w:spacing w:after="0"/>
            </w:pPr>
            <w:r>
              <w:rPr>
                <w:rFonts w:ascii="Arial" w:hAnsi="Arial"/>
                <w:b/>
                <w:color w:val="FFFFFF"/>
                <w:sz w:val="16"/>
              </w:rPr>
              <w:t>Stage</w:t>
            </w:r>
          </w:p>
        </w:tc>
        <w:tc>
          <w:tcPr>
            <w:tcW w:type="dxa" w:w="1800"/>
            <w:shd w:fill="17191F"/>
            <w:tcMar>
              <w:top w:w="100" w:type="dxa"/>
              <w:start w:w="120" w:type="dxa"/>
              <w:bottom w:w="100" w:type="dxa"/>
              <w:end w:w="120" w:type="dxa"/>
            </w:tcMar>
            <w:vAlign w:val="center"/>
          </w:tcPr>
          <w:p>
            <w:pPr>
              <w:spacing w:after="0"/>
            </w:pPr>
            <w:r>
              <w:rPr>
                <w:rFonts w:ascii="Arial" w:hAnsi="Arial"/>
                <w:b/>
                <w:color w:val="FFFFFF"/>
                <w:sz w:val="16"/>
              </w:rPr>
              <w:t>Primary action</w:t>
            </w:r>
          </w:p>
        </w:tc>
        <w:tc>
          <w:tcPr>
            <w:tcW w:type="dxa" w:w="5100"/>
            <w:shd w:fill="17191F"/>
            <w:tcMar>
              <w:top w:w="100" w:type="dxa"/>
              <w:start w:w="120" w:type="dxa"/>
              <w:bottom w:w="100" w:type="dxa"/>
              <w:end w:w="120" w:type="dxa"/>
            </w:tcMar>
            <w:vAlign w:val="center"/>
          </w:tcPr>
          <w:p>
            <w:pPr>
              <w:spacing w:after="0"/>
            </w:pPr>
            <w:r>
              <w:rPr>
                <w:rFonts w:ascii="Arial" w:hAnsi="Arial"/>
                <w:b/>
                <w:color w:val="FFFFFF"/>
                <w:sz w:val="16"/>
              </w:rPr>
              <w:t>Failure/evidence behavior</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Quote</w:t>
            </w:r>
          </w:p>
        </w:tc>
        <w:tc>
          <w:tcPr>
            <w:tcW w:type="dxa" w:w="1800"/>
            <w:tcMar>
              <w:top w:w="85" w:type="dxa"/>
              <w:start w:w="120" w:type="dxa"/>
              <w:bottom w:w="85" w:type="dxa"/>
              <w:end w:w="120" w:type="dxa"/>
            </w:tcMar>
            <w:vAlign w:val="center"/>
          </w:tcPr>
          <w:p>
            <w:pPr>
              <w:spacing w:after="0"/>
            </w:pPr>
            <w:r>
              <w:rPr>
                <w:rFonts w:ascii="Arial" w:hAnsi="Arial"/>
                <w:color w:val="2A2D34"/>
                <w:sz w:val="15"/>
              </w:rPr>
              <w:t>Normalize payment + oracle checks</w:t>
            </w:r>
          </w:p>
        </w:tc>
        <w:tc>
          <w:tcPr>
            <w:tcW w:type="dxa" w:w="5100"/>
            <w:tcMar>
              <w:top w:w="85" w:type="dxa"/>
              <w:start w:w="120" w:type="dxa"/>
              <w:bottom w:w="85" w:type="dxa"/>
              <w:end w:w="120" w:type="dxa"/>
            </w:tcMar>
            <w:vAlign w:val="center"/>
          </w:tcPr>
          <w:p>
            <w:pPr>
              <w:spacing w:after="0"/>
            </w:pPr>
            <w:r>
              <w:rPr>
                <w:rFonts w:ascii="Arial" w:hAnsi="Arial"/>
                <w:color w:val="2A2D34"/>
                <w:sz w:val="15"/>
              </w:rPr>
              <w:t>No state mutation</w:t>
            </w:r>
          </w:p>
        </w:tc>
      </w:tr>
      <w:tr>
        <w:tc>
          <w:tcPr>
            <w:tcW w:type="dxa" w:w="2100"/>
            <w:tcMar>
              <w:top w:w="85" w:type="dxa"/>
              <w:start w:w="120" w:type="dxa"/>
              <w:bottom w:w="85" w:type="dxa"/>
              <w:end w:w="120" w:type="dxa"/>
            </w:tcMar>
            <w:shd w:fill="F4F5F7"/>
            <w:vAlign w:val="center"/>
          </w:tcPr>
          <w:p>
            <w:pPr>
              <w:spacing w:after="0"/>
            </w:pPr>
            <w:r>
              <w:rPr>
                <w:rFonts w:ascii="Arial" w:hAnsi="Arial"/>
                <w:color w:val="2A2D34"/>
                <w:sz w:val="15"/>
              </w:rPr>
              <w:t>Solvency</w:t>
            </w:r>
          </w:p>
        </w:tc>
        <w:tc>
          <w:tcPr>
            <w:tcW w:type="dxa" w:w="1800"/>
            <w:tcMar>
              <w:top w:w="85" w:type="dxa"/>
              <w:start w:w="120" w:type="dxa"/>
              <w:bottom w:w="85" w:type="dxa"/>
              <w:end w:w="120" w:type="dxa"/>
            </w:tcMar>
            <w:shd w:fill="F4F5F7"/>
            <w:vAlign w:val="center"/>
          </w:tcPr>
          <w:p>
            <w:pPr>
              <w:spacing w:after="0"/>
            </w:pPr>
            <w:r>
              <w:rPr>
                <w:rFonts w:ascii="Arial" w:hAnsi="Arial"/>
                <w:color w:val="2A2D34"/>
                <w:sz w:val="15"/>
              </w:rPr>
              <w:t>Projected liability + reserve read</w:t>
            </w:r>
          </w:p>
        </w:tc>
        <w:tc>
          <w:tcPr>
            <w:tcW w:type="dxa" w:w="5100"/>
            <w:tcMar>
              <w:top w:w="85" w:type="dxa"/>
              <w:start w:w="120" w:type="dxa"/>
              <w:bottom w:w="85" w:type="dxa"/>
              <w:end w:w="120" w:type="dxa"/>
            </w:tcMar>
            <w:shd w:fill="F4F5F7"/>
            <w:vAlign w:val="center"/>
          </w:tcPr>
          <w:p>
            <w:pPr>
              <w:spacing w:after="0"/>
            </w:pPr>
            <w:r>
              <w:rPr>
                <w:rFonts w:ascii="Arial" w:hAnsi="Arial"/>
                <w:color w:val="2A2D34"/>
                <w:sz w:val="15"/>
              </w:rPr>
              <w:t>Unreadable/insufficient fails closed</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Settlement</w:t>
            </w:r>
          </w:p>
        </w:tc>
        <w:tc>
          <w:tcPr>
            <w:tcW w:type="dxa" w:w="1800"/>
            <w:tcMar>
              <w:top w:w="85" w:type="dxa"/>
              <w:start w:w="120" w:type="dxa"/>
              <w:bottom w:w="85" w:type="dxa"/>
              <w:end w:w="120" w:type="dxa"/>
            </w:tcMar>
            <w:vAlign w:val="center"/>
          </w:tcPr>
          <w:p>
            <w:pPr>
              <w:spacing w:after="0"/>
            </w:pPr>
            <w:r>
              <w:rPr>
                <w:rFonts w:ascii="Arial" w:hAnsi="Arial"/>
                <w:color w:val="2A2D34"/>
                <w:sz w:val="15"/>
              </w:rPr>
              <w:t>Transfer payment + escrow AGNT</w:t>
            </w:r>
          </w:p>
        </w:tc>
        <w:tc>
          <w:tcPr>
            <w:tcW w:type="dxa" w:w="5100"/>
            <w:tcMar>
              <w:top w:w="85" w:type="dxa"/>
              <w:start w:w="120" w:type="dxa"/>
              <w:bottom w:w="85" w:type="dxa"/>
              <w:end w:w="120" w:type="dxa"/>
            </w:tcMar>
            <w:vAlign w:val="center"/>
          </w:tcPr>
          <w:p>
            <w:pPr>
              <w:spacing w:after="0"/>
            </w:pPr>
            <w:r>
              <w:rPr>
                <w:rFonts w:ascii="Arial" w:hAnsi="Arial"/>
                <w:color w:val="2A2D34"/>
                <w:sz w:val="15"/>
              </w:rPr>
              <w:t>Balance delta checked</w:t>
            </w:r>
          </w:p>
        </w:tc>
      </w:tr>
      <w:tr>
        <w:tc>
          <w:tcPr>
            <w:tcW w:type="dxa" w:w="2100"/>
            <w:tcMar>
              <w:top w:w="85" w:type="dxa"/>
              <w:start w:w="120" w:type="dxa"/>
              <w:bottom w:w="85" w:type="dxa"/>
              <w:end w:w="120" w:type="dxa"/>
            </w:tcMar>
            <w:shd w:fill="F4F5F7"/>
            <w:vAlign w:val="center"/>
          </w:tcPr>
          <w:p>
            <w:pPr>
              <w:spacing w:after="0"/>
            </w:pPr>
            <w:r>
              <w:rPr>
                <w:rFonts w:ascii="Arial" w:hAnsi="Arial"/>
                <w:color w:val="2A2D34"/>
                <w:sz w:val="15"/>
              </w:rPr>
              <w:t>Evidence</w:t>
            </w:r>
          </w:p>
        </w:tc>
        <w:tc>
          <w:tcPr>
            <w:tcW w:type="dxa" w:w="1800"/>
            <w:tcMar>
              <w:top w:w="85" w:type="dxa"/>
              <w:start w:w="120" w:type="dxa"/>
              <w:bottom w:w="85" w:type="dxa"/>
              <w:end w:w="120" w:type="dxa"/>
            </w:tcMar>
            <w:shd w:fill="F4F5F7"/>
            <w:vAlign w:val="center"/>
          </w:tcPr>
          <w:p>
            <w:pPr>
              <w:spacing w:after="0"/>
            </w:pPr>
            <w:r>
              <w:rPr>
                <w:rFonts w:ascii="Arial" w:hAnsi="Arial"/>
                <w:color w:val="2A2D34"/>
                <w:sz w:val="15"/>
              </w:rPr>
              <w:t>Receipt counters + events</w:t>
            </w:r>
          </w:p>
        </w:tc>
        <w:tc>
          <w:tcPr>
            <w:tcW w:type="dxa" w:w="5100"/>
            <w:tcMar>
              <w:top w:w="85" w:type="dxa"/>
              <w:start w:w="120" w:type="dxa"/>
              <w:bottom w:w="85" w:type="dxa"/>
              <w:end w:w="120" w:type="dxa"/>
            </w:tcMar>
            <w:shd w:fill="F4F5F7"/>
            <w:vAlign w:val="center"/>
          </w:tcPr>
          <w:p>
            <w:pPr>
              <w:spacing w:after="0"/>
            </w:pPr>
            <w:r>
              <w:rPr>
                <w:rFonts w:ascii="Arial" w:hAnsi="Arial"/>
                <w:color w:val="2A2D34"/>
                <w:sz w:val="15"/>
              </w:rPr>
              <w:t>Deterministic reconstruction</w:t>
            </w:r>
          </w:p>
        </w:tc>
      </w:tr>
    </w:tbl>
    <w:p>
      <w:pPr>
        <w:spacing w:before="140" w:after="80"/>
      </w:pPr>
      <w:r>
        <w:rPr>
          <w:rFonts w:ascii="Arial" w:hAnsi="Arial"/>
          <w:b/>
          <w:color w:val="D73454"/>
          <w:sz w:val="16"/>
        </w:rPr>
        <w:t>ATOMICITY AND QUOTE CONSISTENCY</w:t>
      </w:r>
    </w:p>
    <w:p>
      <w:pPr>
        <w:keepLines/>
        <w:widowControl/>
      </w:pPr>
      <w:r>
        <w:t>The assessed path recomputes output and solvency inside the transaction instead of trusting a frontend quote. Payment transfer, liability update, receipt creation and AGNT escrow either complete together or revert together. The minimum-output parameter protects the buyer from intervening price or configuration changes. Balance-delta checks expose tokens whose transfer behavior differs from the requested amount.</w:t>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INPUT</w:t>
            </w:r>
          </w:p>
          <w:p>
            <w:pPr>
              <w:spacing w:after="0"/>
            </w:pPr>
            <w:r>
              <w:rPr>
                <w:rFonts w:ascii="Arial" w:hAnsi="Arial"/>
                <w:color w:val="2A2D34"/>
                <w:sz w:val="14"/>
              </w:rPr>
              <w:t>Caller amount plus min-out</w:t>
            </w:r>
          </w:p>
        </w:tc>
        <w:tc>
          <w:tcPr>
            <w:tcW w:type="dxa" w:w="2250"/>
            <w:tcMar>
              <w:top w:w="120" w:type="dxa"/>
              <w:start w:w="130" w:type="dxa"/>
              <w:bottom w:w="120" w:type="dxa"/>
              <w:end w:w="130" w:type="dxa"/>
            </w:tcMar>
            <w:shd w:fill="EAEDF2"/>
            <w:tcBorders>
              <w:top w:val="single" w:sz="22" w:color="E33F5E"/>
            </w:tcBorders>
          </w:tcPr>
          <w:p>
            <w:pPr>
              <w:spacing w:after="40"/>
            </w:pPr>
            <w:r>
              <w:rPr>
                <w:rFonts w:ascii="Arial" w:hAnsi="Arial"/>
                <w:b/>
                <w:color w:val="D73454"/>
                <w:sz w:val="14"/>
              </w:rPr>
              <w:t>RECOMPUTE</w:t>
            </w:r>
          </w:p>
          <w:p>
            <w:pPr>
              <w:spacing w:after="0"/>
            </w:pPr>
            <w:r>
              <w:rPr>
                <w:rFonts w:ascii="Arial" w:hAnsi="Arial"/>
                <w:color w:val="2A2D34"/>
                <w:sz w:val="14"/>
              </w:rPr>
              <w:t>Price and projected reserve</w:t>
            </w:r>
          </w:p>
        </w:tc>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SETTLE</w:t>
            </w:r>
          </w:p>
          <w:p>
            <w:pPr>
              <w:spacing w:after="0"/>
            </w:pPr>
            <w:r>
              <w:rPr>
                <w:rFonts w:ascii="Arial" w:hAnsi="Arial"/>
                <w:color w:val="2A2D34"/>
                <w:sz w:val="14"/>
              </w:rPr>
              <w:t>Payment, receipt and escrow</w:t>
            </w:r>
          </w:p>
        </w:tc>
        <w:tc>
          <w:tcPr>
            <w:tcW w:type="dxa" w:w="2250"/>
            <w:tcMar>
              <w:top w:w="120" w:type="dxa"/>
              <w:start w:w="130" w:type="dxa"/>
              <w:bottom w:w="120" w:type="dxa"/>
              <w:end w:w="130" w:type="dxa"/>
            </w:tcMar>
            <w:shd w:fill="EAEDF2"/>
            <w:tcBorders>
              <w:top w:val="single" w:sz="22" w:color="17191F"/>
            </w:tcBorders>
          </w:tcPr>
          <w:p>
            <w:pPr>
              <w:spacing w:after="40"/>
            </w:pPr>
            <w:r>
              <w:rPr>
                <w:rFonts w:ascii="Arial" w:hAnsi="Arial"/>
                <w:b/>
                <w:color w:val="D73454"/>
                <w:sz w:val="14"/>
              </w:rPr>
              <w:t>ROLLBACK</w:t>
            </w:r>
          </w:p>
          <w:p>
            <w:pPr>
              <w:spacing w:after="0"/>
            </w:pPr>
            <w:r>
              <w:rPr>
                <w:rFonts w:ascii="Arial" w:hAnsi="Arial"/>
                <w:color w:val="2A2D34"/>
                <w:sz w:val="14"/>
              </w:rPr>
              <w:t>Any mismatch reverts all</w:t>
            </w:r>
          </w:p>
        </w:tc>
      </w:tr>
    </w:tbl>
    <w:p>
      <w:r>
        <w:br w:type="page"/>
      </w:r>
    </w:p>
    <w:p>
      <w:pPr>
        <w:pStyle w:val="Kicker"/>
      </w:pPr>
      <w:r>
        <w:t>ANALYSIS NOTES</w:t>
      </w:r>
    </w:p>
    <w:p>
      <w:pPr>
        <w:pStyle w:val="Heading1"/>
      </w:pPr>
      <w:r>
        <w:t>Redemption Funds Flow</w:t>
      </w:r>
    </w:p>
    <w:p>
      <w:pPr>
        <w:spacing w:after="200" w:line="96" w:lineRule="auto"/>
      </w:pPr>
      <w:r>
        <w:rPr>
          <w:rFonts w:ascii="Arial" w:hAnsi="Arial"/>
          <w:color w:val="E03E5B"/>
          <w:sz w:val="12"/>
        </w:rPr>
        <w:t>━━━━━━━━━━━━━━━━━━━━━━━━━━━━━━━━━━━━━━━━━━━━━━━━━━━━━━━━━━━━</w:t>
      </w:r>
    </w:p>
    <w:p>
      <w:pPr>
        <w:keepLines/>
        <w:widowControl/>
      </w:pPr>
      <w:r>
        <w:t>Presale buyers have an escrowed, cost-basis claim rather than immediately circulating AGNT. During an allowed redemption mode, Redemption V2 verifies receipt entitlement, applies the rolling global and wallet controls, records the redeemed amount and transfers the calculated USDT output.</w:t>
      </w:r>
    </w:p>
    <w:p>
      <w:pPr>
        <w:keepLines/>
        <w:widowControl/>
      </w:pPr>
      <w:r>
        <w:t>After sale end, the buyer may claim remaining purchased AGNT. The accounting prevents double use of a receipt and keeps reserve withdrawals below locked liability.</w:t>
      </w:r>
    </w:p>
    <w:p>
      <w:pPr>
        <w:spacing w:before="80" w:after="100"/>
        <w:jc w:val="center"/>
      </w:pPr>
      <w:r>
        <w:drawing>
          <wp:inline xmlns:a="http://schemas.openxmlformats.org/drawingml/2006/main" xmlns:pic="http://schemas.openxmlformats.org/drawingml/2006/picture">
            <wp:extent cx="6263640" cy="3523298"/>
            <wp:docPr id="8" name="Picture 8"/>
            <wp:cNvGraphicFramePr>
              <a:graphicFrameLocks noChangeAspect="1"/>
            </wp:cNvGraphicFramePr>
            <a:graphic>
              <a:graphicData uri="http://schemas.openxmlformats.org/drawingml/2006/picture">
                <pic:pic>
                  <pic:nvPicPr>
                    <pic:cNvPr id="0" name="redemption-flow.png"/>
                    <pic:cNvPicPr/>
                  </pic:nvPicPr>
                  <pic:blipFill>
                    <a:blip r:embed="rId18"/>
                    <a:stretch>
                      <a:fillRect/>
                    </a:stretch>
                  </pic:blipFill>
                  <pic:spPr>
                    <a:xfrm>
                      <a:off x="0" y="0"/>
                      <a:ext cx="6263640" cy="3523298"/>
                    </a:xfrm>
                    <a:prstGeom prst="rect"/>
                  </pic:spPr>
                </pic:pic>
              </a:graphicData>
            </a:graphic>
          </wp:inline>
        </w:drawing>
      </w:r>
    </w:p>
    <w:p>
      <w:pPr>
        <w:spacing w:after="100"/>
        <w:jc w:val="center"/>
      </w:pPr>
      <w:r>
        <w:rPr>
          <w:i/>
          <w:color w:val="787C84"/>
          <w:sz w:val="14"/>
        </w:rPr>
        <w:t>Figure 11. Redemption Funds Flow</w:t>
      </w:r>
    </w:p>
    <w:tbl>
      <w:tblPr>
        <w:tblW w:type="auto" w:w="0"/>
        <w:jc w:val="center"/>
        <w:tblLayout w:type="fixed"/>
        <w:tblLook w:firstColumn="1" w:firstRow="1" w:lastColumn="0" w:lastRow="0" w:noHBand="0" w:noVBand="1" w:val="04A0"/>
      </w:tblPr>
      <w:tblGrid>
        <w:gridCol w:w="3383"/>
        <w:gridCol w:w="3383"/>
        <w:gridCol w:w="3383"/>
      </w:tblGrid>
      <w:tr>
        <w:trPr>
          <w:tblHeader w:val="true"/>
        </w:trPr>
        <w:tc>
          <w:tcPr>
            <w:tcW w:type="dxa" w:w="2100"/>
            <w:shd w:fill="17191F"/>
            <w:tcMar>
              <w:top w:w="100" w:type="dxa"/>
              <w:start w:w="120" w:type="dxa"/>
              <w:bottom w:w="100" w:type="dxa"/>
              <w:end w:w="120" w:type="dxa"/>
            </w:tcMar>
            <w:vAlign w:val="center"/>
          </w:tcPr>
          <w:p>
            <w:pPr>
              <w:spacing w:after="0"/>
            </w:pPr>
            <w:r>
              <w:rPr>
                <w:rFonts w:ascii="Arial" w:hAnsi="Arial"/>
                <w:b/>
                <w:color w:val="FFFFFF"/>
                <w:sz w:val="16"/>
              </w:rPr>
              <w:t>Path</w:t>
            </w:r>
          </w:p>
        </w:tc>
        <w:tc>
          <w:tcPr>
            <w:tcW w:type="dxa" w:w="1800"/>
            <w:shd w:fill="17191F"/>
            <w:tcMar>
              <w:top w:w="100" w:type="dxa"/>
              <w:start w:w="120" w:type="dxa"/>
              <w:bottom w:w="100" w:type="dxa"/>
              <w:end w:w="120" w:type="dxa"/>
            </w:tcMar>
            <w:vAlign w:val="center"/>
          </w:tcPr>
          <w:p>
            <w:pPr>
              <w:spacing w:after="0"/>
            </w:pPr>
            <w:r>
              <w:rPr>
                <w:rFonts w:ascii="Arial" w:hAnsi="Arial"/>
                <w:b/>
                <w:color w:val="FFFFFF"/>
                <w:sz w:val="16"/>
              </w:rPr>
              <w:t>Asset/accounting action</w:t>
            </w:r>
          </w:p>
        </w:tc>
        <w:tc>
          <w:tcPr>
            <w:tcW w:type="dxa" w:w="5100"/>
            <w:shd w:fill="17191F"/>
            <w:tcMar>
              <w:top w:w="100" w:type="dxa"/>
              <w:start w:w="120" w:type="dxa"/>
              <w:bottom w:w="100" w:type="dxa"/>
              <w:end w:w="120" w:type="dxa"/>
            </w:tcMar>
            <w:vAlign w:val="center"/>
          </w:tcPr>
          <w:p>
            <w:pPr>
              <w:spacing w:after="0"/>
            </w:pPr>
            <w:r>
              <w:rPr>
                <w:rFonts w:ascii="Arial" w:hAnsi="Arial"/>
                <w:b/>
                <w:color w:val="FFFFFF"/>
                <w:sz w:val="16"/>
              </w:rPr>
              <w:t>Settlement control</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Presale</w:t>
            </w:r>
          </w:p>
        </w:tc>
        <w:tc>
          <w:tcPr>
            <w:tcW w:type="dxa" w:w="1800"/>
            <w:tcMar>
              <w:top w:w="85" w:type="dxa"/>
              <w:start w:w="120" w:type="dxa"/>
              <w:bottom w:w="85" w:type="dxa"/>
              <w:end w:w="120" w:type="dxa"/>
            </w:tcMar>
            <w:vAlign w:val="center"/>
          </w:tcPr>
          <w:p>
            <w:pPr>
              <w:spacing w:after="0"/>
            </w:pPr>
            <w:r>
              <w:rPr>
                <w:rFonts w:ascii="Arial" w:hAnsi="Arial"/>
                <w:color w:val="2A2D34"/>
                <w:sz w:val="15"/>
              </w:rPr>
              <w:t>Reduce escrowed entitlement and liability</w:t>
            </w:r>
          </w:p>
        </w:tc>
        <w:tc>
          <w:tcPr>
            <w:tcW w:type="dxa" w:w="5100"/>
            <w:tcMar>
              <w:top w:w="85" w:type="dxa"/>
              <w:start w:w="120" w:type="dxa"/>
              <w:bottom w:w="85" w:type="dxa"/>
              <w:end w:w="120" w:type="dxa"/>
            </w:tcMar>
            <w:vAlign w:val="center"/>
          </w:tcPr>
          <w:p>
            <w:pPr>
              <w:spacing w:after="0"/>
            </w:pPr>
            <w:r>
              <w:rPr>
                <w:rFonts w:ascii="Arial" w:hAnsi="Arial"/>
                <w:color w:val="2A2D34"/>
                <w:sz w:val="15"/>
              </w:rPr>
              <w:t>USDT net payout</w:t>
            </w:r>
          </w:p>
        </w:tc>
      </w:tr>
      <w:tr>
        <w:tc>
          <w:tcPr>
            <w:tcW w:type="dxa" w:w="2100"/>
            <w:tcMar>
              <w:top w:w="85" w:type="dxa"/>
              <w:start w:w="120" w:type="dxa"/>
              <w:bottom w:w="85" w:type="dxa"/>
              <w:end w:w="120" w:type="dxa"/>
            </w:tcMar>
            <w:shd w:fill="F4F5F7"/>
            <w:vAlign w:val="center"/>
          </w:tcPr>
          <w:p>
            <w:pPr>
              <w:spacing w:after="0"/>
            </w:pPr>
            <w:r>
              <w:rPr>
                <w:rFonts w:ascii="Arial" w:hAnsi="Arial"/>
                <w:color w:val="2A2D34"/>
                <w:sz w:val="15"/>
              </w:rPr>
              <w:t>Post-launch</w:t>
            </w:r>
          </w:p>
        </w:tc>
        <w:tc>
          <w:tcPr>
            <w:tcW w:type="dxa" w:w="1800"/>
            <w:tcMar>
              <w:top w:w="85" w:type="dxa"/>
              <w:start w:w="120" w:type="dxa"/>
              <w:bottom w:w="85" w:type="dxa"/>
              <w:end w:w="120" w:type="dxa"/>
            </w:tcMar>
            <w:shd w:fill="F4F5F7"/>
            <w:vAlign w:val="center"/>
          </w:tcPr>
          <w:p>
            <w:pPr>
              <w:spacing w:after="0"/>
            </w:pPr>
            <w:r>
              <w:rPr>
                <w:rFonts w:ascii="Arial" w:hAnsi="Arial"/>
                <w:color w:val="2A2D34"/>
                <w:sz w:val="15"/>
              </w:rPr>
              <w:t>Collect wallet AGNT with transferFrom</w:t>
            </w:r>
          </w:p>
        </w:tc>
        <w:tc>
          <w:tcPr>
            <w:tcW w:type="dxa" w:w="5100"/>
            <w:tcMar>
              <w:top w:w="85" w:type="dxa"/>
              <w:start w:w="120" w:type="dxa"/>
              <w:bottom w:w="85" w:type="dxa"/>
              <w:end w:w="120" w:type="dxa"/>
            </w:tcMar>
            <w:shd w:fill="F4F5F7"/>
            <w:vAlign w:val="center"/>
          </w:tcPr>
          <w:p>
            <w:pPr>
              <w:spacing w:after="0"/>
            </w:pPr>
            <w:r>
              <w:rPr>
                <w:rFonts w:ascii="Arial" w:hAnsi="Arial"/>
                <w:color w:val="2A2D34"/>
                <w:sz w:val="15"/>
              </w:rPr>
              <w:t>USDT net payout</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Shared limits</w:t>
            </w:r>
          </w:p>
        </w:tc>
        <w:tc>
          <w:tcPr>
            <w:tcW w:type="dxa" w:w="1800"/>
            <w:tcMar>
              <w:top w:w="85" w:type="dxa"/>
              <w:start w:w="120" w:type="dxa"/>
              <w:bottom w:w="85" w:type="dxa"/>
              <w:end w:w="120" w:type="dxa"/>
            </w:tcMar>
            <w:vAlign w:val="center"/>
          </w:tcPr>
          <w:p>
            <w:pPr>
              <w:spacing w:after="0"/>
            </w:pPr>
            <w:r>
              <w:rPr>
                <w:rFonts w:ascii="Arial" w:hAnsi="Arial"/>
                <w:color w:val="2A2D34"/>
                <w:sz w:val="15"/>
              </w:rPr>
              <w:t>25 hourly buckets / trailing 24h</w:t>
            </w:r>
          </w:p>
        </w:tc>
        <w:tc>
          <w:tcPr>
            <w:tcW w:type="dxa" w:w="5100"/>
            <w:tcMar>
              <w:top w:w="85" w:type="dxa"/>
              <w:start w:w="120" w:type="dxa"/>
              <w:bottom w:w="85" w:type="dxa"/>
              <w:end w:w="120" w:type="dxa"/>
            </w:tcMar>
            <w:vAlign w:val="center"/>
          </w:tcPr>
          <w:p>
            <w:pPr>
              <w:spacing w:after="0"/>
            </w:pPr>
            <w:r>
              <w:rPr>
                <w:rFonts w:ascii="Arial" w:hAnsi="Arial"/>
                <w:color w:val="2A2D34"/>
                <w:sz w:val="15"/>
              </w:rPr>
              <w:t>Wallet + global cumulative analysis</w:t>
            </w:r>
          </w:p>
        </w:tc>
      </w:tr>
    </w:tbl>
    <w:p>
      <w:pPr>
        <w:spacing w:before="140" w:after="80"/>
      </w:pPr>
      <w:r>
        <w:rPr>
          <w:rFonts w:ascii="Arial" w:hAnsi="Arial"/>
          <w:b/>
          <w:color w:val="D73454"/>
          <w:sz w:val="16"/>
        </w:rPr>
        <w:t>ENTITLEMENT AND PAYOUT RECONCILIATION</w:t>
      </w:r>
    </w:p>
    <w:p>
      <w:pPr>
        <w:keepLines/>
        <w:widowControl/>
      </w:pPr>
      <w:r>
        <w:t>Presale redemption consumes receipt entitlement and reduces locked cost basis before net USDT settlement; post-launch redemption receives wallet AGNT under allowance and applies the same bounded payout policy. Both paths share rolling limits, pause state and reserve checks. Claiming remaining presale AGNT is mutually exclusive with reusing the redeemed portion, preventing one purchase record from funding two exits.</w:t>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ELIGIBILITY</w:t>
            </w:r>
          </w:p>
          <w:p>
            <w:pPr>
              <w:spacing w:after="0"/>
            </w:pPr>
            <w:r>
              <w:rPr>
                <w:rFonts w:ascii="Arial" w:hAnsi="Arial"/>
                <w:color w:val="2A2D34"/>
                <w:sz w:val="14"/>
              </w:rPr>
              <w:t>Receipt or wallet AGNT</w:t>
            </w:r>
          </w:p>
        </w:tc>
        <w:tc>
          <w:tcPr>
            <w:tcW w:type="dxa" w:w="2250"/>
            <w:tcMar>
              <w:top w:w="120" w:type="dxa"/>
              <w:start w:w="130" w:type="dxa"/>
              <w:bottom w:w="120" w:type="dxa"/>
              <w:end w:w="130" w:type="dxa"/>
            </w:tcMar>
            <w:shd w:fill="EAEDF2"/>
            <w:tcBorders>
              <w:top w:val="single" w:sz="22" w:color="E33F5E"/>
            </w:tcBorders>
          </w:tcPr>
          <w:p>
            <w:pPr>
              <w:spacing w:after="40"/>
            </w:pPr>
            <w:r>
              <w:rPr>
                <w:rFonts w:ascii="Arial" w:hAnsi="Arial"/>
                <w:b/>
                <w:color w:val="D73454"/>
                <w:sz w:val="14"/>
              </w:rPr>
              <w:t>LIMIT</w:t>
            </w:r>
          </w:p>
          <w:p>
            <w:pPr>
              <w:spacing w:after="0"/>
            </w:pPr>
            <w:r>
              <w:rPr>
                <w:rFonts w:ascii="Arial" w:hAnsi="Arial"/>
                <w:color w:val="2A2D34"/>
                <w:sz w:val="14"/>
              </w:rPr>
              <w:t>Wallet plus global rolling</w:t>
            </w:r>
          </w:p>
        </w:tc>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ACCOUNTING</w:t>
            </w:r>
          </w:p>
          <w:p>
            <w:pPr>
              <w:spacing w:after="0"/>
            </w:pPr>
            <w:r>
              <w:rPr>
                <w:rFonts w:ascii="Arial" w:hAnsi="Arial"/>
                <w:color w:val="2A2D34"/>
                <w:sz w:val="14"/>
              </w:rPr>
              <w:t>Consume entitlement once</w:t>
            </w:r>
          </w:p>
        </w:tc>
        <w:tc>
          <w:tcPr>
            <w:tcW w:type="dxa" w:w="2250"/>
            <w:tcMar>
              <w:top w:w="120" w:type="dxa"/>
              <w:start w:w="130" w:type="dxa"/>
              <w:bottom w:w="120" w:type="dxa"/>
              <w:end w:w="130" w:type="dxa"/>
            </w:tcMar>
            <w:shd w:fill="EAEDF2"/>
            <w:tcBorders>
              <w:top w:val="single" w:sz="22" w:color="17191F"/>
            </w:tcBorders>
          </w:tcPr>
          <w:p>
            <w:pPr>
              <w:spacing w:after="40"/>
            </w:pPr>
            <w:r>
              <w:rPr>
                <w:rFonts w:ascii="Arial" w:hAnsi="Arial"/>
                <w:b/>
                <w:color w:val="D73454"/>
                <w:sz w:val="14"/>
              </w:rPr>
              <w:t>PAYOUT</w:t>
            </w:r>
          </w:p>
          <w:p>
            <w:pPr>
              <w:spacing w:after="0"/>
            </w:pPr>
            <w:r>
              <w:rPr>
                <w:rFonts w:ascii="Arial" w:hAnsi="Arial"/>
                <w:color w:val="2A2D34"/>
                <w:sz w:val="14"/>
              </w:rPr>
              <w:t>Reserve-backed net USDT</w:t>
            </w:r>
          </w:p>
        </w:tc>
      </w:tr>
    </w:tbl>
    <w:p>
      <w:r>
        <w:br w:type="page"/>
      </w:r>
    </w:p>
    <w:p>
      <w:pPr>
        <w:pStyle w:val="Kicker"/>
      </w:pPr>
      <w:r>
        <w:t>ANALYSIS NOTES</w:t>
      </w:r>
    </w:p>
    <w:p>
      <w:pPr>
        <w:pStyle w:val="Heading1"/>
      </w:pPr>
      <w:r>
        <w:t>Staking Lifecycle</w:t>
      </w:r>
    </w:p>
    <w:p>
      <w:pPr>
        <w:spacing w:after="200" w:line="96" w:lineRule="auto"/>
      </w:pPr>
      <w:r>
        <w:rPr>
          <w:rFonts w:ascii="Arial" w:hAnsi="Arial"/>
          <w:color w:val="E03E5B"/>
          <w:sz w:val="12"/>
        </w:rPr>
        <w:t>━━━━━━━━━━━━━━━━━━━━━━━━━━━━━━━━━━━━━━━━━━━━━━━━━━━━━━━━━━━━</w:t>
      </w:r>
    </w:p>
    <w:p>
      <w:pPr>
        <w:keepLines/>
        <w:widowControl/>
      </w:pPr>
      <w:r>
        <w:t>Staking intake supports USDT and BNB. The contract converts contribution value through feed-specific risk configuration and creates an immutable AGNT entitlement with a maturity timestamp. AGNT inventory must cover aggregate obligations.</w:t>
      </w:r>
    </w:p>
    <w:p>
      <w:pPr>
        <w:keepLines/>
        <w:widowControl/>
      </w:pPr>
      <w:r>
        <w:t>Any account may call claimFor after maturity, but the recipient is permanently the position owner. Proceeds release is sequenced after claim. Deposits deploy closed and can be persistently closed by the oracle breaker.</w:t>
      </w:r>
    </w:p>
    <w:p>
      <w:pPr>
        <w:spacing w:before="80" w:after="100"/>
        <w:jc w:val="center"/>
      </w:pPr>
      <w:r>
        <w:drawing>
          <wp:inline xmlns:a="http://schemas.openxmlformats.org/drawingml/2006/main" xmlns:pic="http://schemas.openxmlformats.org/drawingml/2006/picture">
            <wp:extent cx="6263640" cy="3523298"/>
            <wp:docPr id="9" name="Picture 9"/>
            <wp:cNvGraphicFramePr>
              <a:graphicFrameLocks noChangeAspect="1"/>
            </wp:cNvGraphicFramePr>
            <a:graphic>
              <a:graphicData uri="http://schemas.openxmlformats.org/drawingml/2006/picture">
                <pic:pic>
                  <pic:nvPicPr>
                    <pic:cNvPr id="0" name="staking-flow.png"/>
                    <pic:cNvPicPr/>
                  </pic:nvPicPr>
                  <pic:blipFill>
                    <a:blip r:embed="rId19"/>
                    <a:stretch>
                      <a:fillRect/>
                    </a:stretch>
                  </pic:blipFill>
                  <pic:spPr>
                    <a:xfrm>
                      <a:off x="0" y="0"/>
                      <a:ext cx="6263640" cy="3523298"/>
                    </a:xfrm>
                    <a:prstGeom prst="rect"/>
                  </pic:spPr>
                </pic:pic>
              </a:graphicData>
            </a:graphic>
          </wp:inline>
        </w:drawing>
      </w:r>
    </w:p>
    <w:p>
      <w:pPr>
        <w:spacing w:after="100"/>
        <w:jc w:val="center"/>
      </w:pPr>
      <w:r>
        <w:rPr>
          <w:i/>
          <w:color w:val="787C84"/>
          <w:sz w:val="14"/>
        </w:rPr>
        <w:t>Figure 12. Staking Lifecycle</w:t>
      </w:r>
    </w:p>
    <w:tbl>
      <w:tblPr>
        <w:tblW w:type="auto" w:w="0"/>
        <w:jc w:val="center"/>
        <w:tblLayout w:type="fixed"/>
        <w:tblLook w:firstColumn="1" w:firstRow="1" w:lastColumn="0" w:lastRow="0" w:noHBand="0" w:noVBand="1" w:val="04A0"/>
      </w:tblPr>
      <w:tblGrid>
        <w:gridCol w:w="3383"/>
        <w:gridCol w:w="3383"/>
        <w:gridCol w:w="3383"/>
      </w:tblGrid>
      <w:tr>
        <w:trPr>
          <w:tblHeader w:val="true"/>
        </w:trPr>
        <w:tc>
          <w:tcPr>
            <w:tcW w:type="dxa" w:w="2100"/>
            <w:shd w:fill="17191F"/>
            <w:tcMar>
              <w:top w:w="100" w:type="dxa"/>
              <w:start w:w="120" w:type="dxa"/>
              <w:bottom w:w="100" w:type="dxa"/>
              <w:end w:w="120" w:type="dxa"/>
            </w:tcMar>
            <w:vAlign w:val="center"/>
          </w:tcPr>
          <w:p>
            <w:pPr>
              <w:spacing w:after="0"/>
            </w:pPr>
            <w:r>
              <w:rPr>
                <w:rFonts w:ascii="Arial" w:hAnsi="Arial"/>
                <w:b/>
                <w:color w:val="FFFFFF"/>
                <w:sz w:val="16"/>
              </w:rPr>
              <w:t>Lifecycle stage</w:t>
            </w:r>
          </w:p>
        </w:tc>
        <w:tc>
          <w:tcPr>
            <w:tcW w:type="dxa" w:w="1800"/>
            <w:shd w:fill="17191F"/>
            <w:tcMar>
              <w:top w:w="100" w:type="dxa"/>
              <w:start w:w="120" w:type="dxa"/>
              <w:bottom w:w="100" w:type="dxa"/>
              <w:end w:w="120" w:type="dxa"/>
            </w:tcMar>
            <w:vAlign w:val="center"/>
          </w:tcPr>
          <w:p>
            <w:pPr>
              <w:spacing w:after="0"/>
            </w:pPr>
            <w:r>
              <w:rPr>
                <w:rFonts w:ascii="Arial" w:hAnsi="Arial"/>
                <w:b/>
                <w:color w:val="FFFFFF"/>
                <w:sz w:val="16"/>
              </w:rPr>
              <w:t>State/value rule</w:t>
            </w:r>
          </w:p>
        </w:tc>
        <w:tc>
          <w:tcPr>
            <w:tcW w:type="dxa" w:w="5100"/>
            <w:shd w:fill="17191F"/>
            <w:tcMar>
              <w:top w:w="100" w:type="dxa"/>
              <w:start w:w="120" w:type="dxa"/>
              <w:bottom w:w="100" w:type="dxa"/>
              <w:end w:w="120" w:type="dxa"/>
            </w:tcMar>
            <w:vAlign w:val="center"/>
          </w:tcPr>
          <w:p>
            <w:pPr>
              <w:spacing w:after="0"/>
            </w:pPr>
            <w:r>
              <w:rPr>
                <w:rFonts w:ascii="Arial" w:hAnsi="Arial"/>
                <w:b/>
                <w:color w:val="FFFFFF"/>
                <w:sz w:val="16"/>
              </w:rPr>
              <w:t>Fail-closed property</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Deposit</w:t>
            </w:r>
          </w:p>
        </w:tc>
        <w:tc>
          <w:tcPr>
            <w:tcW w:type="dxa" w:w="1800"/>
            <w:tcMar>
              <w:top w:w="85" w:type="dxa"/>
              <w:start w:w="120" w:type="dxa"/>
              <w:bottom w:w="85" w:type="dxa"/>
              <w:end w:w="120" w:type="dxa"/>
            </w:tcMar>
            <w:vAlign w:val="center"/>
          </w:tcPr>
          <w:p>
            <w:pPr>
              <w:spacing w:after="0"/>
            </w:pPr>
            <w:r>
              <w:rPr>
                <w:rFonts w:ascii="Arial" w:hAnsi="Arial"/>
                <w:color w:val="2A2D34"/>
                <w:sz w:val="15"/>
              </w:rPr>
              <w:t>USDT / BNB; closed by default</w:t>
            </w:r>
          </w:p>
        </w:tc>
        <w:tc>
          <w:tcPr>
            <w:tcW w:type="dxa" w:w="5100"/>
            <w:tcMar>
              <w:top w:w="85" w:type="dxa"/>
              <w:start w:w="120" w:type="dxa"/>
              <w:bottom w:w="85" w:type="dxa"/>
              <w:end w:w="120" w:type="dxa"/>
            </w:tcMar>
            <w:vAlign w:val="center"/>
          </w:tcPr>
          <w:p>
            <w:pPr>
              <w:spacing w:after="0"/>
            </w:pPr>
            <w:r>
              <w:rPr>
                <w:rFonts w:ascii="Arial" w:hAnsi="Arial"/>
                <w:color w:val="2A2D34"/>
                <w:sz w:val="15"/>
              </w:rPr>
              <w:t>Oracle breaker can close intake</w:t>
            </w:r>
          </w:p>
        </w:tc>
      </w:tr>
      <w:tr>
        <w:tc>
          <w:tcPr>
            <w:tcW w:type="dxa" w:w="2100"/>
            <w:tcMar>
              <w:top w:w="85" w:type="dxa"/>
              <w:start w:w="120" w:type="dxa"/>
              <w:bottom w:w="85" w:type="dxa"/>
              <w:end w:w="120" w:type="dxa"/>
            </w:tcMar>
            <w:shd w:fill="F4F5F7"/>
            <w:vAlign w:val="center"/>
          </w:tcPr>
          <w:p>
            <w:pPr>
              <w:spacing w:after="0"/>
            </w:pPr>
            <w:r>
              <w:rPr>
                <w:rFonts w:ascii="Arial" w:hAnsi="Arial"/>
                <w:color w:val="2A2D34"/>
                <w:sz w:val="15"/>
              </w:rPr>
              <w:t>Position</w:t>
            </w:r>
          </w:p>
        </w:tc>
        <w:tc>
          <w:tcPr>
            <w:tcW w:type="dxa" w:w="1800"/>
            <w:tcMar>
              <w:top w:w="85" w:type="dxa"/>
              <w:start w:w="120" w:type="dxa"/>
              <w:bottom w:w="85" w:type="dxa"/>
              <w:end w:w="120" w:type="dxa"/>
            </w:tcMar>
            <w:shd w:fill="F4F5F7"/>
            <w:vAlign w:val="center"/>
          </w:tcPr>
          <w:p>
            <w:pPr>
              <w:spacing w:after="0"/>
            </w:pPr>
            <w:r>
              <w:rPr>
                <w:rFonts w:ascii="Arial" w:hAnsi="Arial"/>
                <w:color w:val="2A2D34"/>
                <w:sz w:val="15"/>
              </w:rPr>
              <w:t>Fixed entitlement + maturity</w:t>
            </w:r>
          </w:p>
        </w:tc>
        <w:tc>
          <w:tcPr>
            <w:tcW w:type="dxa" w:w="5100"/>
            <w:tcMar>
              <w:top w:w="85" w:type="dxa"/>
              <w:start w:w="120" w:type="dxa"/>
              <w:bottom w:w="85" w:type="dxa"/>
              <w:end w:w="120" w:type="dxa"/>
            </w:tcMar>
            <w:shd w:fill="F4F5F7"/>
            <w:vAlign w:val="center"/>
          </w:tcPr>
          <w:p>
            <w:pPr>
              <w:spacing w:after="0"/>
            </w:pPr>
            <w:r>
              <w:rPr>
                <w:rFonts w:ascii="Arial" w:hAnsi="Arial"/>
                <w:color w:val="2A2D34"/>
                <w:sz w:val="15"/>
              </w:rPr>
              <w:t>Aggregate inventory coverage</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Claim</w:t>
            </w:r>
          </w:p>
        </w:tc>
        <w:tc>
          <w:tcPr>
            <w:tcW w:type="dxa" w:w="1800"/>
            <w:tcMar>
              <w:top w:w="85" w:type="dxa"/>
              <w:start w:w="120" w:type="dxa"/>
              <w:bottom w:w="85" w:type="dxa"/>
              <w:end w:w="120" w:type="dxa"/>
            </w:tcMar>
            <w:vAlign w:val="center"/>
          </w:tcPr>
          <w:p>
            <w:pPr>
              <w:spacing w:after="0"/>
            </w:pPr>
            <w:r>
              <w:rPr>
                <w:rFonts w:ascii="Arial" w:hAnsi="Arial"/>
                <w:color w:val="2A2D34"/>
                <w:sz w:val="15"/>
              </w:rPr>
              <w:t>Anyone may trigger claimFor</w:t>
            </w:r>
          </w:p>
        </w:tc>
        <w:tc>
          <w:tcPr>
            <w:tcW w:type="dxa" w:w="5100"/>
            <w:tcMar>
              <w:top w:w="85" w:type="dxa"/>
              <w:start w:w="120" w:type="dxa"/>
              <w:bottom w:w="85" w:type="dxa"/>
              <w:end w:w="120" w:type="dxa"/>
            </w:tcMar>
            <w:vAlign w:val="center"/>
          </w:tcPr>
          <w:p>
            <w:pPr>
              <w:spacing w:after="0"/>
            </w:pPr>
            <w:r>
              <w:rPr>
                <w:rFonts w:ascii="Arial" w:hAnsi="Arial"/>
                <w:color w:val="2A2D34"/>
                <w:sz w:val="15"/>
              </w:rPr>
              <w:t>Reward always goes to owner</w:t>
            </w:r>
          </w:p>
        </w:tc>
      </w:tr>
    </w:tbl>
    <w:p>
      <w:pPr>
        <w:spacing w:before="140" w:after="80"/>
      </w:pPr>
      <w:r>
        <w:rPr>
          <w:rFonts w:ascii="Arial" w:hAnsi="Arial"/>
          <w:b/>
          <w:color w:val="D73454"/>
          <w:sz w:val="16"/>
        </w:rPr>
        <w:t>POSITION-STATE INVARIANTS</w:t>
      </w:r>
    </w:p>
    <w:p>
      <w:pPr>
        <w:keepLines/>
        <w:widowControl/>
      </w:pPr>
      <w:r>
        <w:t>A position fixes owner, contribution basis, reward multiplier, AGNT entitlement and maturity when created. Aggregate entitlement increases only after payment and inventory checks succeed. Before maturity, claim rejects; at maturity, any caller may trigger settlement but the immutable owner receives AGNT. The claimed flag prevents replay, and beneficiary proceeds release occurs only after successful position settlement.</w:t>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CREATE</w:t>
            </w:r>
          </w:p>
          <w:p>
            <w:pPr>
              <w:spacing w:after="0"/>
            </w:pPr>
            <w:r>
              <w:rPr>
                <w:rFonts w:ascii="Arial" w:hAnsi="Arial"/>
                <w:color w:val="2A2D34"/>
                <w:sz w:val="14"/>
              </w:rPr>
              <w:t>Bound payment and entitlement</w:t>
            </w:r>
          </w:p>
        </w:tc>
        <w:tc>
          <w:tcPr>
            <w:tcW w:type="dxa" w:w="2250"/>
            <w:tcMar>
              <w:top w:w="120" w:type="dxa"/>
              <w:start w:w="130" w:type="dxa"/>
              <w:bottom w:w="120" w:type="dxa"/>
              <w:end w:w="130" w:type="dxa"/>
            </w:tcMar>
            <w:shd w:fill="EAEDF2"/>
            <w:tcBorders>
              <w:top w:val="single" w:sz="22" w:color="E33F5E"/>
            </w:tcBorders>
          </w:tcPr>
          <w:p>
            <w:pPr>
              <w:spacing w:after="40"/>
            </w:pPr>
            <w:r>
              <w:rPr>
                <w:rFonts w:ascii="Arial" w:hAnsi="Arial"/>
                <w:b/>
                <w:color w:val="D73454"/>
                <w:sz w:val="14"/>
              </w:rPr>
              <w:t>HOLD</w:t>
            </w:r>
          </w:p>
          <w:p>
            <w:pPr>
              <w:spacing w:after="0"/>
            </w:pPr>
            <w:r>
              <w:rPr>
                <w:rFonts w:ascii="Arial" w:hAnsi="Arial"/>
                <w:color w:val="2A2D34"/>
                <w:sz w:val="14"/>
              </w:rPr>
              <w:t>Inventory covers obligations</w:t>
            </w:r>
          </w:p>
        </w:tc>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MATURE</w:t>
            </w:r>
          </w:p>
          <w:p>
            <w:pPr>
              <w:spacing w:after="0"/>
            </w:pPr>
            <w:r>
              <w:rPr>
                <w:rFonts w:ascii="Arial" w:hAnsi="Arial"/>
                <w:color w:val="2A2D34"/>
                <w:sz w:val="14"/>
              </w:rPr>
              <w:t>Timestamp enables settlement</w:t>
            </w:r>
          </w:p>
        </w:tc>
        <w:tc>
          <w:tcPr>
            <w:tcW w:type="dxa" w:w="2250"/>
            <w:tcMar>
              <w:top w:w="120" w:type="dxa"/>
              <w:start w:w="130" w:type="dxa"/>
              <w:bottom w:w="120" w:type="dxa"/>
              <w:end w:w="130" w:type="dxa"/>
            </w:tcMar>
            <w:shd w:fill="EAEDF2"/>
            <w:tcBorders>
              <w:top w:val="single" w:sz="22" w:color="17191F"/>
            </w:tcBorders>
          </w:tcPr>
          <w:p>
            <w:pPr>
              <w:spacing w:after="40"/>
            </w:pPr>
            <w:r>
              <w:rPr>
                <w:rFonts w:ascii="Arial" w:hAnsi="Arial"/>
                <w:b/>
                <w:color w:val="D73454"/>
                <w:sz w:val="14"/>
              </w:rPr>
              <w:t>CLAIM</w:t>
            </w:r>
          </w:p>
          <w:p>
            <w:pPr>
              <w:spacing w:after="0"/>
            </w:pPr>
            <w:r>
              <w:rPr>
                <w:rFonts w:ascii="Arial" w:hAnsi="Arial"/>
                <w:color w:val="2A2D34"/>
                <w:sz w:val="14"/>
              </w:rPr>
              <w:t>Owner receives; replay blocked</w:t>
            </w:r>
          </w:p>
        </w:tc>
      </w:tr>
    </w:tbl>
    <w:p>
      <w:r>
        <w:br w:type="page"/>
      </w:r>
    </w:p>
    <w:p>
      <w:pPr>
        <w:pStyle w:val="Kicker"/>
      </w:pPr>
      <w:r>
        <w:t>ANALYSIS NOTES</w:t>
      </w:r>
    </w:p>
    <w:p>
      <w:pPr>
        <w:pStyle w:val="Heading1"/>
      </w:pPr>
      <w:r>
        <w:t>Market Registry State Machine</w:t>
      </w:r>
    </w:p>
    <w:p>
      <w:pPr>
        <w:spacing w:after="200" w:line="96" w:lineRule="auto"/>
      </w:pPr>
      <w:r>
        <w:rPr>
          <w:rFonts w:ascii="Arial" w:hAnsi="Arial"/>
          <w:color w:val="E03E5B"/>
          <w:sz w:val="12"/>
        </w:rPr>
        <w:t>━━━━━━━━━━━━━━━━━━━━━━━━━━━━━━━━━━━━━━━━━━━━━━━━━━━━━━━━━━━━</w:t>
      </w:r>
    </w:p>
    <w:tbl>
      <w:tblPr>
        <w:tblW w:type="auto" w:w="0"/>
        <w:jc w:val="center"/>
        <w:tblLayout w:type="fixed"/>
        <w:tblLook w:firstColumn="1" w:firstRow="1" w:lastColumn="0" w:lastRow="0" w:noHBand="0" w:noVBand="1" w:val="04A0"/>
      </w:tblPr>
      <w:tblGrid>
        <w:gridCol w:w="10148"/>
      </w:tblGrid>
      <w:tr>
        <w:tc>
          <w:tcPr>
            <w:tcW w:type="dxa" w:w="9000"/>
            <w:tcMar>
              <w:top w:w="160" w:type="dxa"/>
              <w:start w:w="180" w:type="dxa"/>
              <w:bottom w:w="160" w:type="dxa"/>
              <w:end w:w="180" w:type="dxa"/>
            </w:tcMar>
            <w:shd w:fill="EEF2F8"/>
            <w:tcBorders>
              <w:left w:val="single" w:sz="28" w:color="E33F5E"/>
            </w:tcBorders>
          </w:tcPr>
          <w:p>
            <w:pPr>
              <w:spacing w:after="0"/>
            </w:pPr>
            <w:r>
              <w:rPr>
                <w:rFonts w:ascii="Arial" w:hAnsi="Arial"/>
                <w:b/>
                <w:color w:val="2A2D34"/>
                <w:sz w:val="18"/>
              </w:rPr>
              <w:t>Unknown, conflicting or unreadable state fails closed.</w:t>
            </w:r>
          </w:p>
        </w:tc>
      </w:tr>
    </w:tbl>
    <w:p>
      <w:pPr>
        <w:spacing w:after="20"/>
      </w:pPr>
    </w:p>
    <w:p>
      <w:pPr>
        <w:keepLines/>
        <w:widowControl/>
      </w:pPr>
      <w:r>
        <w:t>The registry binds sale timing, operation modes and permitted endpoints. A purchase-capable state cannot be treated as a frontend flag: contract execution validates registry mode and timing on every transaction.</w:t>
      </w:r>
    </w:p>
    <w:p>
      <w:pPr>
        <w:keepLines/>
        <w:widowControl/>
      </w:pPr>
      <w:r>
        <w:t>The oracle circuit breaker writes a persistent pause into the registry. Recovery requires deliberate governance action after the feed and reference configuration have been evaluated; a failing transaction cannot silently reset the breaker.</w:t>
      </w:r>
    </w:p>
    <w:tbl>
      <w:tblPr>
        <w:tblW w:type="auto" w:w="0"/>
        <w:jc w:val="center"/>
        <w:tblLayout w:type="fixed"/>
        <w:tblLook w:firstColumn="1" w:firstRow="1" w:lastColumn="0" w:lastRow="0" w:noHBand="0" w:noVBand="1" w:val="04A0"/>
      </w:tblPr>
      <w:tblGrid>
        <w:gridCol w:w="3383"/>
        <w:gridCol w:w="3383"/>
        <w:gridCol w:w="3383"/>
      </w:tblGrid>
      <w:tr>
        <w:trPr>
          <w:tblHeader w:val="true"/>
        </w:trPr>
        <w:tc>
          <w:tcPr>
            <w:tcW w:type="dxa" w:w="2100"/>
            <w:shd w:fill="17191F"/>
            <w:tcMar>
              <w:top w:w="100" w:type="dxa"/>
              <w:start w:w="120" w:type="dxa"/>
              <w:bottom w:w="100" w:type="dxa"/>
              <w:end w:w="120" w:type="dxa"/>
            </w:tcMar>
            <w:vAlign w:val="center"/>
          </w:tcPr>
          <w:p>
            <w:pPr>
              <w:spacing w:after="0"/>
            </w:pPr>
            <w:r>
              <w:rPr>
                <w:rFonts w:ascii="Arial" w:hAnsi="Arial"/>
                <w:b/>
                <w:color w:val="FFFFFF"/>
                <w:sz w:val="16"/>
              </w:rPr>
              <w:t>State</w:t>
            </w:r>
          </w:p>
        </w:tc>
        <w:tc>
          <w:tcPr>
            <w:tcW w:type="dxa" w:w="1800"/>
            <w:shd w:fill="17191F"/>
            <w:tcMar>
              <w:top w:w="100" w:type="dxa"/>
              <w:start w:w="120" w:type="dxa"/>
              <w:bottom w:w="100" w:type="dxa"/>
              <w:end w:w="120" w:type="dxa"/>
            </w:tcMar>
            <w:vAlign w:val="center"/>
          </w:tcPr>
          <w:p>
            <w:pPr>
              <w:spacing w:after="0"/>
            </w:pPr>
            <w:r>
              <w:rPr>
                <w:rFonts w:ascii="Arial" w:hAnsi="Arial"/>
                <w:b/>
                <w:color w:val="FFFFFF"/>
                <w:sz w:val="16"/>
              </w:rPr>
              <w:t>Permitted behavior</w:t>
            </w:r>
          </w:p>
        </w:tc>
        <w:tc>
          <w:tcPr>
            <w:tcW w:type="dxa" w:w="5100"/>
            <w:shd w:fill="17191F"/>
            <w:tcMar>
              <w:top w:w="100" w:type="dxa"/>
              <w:start w:w="120" w:type="dxa"/>
              <w:bottom w:w="100" w:type="dxa"/>
              <w:end w:w="120" w:type="dxa"/>
            </w:tcMar>
            <w:vAlign w:val="center"/>
          </w:tcPr>
          <w:p>
            <w:pPr>
              <w:spacing w:after="0"/>
            </w:pPr>
            <w:r>
              <w:rPr>
                <w:rFonts w:ascii="Arial" w:hAnsi="Arial"/>
                <w:b/>
                <w:color w:val="FFFFFF"/>
                <w:sz w:val="16"/>
              </w:rPr>
              <w:t>Primary control</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PAUSED</w:t>
            </w:r>
          </w:p>
        </w:tc>
        <w:tc>
          <w:tcPr>
            <w:tcW w:type="dxa" w:w="1800"/>
            <w:tcMar>
              <w:top w:w="85" w:type="dxa"/>
              <w:start w:w="120" w:type="dxa"/>
              <w:bottom w:w="85" w:type="dxa"/>
              <w:end w:w="120" w:type="dxa"/>
            </w:tcMar>
            <w:vAlign w:val="center"/>
          </w:tcPr>
          <w:p>
            <w:pPr>
              <w:spacing w:after="0"/>
            </w:pPr>
            <w:r>
              <w:rPr>
                <w:rFonts w:ascii="Arial" w:hAnsi="Arial"/>
                <w:color w:val="2A2D34"/>
                <w:sz w:val="15"/>
              </w:rPr>
              <w:t>Purchase disabled</w:t>
            </w:r>
          </w:p>
        </w:tc>
        <w:tc>
          <w:tcPr>
            <w:tcW w:type="dxa" w:w="5100"/>
            <w:tcMar>
              <w:top w:w="85" w:type="dxa"/>
              <w:start w:w="120" w:type="dxa"/>
              <w:bottom w:w="85" w:type="dxa"/>
              <w:end w:w="120" w:type="dxa"/>
            </w:tcMar>
            <w:vAlign w:val="center"/>
          </w:tcPr>
          <w:p>
            <w:pPr>
              <w:spacing w:after="0"/>
            </w:pPr>
            <w:r>
              <w:rPr>
                <w:rFonts w:ascii="Arial" w:hAnsi="Arial"/>
                <w:color w:val="2A2D34"/>
                <w:sz w:val="15"/>
              </w:rPr>
              <w:t>Owner or breaker</w:t>
            </w:r>
          </w:p>
        </w:tc>
      </w:tr>
      <w:tr>
        <w:tc>
          <w:tcPr>
            <w:tcW w:type="dxa" w:w="2100"/>
            <w:tcMar>
              <w:top w:w="85" w:type="dxa"/>
              <w:start w:w="120" w:type="dxa"/>
              <w:bottom w:w="85" w:type="dxa"/>
              <w:end w:w="120" w:type="dxa"/>
            </w:tcMar>
            <w:shd w:fill="F4F5F7"/>
            <w:vAlign w:val="center"/>
          </w:tcPr>
          <w:p>
            <w:pPr>
              <w:spacing w:after="0"/>
            </w:pPr>
            <w:r>
              <w:rPr>
                <w:rFonts w:ascii="Arial" w:hAnsi="Arial"/>
                <w:color w:val="2A2D34"/>
                <w:sz w:val="15"/>
              </w:rPr>
              <w:t>PRESALE</w:t>
            </w:r>
          </w:p>
        </w:tc>
        <w:tc>
          <w:tcPr>
            <w:tcW w:type="dxa" w:w="1800"/>
            <w:tcMar>
              <w:top w:w="85" w:type="dxa"/>
              <w:start w:w="120" w:type="dxa"/>
              <w:bottom w:w="85" w:type="dxa"/>
              <w:end w:w="120" w:type="dxa"/>
            </w:tcMar>
            <w:shd w:fill="F4F5F7"/>
            <w:vAlign w:val="center"/>
          </w:tcPr>
          <w:p>
            <w:pPr>
              <w:spacing w:after="0"/>
            </w:pPr>
            <w:r>
              <w:rPr>
                <w:rFonts w:ascii="Arial" w:hAnsi="Arial"/>
                <w:color w:val="2A2D34"/>
                <w:sz w:val="15"/>
              </w:rPr>
              <w:t>Purchase and presale policy</w:t>
            </w:r>
          </w:p>
        </w:tc>
        <w:tc>
          <w:tcPr>
            <w:tcW w:type="dxa" w:w="5100"/>
            <w:tcMar>
              <w:top w:w="85" w:type="dxa"/>
              <w:start w:w="120" w:type="dxa"/>
              <w:bottom w:w="85" w:type="dxa"/>
              <w:end w:w="120" w:type="dxa"/>
            </w:tcMar>
            <w:shd w:fill="F4F5F7"/>
            <w:vAlign w:val="center"/>
          </w:tcPr>
          <w:p>
            <w:pPr>
              <w:spacing w:after="0"/>
            </w:pPr>
            <w:r>
              <w:rPr>
                <w:rFonts w:ascii="Arial" w:hAnsi="Arial"/>
                <w:color w:val="2A2D34"/>
                <w:sz w:val="15"/>
              </w:rPr>
              <w:t>Time + endpoint + reserve checks</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LIMITED</w:t>
            </w:r>
          </w:p>
        </w:tc>
        <w:tc>
          <w:tcPr>
            <w:tcW w:type="dxa" w:w="1800"/>
            <w:tcMar>
              <w:top w:w="85" w:type="dxa"/>
              <w:start w:w="120" w:type="dxa"/>
              <w:bottom w:w="85" w:type="dxa"/>
              <w:end w:w="120" w:type="dxa"/>
            </w:tcMar>
            <w:vAlign w:val="center"/>
          </w:tcPr>
          <w:p>
            <w:pPr>
              <w:spacing w:after="0"/>
            </w:pPr>
            <w:r>
              <w:rPr>
                <w:rFonts w:ascii="Arial" w:hAnsi="Arial"/>
                <w:color w:val="2A2D34"/>
                <w:sz w:val="15"/>
              </w:rPr>
              <w:t>Configured start/end window</w:t>
            </w:r>
          </w:p>
        </w:tc>
        <w:tc>
          <w:tcPr>
            <w:tcW w:type="dxa" w:w="5100"/>
            <w:tcMar>
              <w:top w:w="85" w:type="dxa"/>
              <w:start w:w="120" w:type="dxa"/>
              <w:bottom w:w="85" w:type="dxa"/>
              <w:end w:w="120" w:type="dxa"/>
            </w:tcMar>
            <w:vAlign w:val="center"/>
          </w:tcPr>
          <w:p>
            <w:pPr>
              <w:spacing w:after="0"/>
            </w:pPr>
            <w:r>
              <w:rPr>
                <w:rFonts w:ascii="Arial" w:hAnsi="Arial"/>
                <w:color w:val="2A2D34"/>
                <w:sz w:val="15"/>
              </w:rPr>
              <w:t>Registry schedule</w:t>
            </w:r>
          </w:p>
        </w:tc>
      </w:tr>
      <w:tr>
        <w:tc>
          <w:tcPr>
            <w:tcW w:type="dxa" w:w="2100"/>
            <w:tcMar>
              <w:top w:w="85" w:type="dxa"/>
              <w:start w:w="120" w:type="dxa"/>
              <w:bottom w:w="85" w:type="dxa"/>
              <w:end w:w="120" w:type="dxa"/>
            </w:tcMar>
            <w:shd w:fill="F4F5F7"/>
            <w:vAlign w:val="center"/>
          </w:tcPr>
          <w:p>
            <w:pPr>
              <w:spacing w:after="0"/>
            </w:pPr>
            <w:r>
              <w:rPr>
                <w:rFonts w:ascii="Arial" w:hAnsi="Arial"/>
                <w:color w:val="2A2D34"/>
                <w:sz w:val="15"/>
              </w:rPr>
              <w:t>REDEMPTION_ONLY</w:t>
            </w:r>
          </w:p>
        </w:tc>
        <w:tc>
          <w:tcPr>
            <w:tcW w:type="dxa" w:w="1800"/>
            <w:tcMar>
              <w:top w:w="85" w:type="dxa"/>
              <w:start w:w="120" w:type="dxa"/>
              <w:bottom w:w="85" w:type="dxa"/>
              <w:end w:w="120" w:type="dxa"/>
            </w:tcMar>
            <w:shd w:fill="F4F5F7"/>
            <w:vAlign w:val="center"/>
          </w:tcPr>
          <w:p>
            <w:pPr>
              <w:spacing w:after="0"/>
            </w:pPr>
            <w:r>
              <w:rPr>
                <w:rFonts w:ascii="Arial" w:hAnsi="Arial"/>
                <w:color w:val="2A2D34"/>
                <w:sz w:val="15"/>
              </w:rPr>
              <w:t>Purchase disabled; eligible redemption</w:t>
            </w:r>
          </w:p>
        </w:tc>
        <w:tc>
          <w:tcPr>
            <w:tcW w:type="dxa" w:w="5100"/>
            <w:tcMar>
              <w:top w:w="85" w:type="dxa"/>
              <w:start w:w="120" w:type="dxa"/>
              <w:bottom w:w="85" w:type="dxa"/>
              <w:end w:w="120" w:type="dxa"/>
            </w:tcMar>
            <w:shd w:fill="F4F5F7"/>
            <w:vAlign w:val="center"/>
          </w:tcPr>
          <w:p>
            <w:pPr>
              <w:spacing w:after="0"/>
            </w:pPr>
            <w:r>
              <w:rPr>
                <w:rFonts w:ascii="Arial" w:hAnsi="Arial"/>
                <w:color w:val="2A2D34"/>
                <w:sz w:val="15"/>
              </w:rPr>
              <w:t>Registry mode</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ENDED</w:t>
            </w:r>
          </w:p>
        </w:tc>
        <w:tc>
          <w:tcPr>
            <w:tcW w:type="dxa" w:w="1800"/>
            <w:tcMar>
              <w:top w:w="85" w:type="dxa"/>
              <w:start w:w="120" w:type="dxa"/>
              <w:bottom w:w="85" w:type="dxa"/>
              <w:end w:w="120" w:type="dxa"/>
            </w:tcMar>
            <w:vAlign w:val="center"/>
          </w:tcPr>
          <w:p>
            <w:pPr>
              <w:spacing w:after="0"/>
            </w:pPr>
            <w:r>
              <w:rPr>
                <w:rFonts w:ascii="Arial" w:hAnsi="Arial"/>
                <w:color w:val="2A2D34"/>
                <w:sz w:val="15"/>
              </w:rPr>
              <w:t>Presale settlement/claim path</w:t>
            </w:r>
          </w:p>
        </w:tc>
        <w:tc>
          <w:tcPr>
            <w:tcW w:type="dxa" w:w="5100"/>
            <w:tcMar>
              <w:top w:w="85" w:type="dxa"/>
              <w:start w:w="120" w:type="dxa"/>
              <w:bottom w:w="85" w:type="dxa"/>
              <w:end w:w="120" w:type="dxa"/>
            </w:tcMar>
            <w:vAlign w:val="center"/>
          </w:tcPr>
          <w:p>
            <w:pPr>
              <w:spacing w:after="0"/>
            </w:pPr>
            <w:r>
              <w:rPr>
                <w:rFonts w:ascii="Arial" w:hAnsi="Arial"/>
                <w:color w:val="2A2D34"/>
                <w:sz w:val="15"/>
              </w:rPr>
              <w:t>saleEnd timestamp</w:t>
            </w:r>
          </w:p>
        </w:tc>
      </w:tr>
    </w:tbl>
    <w:p>
      <w:pPr>
        <w:spacing w:before="140" w:after="80"/>
      </w:pPr>
      <w:r>
        <w:rPr>
          <w:rFonts w:ascii="Arial" w:hAnsi="Arial"/>
          <w:b/>
          <w:color w:val="D73454"/>
          <w:sz w:val="16"/>
        </w:rPr>
        <w:t>TRANSITION ANALYSIS</w:t>
      </w:r>
    </w:p>
    <w:p>
      <w:pPr>
        <w:keepLines/>
        <w:widowControl/>
      </w:pPr>
      <w:r>
        <w:t>Transition analysis evaluates both the requested target state and the configuration that would become reachable after the change. Opening a purchase-capable mode requires valid timing, bound endpoints and healthy BNB, USDT and USDC oracle paths; pausing is risk-reducing and remains available. Reopening after a breaker is therefore an explicit governed recovery action, not an automatic side effect.</w:t>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CLOSED → OPEN</w:t>
            </w:r>
          </w:p>
          <w:p>
            <w:pPr>
              <w:spacing w:after="0"/>
            </w:pPr>
            <w:r>
              <w:rPr>
                <w:rFonts w:ascii="Arial" w:hAnsi="Arial"/>
                <w:color w:val="2A2D34"/>
                <w:sz w:val="14"/>
              </w:rPr>
              <w:t>All gates re-evaluated</w:t>
            </w:r>
          </w:p>
        </w:tc>
        <w:tc>
          <w:tcPr>
            <w:tcW w:type="dxa" w:w="2250"/>
            <w:tcMar>
              <w:top w:w="120" w:type="dxa"/>
              <w:start w:w="130" w:type="dxa"/>
              <w:bottom w:w="120" w:type="dxa"/>
              <w:end w:w="130" w:type="dxa"/>
            </w:tcMar>
            <w:shd w:fill="EAEDF2"/>
            <w:tcBorders>
              <w:top w:val="single" w:sz="22" w:color="E33F5E"/>
            </w:tcBorders>
          </w:tcPr>
          <w:p>
            <w:pPr>
              <w:spacing w:after="40"/>
            </w:pPr>
            <w:r>
              <w:rPr>
                <w:rFonts w:ascii="Arial" w:hAnsi="Arial"/>
                <w:b/>
                <w:color w:val="D73454"/>
                <w:sz w:val="14"/>
              </w:rPr>
              <w:t>OPEN → PAUSED</w:t>
            </w:r>
          </w:p>
          <w:p>
            <w:pPr>
              <w:spacing w:after="0"/>
            </w:pPr>
            <w:r>
              <w:rPr>
                <w:rFonts w:ascii="Arial" w:hAnsi="Arial"/>
                <w:color w:val="2A2D34"/>
                <w:sz w:val="14"/>
              </w:rPr>
              <w:t>Owner or breaker</w:t>
            </w:r>
          </w:p>
        </w:tc>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PAUSED → OPEN</w:t>
            </w:r>
          </w:p>
          <w:p>
            <w:pPr>
              <w:spacing w:after="0"/>
            </w:pPr>
            <w:r>
              <w:rPr>
                <w:rFonts w:ascii="Arial" w:hAnsi="Arial"/>
                <w:color w:val="2A2D34"/>
                <w:sz w:val="14"/>
              </w:rPr>
              <w:t>Governed recovery</w:t>
            </w:r>
          </w:p>
        </w:tc>
        <w:tc>
          <w:tcPr>
            <w:tcW w:type="dxa" w:w="2250"/>
            <w:tcMar>
              <w:top w:w="120" w:type="dxa"/>
              <w:start w:w="130" w:type="dxa"/>
              <w:bottom w:w="120" w:type="dxa"/>
              <w:end w:w="130" w:type="dxa"/>
            </w:tcMar>
            <w:shd w:fill="EAEDF2"/>
            <w:tcBorders>
              <w:top w:val="single" w:sz="22" w:color="17191F"/>
            </w:tcBorders>
          </w:tcPr>
          <w:p>
            <w:pPr>
              <w:spacing w:after="40"/>
            </w:pPr>
            <w:r>
              <w:rPr>
                <w:rFonts w:ascii="Arial" w:hAnsi="Arial"/>
                <w:b/>
                <w:color w:val="D73454"/>
                <w:sz w:val="14"/>
              </w:rPr>
              <w:t>UNKNOWN STATE</w:t>
            </w:r>
          </w:p>
          <w:p>
            <w:pPr>
              <w:spacing w:after="0"/>
            </w:pPr>
            <w:r>
              <w:rPr>
                <w:rFonts w:ascii="Arial" w:hAnsi="Arial"/>
                <w:color w:val="2A2D34"/>
                <w:sz w:val="14"/>
              </w:rPr>
              <w:t>Reject</w:t>
            </w:r>
          </w:p>
        </w:tc>
      </w:tr>
    </w:tbl>
    <w:p>
      <w:r>
        <w:br w:type="page"/>
      </w:r>
    </w:p>
    <w:p>
      <w:pPr>
        <w:pStyle w:val="Kicker"/>
      </w:pPr>
      <w:r>
        <w:t>ANALYSIS NOTES</w:t>
      </w:r>
    </w:p>
    <w:p>
      <w:pPr>
        <w:pStyle w:val="Heading1"/>
      </w:pPr>
      <w:r>
        <w:t>Privileged Operations and Governance</w:t>
      </w:r>
    </w:p>
    <w:p>
      <w:pPr>
        <w:spacing w:after="200" w:line="96" w:lineRule="auto"/>
      </w:pPr>
      <w:r>
        <w:rPr>
          <w:rFonts w:ascii="Arial" w:hAnsi="Arial"/>
          <w:color w:val="E03E5B"/>
          <w:sz w:val="12"/>
        </w:rPr>
        <w:t>━━━━━━━━━━━━━━━━━━━━━━━━━━━━━━━━━━━━━━━━━━━━━━━━━━━━━━━━━━━━</w:t>
      </w:r>
    </w:p>
    <w:p>
      <w:pPr>
        <w:keepLines/>
        <w:widowControl/>
      </w:pPr>
      <w:r>
        <w:t>Ownable2Step is used at the contract layer; the deployment workflow requires ownership to terminate at a TimelockController operated through a distinct Safe. The minimum assessed delay is 172800 seconds. Safe threshold and unique owners are read and verified from chain evidence before activation.</w:t>
      </w:r>
    </w:p>
    <w:p>
      <w:pPr>
        <w:keepLines/>
        <w:widowControl/>
      </w:pPr>
      <w:r>
        <w:t>Permissionless breaker calls may only reduce risk by closing a market or deposit path. They do not grant withdrawal, configuration or beneficiary authority.</w:t>
      </w:r>
    </w:p>
    <w:tbl>
      <w:tblPr>
        <w:tblW w:type="auto" w:w="0"/>
        <w:jc w:val="center"/>
        <w:tblLayout w:type="fixed"/>
        <w:tblLook w:firstColumn="1" w:firstRow="1" w:lastColumn="0" w:lastRow="0" w:noHBand="0" w:noVBand="1" w:val="04A0"/>
      </w:tblPr>
      <w:tblGrid>
        <w:gridCol w:w="3383"/>
        <w:gridCol w:w="3383"/>
        <w:gridCol w:w="3383"/>
      </w:tblGrid>
      <w:tr>
        <w:trPr>
          <w:tblHeader w:val="true"/>
        </w:trPr>
        <w:tc>
          <w:tcPr>
            <w:tcW w:type="dxa" w:w="2100"/>
            <w:shd w:fill="17191F"/>
            <w:tcMar>
              <w:top w:w="100" w:type="dxa"/>
              <w:start w:w="120" w:type="dxa"/>
              <w:bottom w:w="100" w:type="dxa"/>
              <w:end w:w="120" w:type="dxa"/>
            </w:tcMar>
            <w:vAlign w:val="center"/>
          </w:tcPr>
          <w:p>
            <w:pPr>
              <w:spacing w:after="0"/>
            </w:pPr>
            <w:r>
              <w:rPr>
                <w:rFonts w:ascii="Arial" w:hAnsi="Arial"/>
                <w:b/>
                <w:color w:val="FFFFFF"/>
                <w:sz w:val="16"/>
              </w:rPr>
              <w:t>Operation</w:t>
            </w:r>
          </w:p>
        </w:tc>
        <w:tc>
          <w:tcPr>
            <w:tcW w:type="dxa" w:w="1800"/>
            <w:shd w:fill="17191F"/>
            <w:tcMar>
              <w:top w:w="100" w:type="dxa"/>
              <w:start w:w="120" w:type="dxa"/>
              <w:bottom w:w="100" w:type="dxa"/>
              <w:end w:w="120" w:type="dxa"/>
            </w:tcMar>
            <w:vAlign w:val="center"/>
          </w:tcPr>
          <w:p>
            <w:pPr>
              <w:spacing w:after="0"/>
            </w:pPr>
            <w:r>
              <w:rPr>
                <w:rFonts w:ascii="Arial" w:hAnsi="Arial"/>
                <w:b/>
                <w:color w:val="FFFFFF"/>
                <w:sz w:val="16"/>
              </w:rPr>
              <w:t>Authority</w:t>
            </w:r>
          </w:p>
        </w:tc>
        <w:tc>
          <w:tcPr>
            <w:tcW w:type="dxa" w:w="5100"/>
            <w:shd w:fill="17191F"/>
            <w:tcMar>
              <w:top w:w="100" w:type="dxa"/>
              <w:start w:w="120" w:type="dxa"/>
              <w:bottom w:w="100" w:type="dxa"/>
              <w:end w:w="120" w:type="dxa"/>
            </w:tcMar>
            <w:vAlign w:val="center"/>
          </w:tcPr>
          <w:p>
            <w:pPr>
              <w:spacing w:after="0"/>
            </w:pPr>
            <w:r>
              <w:rPr>
                <w:rFonts w:ascii="Arial" w:hAnsi="Arial"/>
                <w:b/>
                <w:color w:val="FFFFFF"/>
                <w:sz w:val="16"/>
              </w:rPr>
              <w:t>Constraint</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Market mode / endpoints</w:t>
            </w:r>
          </w:p>
        </w:tc>
        <w:tc>
          <w:tcPr>
            <w:tcW w:type="dxa" w:w="1800"/>
            <w:tcMar>
              <w:top w:w="85" w:type="dxa"/>
              <w:start w:w="120" w:type="dxa"/>
              <w:bottom w:w="85" w:type="dxa"/>
              <w:end w:w="120" w:type="dxa"/>
            </w:tcMar>
            <w:vAlign w:val="center"/>
          </w:tcPr>
          <w:p>
            <w:pPr>
              <w:spacing w:after="0"/>
            </w:pPr>
            <w:r>
              <w:rPr>
                <w:rFonts w:ascii="Arial" w:hAnsi="Arial"/>
                <w:color w:val="2A2D34"/>
                <w:sz w:val="15"/>
              </w:rPr>
              <w:t>Timelock owner</w:t>
            </w:r>
          </w:p>
        </w:tc>
        <w:tc>
          <w:tcPr>
            <w:tcW w:type="dxa" w:w="5100"/>
            <w:tcMar>
              <w:top w:w="85" w:type="dxa"/>
              <w:start w:w="120" w:type="dxa"/>
              <w:bottom w:w="85" w:type="dxa"/>
              <w:end w:w="120" w:type="dxa"/>
            </w:tcMar>
            <w:vAlign w:val="center"/>
          </w:tcPr>
          <w:p>
            <w:pPr>
              <w:spacing w:after="0"/>
            </w:pPr>
            <w:r>
              <w:rPr>
                <w:rFonts w:ascii="Arial" w:hAnsi="Arial"/>
                <w:color w:val="2A2D34"/>
                <w:sz w:val="15"/>
              </w:rPr>
              <w:t>Delay + Safe quorum</w:t>
            </w:r>
          </w:p>
        </w:tc>
      </w:tr>
      <w:tr>
        <w:tc>
          <w:tcPr>
            <w:tcW w:type="dxa" w:w="2100"/>
            <w:tcMar>
              <w:top w:w="85" w:type="dxa"/>
              <w:start w:w="120" w:type="dxa"/>
              <w:bottom w:w="85" w:type="dxa"/>
              <w:end w:w="120" w:type="dxa"/>
            </w:tcMar>
            <w:shd w:fill="F4F5F7"/>
            <w:vAlign w:val="center"/>
          </w:tcPr>
          <w:p>
            <w:pPr>
              <w:spacing w:after="0"/>
            </w:pPr>
            <w:r>
              <w:rPr>
                <w:rFonts w:ascii="Arial" w:hAnsi="Arial"/>
                <w:color w:val="2A2D34"/>
                <w:sz w:val="15"/>
              </w:rPr>
              <w:t>Oracle risk configuration</w:t>
            </w:r>
          </w:p>
        </w:tc>
        <w:tc>
          <w:tcPr>
            <w:tcW w:type="dxa" w:w="1800"/>
            <w:tcMar>
              <w:top w:w="85" w:type="dxa"/>
              <w:start w:w="120" w:type="dxa"/>
              <w:bottom w:w="85" w:type="dxa"/>
              <w:end w:w="120" w:type="dxa"/>
            </w:tcMar>
            <w:shd w:fill="F4F5F7"/>
            <w:vAlign w:val="center"/>
          </w:tcPr>
          <w:p>
            <w:pPr>
              <w:spacing w:after="0"/>
            </w:pPr>
            <w:r>
              <w:rPr>
                <w:rFonts w:ascii="Arial" w:hAnsi="Arial"/>
                <w:color w:val="2A2D34"/>
                <w:sz w:val="15"/>
              </w:rPr>
              <w:t>Timelock owner</w:t>
            </w:r>
          </w:p>
        </w:tc>
        <w:tc>
          <w:tcPr>
            <w:tcW w:type="dxa" w:w="5100"/>
            <w:tcMar>
              <w:top w:w="85" w:type="dxa"/>
              <w:start w:w="120" w:type="dxa"/>
              <w:bottom w:w="85" w:type="dxa"/>
              <w:end w:w="120" w:type="dxa"/>
            </w:tcMar>
            <w:shd w:fill="F4F5F7"/>
            <w:vAlign w:val="center"/>
          </w:tcPr>
          <w:p>
            <w:pPr>
              <w:spacing w:after="0"/>
            </w:pPr>
            <w:r>
              <w:rPr>
                <w:rFonts w:ascii="Arial" w:hAnsi="Arial"/>
                <w:color w:val="2A2D34"/>
                <w:sz w:val="15"/>
              </w:rPr>
              <w:t>Paused-state and bounds validation</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Reserve / inventory withdrawal</w:t>
            </w:r>
          </w:p>
        </w:tc>
        <w:tc>
          <w:tcPr>
            <w:tcW w:type="dxa" w:w="1800"/>
            <w:tcMar>
              <w:top w:w="85" w:type="dxa"/>
              <w:start w:w="120" w:type="dxa"/>
              <w:bottom w:w="85" w:type="dxa"/>
              <w:end w:w="120" w:type="dxa"/>
            </w:tcMar>
            <w:vAlign w:val="center"/>
          </w:tcPr>
          <w:p>
            <w:pPr>
              <w:spacing w:after="0"/>
            </w:pPr>
            <w:r>
              <w:rPr>
                <w:rFonts w:ascii="Arial" w:hAnsi="Arial"/>
                <w:color w:val="2A2D34"/>
                <w:sz w:val="15"/>
              </w:rPr>
              <w:t>Timelock owner</w:t>
            </w:r>
          </w:p>
        </w:tc>
        <w:tc>
          <w:tcPr>
            <w:tcW w:type="dxa" w:w="5100"/>
            <w:tcMar>
              <w:top w:w="85" w:type="dxa"/>
              <w:start w:w="120" w:type="dxa"/>
              <w:bottom w:w="85" w:type="dxa"/>
              <w:end w:w="120" w:type="dxa"/>
            </w:tcMar>
            <w:vAlign w:val="center"/>
          </w:tcPr>
          <w:p>
            <w:pPr>
              <w:spacing w:after="0"/>
            </w:pPr>
            <w:r>
              <w:rPr>
                <w:rFonts w:ascii="Arial" w:hAnsi="Arial"/>
                <w:color w:val="2A2D34"/>
                <w:sz w:val="15"/>
              </w:rPr>
              <w:t>Locked-liability / surplus bound</w:t>
            </w:r>
          </w:p>
        </w:tc>
      </w:tr>
      <w:tr>
        <w:tc>
          <w:tcPr>
            <w:tcW w:type="dxa" w:w="2100"/>
            <w:tcMar>
              <w:top w:w="85" w:type="dxa"/>
              <w:start w:w="120" w:type="dxa"/>
              <w:bottom w:w="85" w:type="dxa"/>
              <w:end w:w="120" w:type="dxa"/>
            </w:tcMar>
            <w:shd w:fill="F4F5F7"/>
            <w:vAlign w:val="center"/>
          </w:tcPr>
          <w:p>
            <w:pPr>
              <w:spacing w:after="0"/>
            </w:pPr>
            <w:r>
              <w:rPr>
                <w:rFonts w:ascii="Arial" w:hAnsi="Arial"/>
                <w:color w:val="2A2D34"/>
                <w:sz w:val="15"/>
              </w:rPr>
              <w:t>Beneficiary rotation</w:t>
            </w:r>
          </w:p>
        </w:tc>
        <w:tc>
          <w:tcPr>
            <w:tcW w:type="dxa" w:w="1800"/>
            <w:tcMar>
              <w:top w:w="85" w:type="dxa"/>
              <w:start w:w="120" w:type="dxa"/>
              <w:bottom w:w="85" w:type="dxa"/>
              <w:end w:w="120" w:type="dxa"/>
            </w:tcMar>
            <w:shd w:fill="F4F5F7"/>
            <w:vAlign w:val="center"/>
          </w:tcPr>
          <w:p>
            <w:pPr>
              <w:spacing w:after="0"/>
            </w:pPr>
            <w:r>
              <w:rPr>
                <w:rFonts w:ascii="Arial" w:hAnsi="Arial"/>
                <w:color w:val="2A2D34"/>
                <w:sz w:val="15"/>
              </w:rPr>
              <w:t>Owner proposes; candidate accepts</w:t>
            </w:r>
          </w:p>
        </w:tc>
        <w:tc>
          <w:tcPr>
            <w:tcW w:type="dxa" w:w="5100"/>
            <w:tcMar>
              <w:top w:w="85" w:type="dxa"/>
              <w:start w:w="120" w:type="dxa"/>
              <w:bottom w:w="85" w:type="dxa"/>
              <w:end w:w="120" w:type="dxa"/>
            </w:tcMar>
            <w:shd w:fill="F4F5F7"/>
            <w:vAlign w:val="center"/>
          </w:tcPr>
          <w:p>
            <w:pPr>
              <w:spacing w:after="0"/>
            </w:pPr>
            <w:r>
              <w:rPr>
                <w:rFonts w:ascii="Arial" w:hAnsi="Arial"/>
                <w:color w:val="2A2D34"/>
                <w:sz w:val="15"/>
              </w:rPr>
              <w:t>Delay + collision checks</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Circuit breaker trip</w:t>
            </w:r>
          </w:p>
        </w:tc>
        <w:tc>
          <w:tcPr>
            <w:tcW w:type="dxa" w:w="1800"/>
            <w:tcMar>
              <w:top w:w="85" w:type="dxa"/>
              <w:start w:w="120" w:type="dxa"/>
              <w:bottom w:w="85" w:type="dxa"/>
              <w:end w:w="120" w:type="dxa"/>
            </w:tcMar>
            <w:vAlign w:val="center"/>
          </w:tcPr>
          <w:p>
            <w:pPr>
              <w:spacing w:after="0"/>
            </w:pPr>
            <w:r>
              <w:rPr>
                <w:rFonts w:ascii="Arial" w:hAnsi="Arial"/>
                <w:color w:val="2A2D34"/>
                <w:sz w:val="15"/>
              </w:rPr>
              <w:t>Any caller</w:t>
            </w:r>
          </w:p>
        </w:tc>
        <w:tc>
          <w:tcPr>
            <w:tcW w:type="dxa" w:w="5100"/>
            <w:tcMar>
              <w:top w:w="85" w:type="dxa"/>
              <w:start w:w="120" w:type="dxa"/>
              <w:bottom w:w="85" w:type="dxa"/>
              <w:end w:w="120" w:type="dxa"/>
            </w:tcMar>
            <w:vAlign w:val="center"/>
          </w:tcPr>
          <w:p>
            <w:pPr>
              <w:spacing w:after="0"/>
            </w:pPr>
            <w:r>
              <w:rPr>
                <w:rFonts w:ascii="Arial" w:hAnsi="Arial"/>
                <w:color w:val="2A2D34"/>
                <w:sz w:val="15"/>
              </w:rPr>
              <w:t>Only when configured feed is unhealthy</w:t>
            </w:r>
          </w:p>
        </w:tc>
      </w:tr>
    </w:tbl>
    <w:p>
      <w:pPr>
        <w:spacing w:before="140" w:after="80"/>
      </w:pPr>
      <w:r>
        <w:rPr>
          <w:rFonts w:ascii="Arial" w:hAnsi="Arial"/>
          <w:b/>
          <w:color w:val="D73454"/>
          <w:sz w:val="16"/>
        </w:rPr>
        <w:t>GOVERNANCE DELAY AND ACCOUNTABILITY</w:t>
      </w:r>
    </w:p>
    <w:p>
      <w:pPr>
        <w:keepLines/>
        <w:widowControl/>
      </w:pPr>
      <w:r>
        <w:t>The assessed deployment policy separates proposal, delay, execution and observation. The Safe supplies signer quorum, the Timelock enforces elapsed time, owned contracts enforce caller authority, and monitoring records the resulting configuration. A permissionless breaker has a deliberately narrower role: it may remove availability when objective oracle health fails but cannot redirect assets or edit parameters.</w:t>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PROPOSE</w:t>
            </w:r>
          </w:p>
          <w:p>
            <w:pPr>
              <w:spacing w:after="0"/>
            </w:pPr>
            <w:r>
              <w:rPr>
                <w:rFonts w:ascii="Arial" w:hAnsi="Arial"/>
                <w:color w:val="2A2D34"/>
                <w:sz w:val="14"/>
              </w:rPr>
              <w:t>Safe quorum</w:t>
            </w:r>
          </w:p>
        </w:tc>
        <w:tc>
          <w:tcPr>
            <w:tcW w:type="dxa" w:w="2250"/>
            <w:tcMar>
              <w:top w:w="120" w:type="dxa"/>
              <w:start w:w="130" w:type="dxa"/>
              <w:bottom w:w="120" w:type="dxa"/>
              <w:end w:w="130" w:type="dxa"/>
            </w:tcMar>
            <w:shd w:fill="EAEDF2"/>
            <w:tcBorders>
              <w:top w:val="single" w:sz="22" w:color="E33F5E"/>
            </w:tcBorders>
          </w:tcPr>
          <w:p>
            <w:pPr>
              <w:spacing w:after="40"/>
            </w:pPr>
            <w:r>
              <w:rPr>
                <w:rFonts w:ascii="Arial" w:hAnsi="Arial"/>
                <w:b/>
                <w:color w:val="D73454"/>
                <w:sz w:val="14"/>
              </w:rPr>
              <w:t>WAIT</w:t>
            </w:r>
          </w:p>
          <w:p>
            <w:pPr>
              <w:spacing w:after="0"/>
            </w:pPr>
            <w:r>
              <w:rPr>
                <w:rFonts w:ascii="Arial" w:hAnsi="Arial"/>
                <w:color w:val="2A2D34"/>
                <w:sz w:val="14"/>
              </w:rPr>
              <w:t>≥172800 seconds</w:t>
            </w:r>
          </w:p>
        </w:tc>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EXECUTE</w:t>
            </w:r>
          </w:p>
          <w:p>
            <w:pPr>
              <w:spacing w:after="0"/>
            </w:pPr>
            <w:r>
              <w:rPr>
                <w:rFonts w:ascii="Arial" w:hAnsi="Arial"/>
                <w:color w:val="2A2D34"/>
                <w:sz w:val="14"/>
              </w:rPr>
              <w:t>Timelock owner</w:t>
            </w:r>
          </w:p>
        </w:tc>
        <w:tc>
          <w:tcPr>
            <w:tcW w:type="dxa" w:w="2250"/>
            <w:tcMar>
              <w:top w:w="120" w:type="dxa"/>
              <w:start w:w="130" w:type="dxa"/>
              <w:bottom w:w="120" w:type="dxa"/>
              <w:end w:w="130" w:type="dxa"/>
            </w:tcMar>
            <w:shd w:fill="EAEDF2"/>
            <w:tcBorders>
              <w:top w:val="single" w:sz="22" w:color="17191F"/>
            </w:tcBorders>
          </w:tcPr>
          <w:p>
            <w:pPr>
              <w:spacing w:after="40"/>
            </w:pPr>
            <w:r>
              <w:rPr>
                <w:rFonts w:ascii="Arial" w:hAnsi="Arial"/>
                <w:b/>
                <w:color w:val="D73454"/>
                <w:sz w:val="14"/>
              </w:rPr>
              <w:t>OBSERVE</w:t>
            </w:r>
          </w:p>
          <w:p>
            <w:pPr>
              <w:spacing w:after="0"/>
            </w:pPr>
            <w:r>
              <w:rPr>
                <w:rFonts w:ascii="Arial" w:hAnsi="Arial"/>
                <w:color w:val="2A2D34"/>
                <w:sz w:val="14"/>
              </w:rPr>
              <w:t>Events + reread</w:t>
            </w:r>
          </w:p>
        </w:tc>
      </w:tr>
    </w:tbl>
    <w:p>
      <w:r>
        <w:br w:type="page"/>
      </w:r>
    </w:p>
    <w:p>
      <w:pPr>
        <w:pStyle w:val="Kicker"/>
      </w:pPr>
      <w:r>
        <w:t>ANALYSIS NOTES</w:t>
      </w:r>
    </w:p>
    <w:p>
      <w:pPr>
        <w:pStyle w:val="Heading1"/>
      </w:pPr>
      <w:r>
        <w:t>Oracle Risk Controls</w:t>
      </w:r>
    </w:p>
    <w:p>
      <w:pPr>
        <w:spacing w:after="200" w:line="96" w:lineRule="auto"/>
      </w:pPr>
      <w:r>
        <w:rPr>
          <w:rFonts w:ascii="Arial" w:hAnsi="Arial"/>
          <w:color w:val="E03E5B"/>
          <w:sz w:val="12"/>
        </w:rPr>
        <w:t>━━━━━━━━━━━━━━━━━━━━━━━━━━━━━━━━━━━━━━━━━━━━━━━━━━━━━━━━━━━━</w:t>
      </w:r>
    </w:p>
    <w:p>
      <w:pPr>
        <w:keepLines/>
        <w:widowControl/>
      </w:pPr>
      <w:r>
        <w:t>Each feed is validated for positive answer, completed round, non-future timestamp, maximum age, absolute minimum and maximum price, and deviation from a configured reference price. Stablecoin purchase valuation never grants more than the one-dollar reference on upward deviation.</w:t>
      </w:r>
    </w:p>
    <w:p>
      <w:pPr>
        <w:keepLines/>
        <w:widowControl/>
      </w:pPr>
      <w:r>
        <w:t>Swap and Staking expose oracleHealth and permissionless breaker entry points. A breaker trip is persistent and closes value intake. Configuration while active is restricted to prevent an owner from changing safety parameters during live execution.</w:t>
      </w:r>
    </w:p>
    <w:tbl>
      <w:tblPr>
        <w:tblW w:type="auto" w:w="0"/>
        <w:jc w:val="center"/>
        <w:tblLayout w:type="fixed"/>
        <w:tblLook w:firstColumn="1" w:firstRow="1" w:lastColumn="0" w:lastRow="0" w:noHBand="0" w:noVBand="1" w:val="04A0"/>
      </w:tblPr>
      <w:tblGrid>
        <w:gridCol w:w="3383"/>
        <w:gridCol w:w="3383"/>
        <w:gridCol w:w="3383"/>
      </w:tblGrid>
      <w:tr>
        <w:trPr>
          <w:tblHeader w:val="true"/>
        </w:trPr>
        <w:tc>
          <w:tcPr>
            <w:tcW w:type="dxa" w:w="2100"/>
            <w:shd w:fill="17191F"/>
            <w:tcMar>
              <w:top w:w="100" w:type="dxa"/>
              <w:start w:w="120" w:type="dxa"/>
              <w:bottom w:w="100" w:type="dxa"/>
              <w:end w:w="120" w:type="dxa"/>
            </w:tcMar>
            <w:vAlign w:val="center"/>
          </w:tcPr>
          <w:p>
            <w:pPr>
              <w:spacing w:after="0"/>
            </w:pPr>
            <w:r>
              <w:rPr>
                <w:rFonts w:ascii="Arial" w:hAnsi="Arial"/>
                <w:b/>
                <w:color w:val="FFFFFF"/>
                <w:sz w:val="16"/>
              </w:rPr>
              <w:t>Control</w:t>
            </w:r>
          </w:p>
        </w:tc>
        <w:tc>
          <w:tcPr>
            <w:tcW w:type="dxa" w:w="1800"/>
            <w:shd w:fill="17191F"/>
            <w:tcMar>
              <w:top w:w="100" w:type="dxa"/>
              <w:start w:w="120" w:type="dxa"/>
              <w:bottom w:w="100" w:type="dxa"/>
              <w:end w:w="120" w:type="dxa"/>
            </w:tcMar>
            <w:vAlign w:val="center"/>
          </w:tcPr>
          <w:p>
            <w:pPr>
              <w:spacing w:after="0"/>
            </w:pPr>
            <w:r>
              <w:rPr>
                <w:rFonts w:ascii="Arial" w:hAnsi="Arial"/>
                <w:b/>
                <w:color w:val="FFFFFF"/>
                <w:sz w:val="16"/>
              </w:rPr>
              <w:t>Rule</w:t>
            </w:r>
          </w:p>
        </w:tc>
        <w:tc>
          <w:tcPr>
            <w:tcW w:type="dxa" w:w="5100"/>
            <w:shd w:fill="17191F"/>
            <w:tcMar>
              <w:top w:w="100" w:type="dxa"/>
              <w:start w:w="120" w:type="dxa"/>
              <w:bottom w:w="100" w:type="dxa"/>
              <w:end w:w="120" w:type="dxa"/>
            </w:tcMar>
            <w:vAlign w:val="center"/>
          </w:tcPr>
          <w:p>
            <w:pPr>
              <w:spacing w:after="0"/>
            </w:pPr>
            <w:r>
              <w:rPr>
                <w:rFonts w:ascii="Arial" w:hAnsi="Arial"/>
                <w:b/>
                <w:color w:val="FFFFFF"/>
                <w:sz w:val="16"/>
              </w:rPr>
              <w:t>Failure response</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Round completeness</w:t>
            </w:r>
          </w:p>
        </w:tc>
        <w:tc>
          <w:tcPr>
            <w:tcW w:type="dxa" w:w="1800"/>
            <w:tcMar>
              <w:top w:w="85" w:type="dxa"/>
              <w:start w:w="120" w:type="dxa"/>
              <w:bottom w:w="85" w:type="dxa"/>
              <w:end w:w="120" w:type="dxa"/>
            </w:tcMar>
            <w:vAlign w:val="center"/>
          </w:tcPr>
          <w:p>
            <w:pPr>
              <w:spacing w:after="0"/>
            </w:pPr>
            <w:r>
              <w:rPr>
                <w:rFonts w:ascii="Arial" w:hAnsi="Arial"/>
                <w:color w:val="2A2D34"/>
                <w:sz w:val="15"/>
              </w:rPr>
              <w:t>answeredInRound &gt;= roundId</w:t>
            </w:r>
          </w:p>
        </w:tc>
        <w:tc>
          <w:tcPr>
            <w:tcW w:type="dxa" w:w="5100"/>
            <w:tcMar>
              <w:top w:w="85" w:type="dxa"/>
              <w:start w:w="120" w:type="dxa"/>
              <w:bottom w:w="85" w:type="dxa"/>
              <w:end w:w="120" w:type="dxa"/>
            </w:tcMar>
            <w:vAlign w:val="center"/>
          </w:tcPr>
          <w:p>
            <w:pPr>
              <w:spacing w:after="0"/>
            </w:pPr>
            <w:r>
              <w:rPr>
                <w:rFonts w:ascii="Arial" w:hAnsi="Arial"/>
                <w:color w:val="2A2D34"/>
                <w:sz w:val="15"/>
              </w:rPr>
              <w:t>Reject</w:t>
            </w:r>
          </w:p>
        </w:tc>
      </w:tr>
      <w:tr>
        <w:tc>
          <w:tcPr>
            <w:tcW w:type="dxa" w:w="2100"/>
            <w:tcMar>
              <w:top w:w="85" w:type="dxa"/>
              <w:start w:w="120" w:type="dxa"/>
              <w:bottom w:w="85" w:type="dxa"/>
              <w:end w:w="120" w:type="dxa"/>
            </w:tcMar>
            <w:shd w:fill="F4F5F7"/>
            <w:vAlign w:val="center"/>
          </w:tcPr>
          <w:p>
            <w:pPr>
              <w:spacing w:after="0"/>
            </w:pPr>
            <w:r>
              <w:rPr>
                <w:rFonts w:ascii="Arial" w:hAnsi="Arial"/>
                <w:color w:val="2A2D34"/>
                <w:sz w:val="15"/>
              </w:rPr>
              <w:t>Timestamp</w:t>
            </w:r>
          </w:p>
        </w:tc>
        <w:tc>
          <w:tcPr>
            <w:tcW w:type="dxa" w:w="1800"/>
            <w:tcMar>
              <w:top w:w="85" w:type="dxa"/>
              <w:start w:w="120" w:type="dxa"/>
              <w:bottom w:w="85" w:type="dxa"/>
              <w:end w:w="120" w:type="dxa"/>
            </w:tcMar>
            <w:shd w:fill="F4F5F7"/>
            <w:vAlign w:val="center"/>
          </w:tcPr>
          <w:p>
            <w:pPr>
              <w:spacing w:after="0"/>
            </w:pPr>
            <w:r>
              <w:rPr>
                <w:rFonts w:ascii="Arial" w:hAnsi="Arial"/>
                <w:color w:val="2A2D34"/>
                <w:sz w:val="15"/>
              </w:rPr>
              <w:t>0 &lt; updatedAt &lt;= block.timestamp</w:t>
            </w:r>
          </w:p>
        </w:tc>
        <w:tc>
          <w:tcPr>
            <w:tcW w:type="dxa" w:w="5100"/>
            <w:tcMar>
              <w:top w:w="85" w:type="dxa"/>
              <w:start w:w="120" w:type="dxa"/>
              <w:bottom w:w="85" w:type="dxa"/>
              <w:end w:w="120" w:type="dxa"/>
            </w:tcMar>
            <w:shd w:fill="F4F5F7"/>
            <w:vAlign w:val="center"/>
          </w:tcPr>
          <w:p>
            <w:pPr>
              <w:spacing w:after="0"/>
            </w:pPr>
            <w:r>
              <w:rPr>
                <w:rFonts w:ascii="Arial" w:hAnsi="Arial"/>
                <w:color w:val="2A2D34"/>
                <w:sz w:val="15"/>
              </w:rPr>
              <w:t>Reject</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Freshness</w:t>
            </w:r>
          </w:p>
        </w:tc>
        <w:tc>
          <w:tcPr>
            <w:tcW w:type="dxa" w:w="1800"/>
            <w:tcMar>
              <w:top w:w="85" w:type="dxa"/>
              <w:start w:w="120" w:type="dxa"/>
              <w:bottom w:w="85" w:type="dxa"/>
              <w:end w:w="120" w:type="dxa"/>
            </w:tcMar>
            <w:vAlign w:val="center"/>
          </w:tcPr>
          <w:p>
            <w:pPr>
              <w:spacing w:after="0"/>
            </w:pPr>
            <w:r>
              <w:rPr>
                <w:rFonts w:ascii="Arial" w:hAnsi="Arial"/>
                <w:color w:val="2A2D34"/>
                <w:sz w:val="15"/>
              </w:rPr>
              <w:t>age &lt;= feed maxAge</w:t>
            </w:r>
          </w:p>
        </w:tc>
        <w:tc>
          <w:tcPr>
            <w:tcW w:type="dxa" w:w="5100"/>
            <w:tcMar>
              <w:top w:w="85" w:type="dxa"/>
              <w:start w:w="120" w:type="dxa"/>
              <w:bottom w:w="85" w:type="dxa"/>
              <w:end w:w="120" w:type="dxa"/>
            </w:tcMar>
            <w:vAlign w:val="center"/>
          </w:tcPr>
          <w:p>
            <w:pPr>
              <w:spacing w:after="0"/>
            </w:pPr>
            <w:r>
              <w:rPr>
                <w:rFonts w:ascii="Arial" w:hAnsi="Arial"/>
                <w:color w:val="2A2D34"/>
                <w:sz w:val="15"/>
              </w:rPr>
              <w:t>Reject / breaker</w:t>
            </w:r>
          </w:p>
        </w:tc>
      </w:tr>
      <w:tr>
        <w:tc>
          <w:tcPr>
            <w:tcW w:type="dxa" w:w="2100"/>
            <w:tcMar>
              <w:top w:w="85" w:type="dxa"/>
              <w:start w:w="120" w:type="dxa"/>
              <w:bottom w:w="85" w:type="dxa"/>
              <w:end w:w="120" w:type="dxa"/>
            </w:tcMar>
            <w:shd w:fill="F4F5F7"/>
            <w:vAlign w:val="center"/>
          </w:tcPr>
          <w:p>
            <w:pPr>
              <w:spacing w:after="0"/>
            </w:pPr>
            <w:r>
              <w:rPr>
                <w:rFonts w:ascii="Arial" w:hAnsi="Arial"/>
                <w:color w:val="2A2D34"/>
                <w:sz w:val="15"/>
              </w:rPr>
              <w:t>Absolute bounds</w:t>
            </w:r>
          </w:p>
        </w:tc>
        <w:tc>
          <w:tcPr>
            <w:tcW w:type="dxa" w:w="1800"/>
            <w:tcMar>
              <w:top w:w="85" w:type="dxa"/>
              <w:start w:w="120" w:type="dxa"/>
              <w:bottom w:w="85" w:type="dxa"/>
              <w:end w:w="120" w:type="dxa"/>
            </w:tcMar>
            <w:shd w:fill="F4F5F7"/>
            <w:vAlign w:val="center"/>
          </w:tcPr>
          <w:p>
            <w:pPr>
              <w:spacing w:after="0"/>
            </w:pPr>
            <w:r>
              <w:rPr>
                <w:rFonts w:ascii="Arial" w:hAnsi="Arial"/>
                <w:color w:val="2A2D34"/>
                <w:sz w:val="15"/>
              </w:rPr>
              <w:t>min &lt;= price &lt;= max</w:t>
            </w:r>
          </w:p>
        </w:tc>
        <w:tc>
          <w:tcPr>
            <w:tcW w:type="dxa" w:w="5100"/>
            <w:tcMar>
              <w:top w:w="85" w:type="dxa"/>
              <w:start w:w="120" w:type="dxa"/>
              <w:bottom w:w="85" w:type="dxa"/>
              <w:end w:w="120" w:type="dxa"/>
            </w:tcMar>
            <w:shd w:fill="F4F5F7"/>
            <w:vAlign w:val="center"/>
          </w:tcPr>
          <w:p>
            <w:pPr>
              <w:spacing w:after="0"/>
            </w:pPr>
            <w:r>
              <w:rPr>
                <w:rFonts w:ascii="Arial" w:hAnsi="Arial"/>
                <w:color w:val="2A2D34"/>
                <w:sz w:val="15"/>
              </w:rPr>
              <w:t>Reject / breaker</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Reference deviation</w:t>
            </w:r>
          </w:p>
        </w:tc>
        <w:tc>
          <w:tcPr>
            <w:tcW w:type="dxa" w:w="1800"/>
            <w:tcMar>
              <w:top w:w="85" w:type="dxa"/>
              <w:start w:w="120" w:type="dxa"/>
              <w:bottom w:w="85" w:type="dxa"/>
              <w:end w:w="120" w:type="dxa"/>
            </w:tcMar>
            <w:vAlign w:val="center"/>
          </w:tcPr>
          <w:p>
            <w:pPr>
              <w:spacing w:after="0"/>
            </w:pPr>
            <w:r>
              <w:rPr>
                <w:rFonts w:ascii="Arial" w:hAnsi="Arial"/>
                <w:color w:val="2A2D34"/>
                <w:sz w:val="15"/>
              </w:rPr>
              <w:t>bps &lt;= maxDeviationBps</w:t>
            </w:r>
          </w:p>
        </w:tc>
        <w:tc>
          <w:tcPr>
            <w:tcW w:type="dxa" w:w="5100"/>
            <w:tcMar>
              <w:top w:w="85" w:type="dxa"/>
              <w:start w:w="120" w:type="dxa"/>
              <w:bottom w:w="85" w:type="dxa"/>
              <w:end w:w="120" w:type="dxa"/>
            </w:tcMar>
            <w:vAlign w:val="center"/>
          </w:tcPr>
          <w:p>
            <w:pPr>
              <w:spacing w:after="0"/>
            </w:pPr>
            <w:r>
              <w:rPr>
                <w:rFonts w:ascii="Arial" w:hAnsi="Arial"/>
                <w:color w:val="2A2D34"/>
                <w:sz w:val="15"/>
              </w:rPr>
              <w:t>Reject / breaker</w:t>
            </w:r>
          </w:p>
        </w:tc>
      </w:tr>
      <w:tr>
        <w:tc>
          <w:tcPr>
            <w:tcW w:type="dxa" w:w="2100"/>
            <w:tcMar>
              <w:top w:w="85" w:type="dxa"/>
              <w:start w:w="120" w:type="dxa"/>
              <w:bottom w:w="85" w:type="dxa"/>
              <w:end w:w="120" w:type="dxa"/>
            </w:tcMar>
            <w:shd w:fill="F4F5F7"/>
            <w:vAlign w:val="center"/>
          </w:tcPr>
          <w:p>
            <w:pPr>
              <w:spacing w:after="0"/>
            </w:pPr>
            <w:r>
              <w:rPr>
                <w:rFonts w:ascii="Arial" w:hAnsi="Arial"/>
                <w:color w:val="2A2D34"/>
                <w:sz w:val="15"/>
              </w:rPr>
              <w:t>Breaker persistence</w:t>
            </w:r>
          </w:p>
        </w:tc>
        <w:tc>
          <w:tcPr>
            <w:tcW w:type="dxa" w:w="1800"/>
            <w:tcMar>
              <w:top w:w="85" w:type="dxa"/>
              <w:start w:w="120" w:type="dxa"/>
              <w:bottom w:w="85" w:type="dxa"/>
              <w:end w:w="120" w:type="dxa"/>
            </w:tcMar>
            <w:shd w:fill="F4F5F7"/>
            <w:vAlign w:val="center"/>
          </w:tcPr>
          <w:p>
            <w:pPr>
              <w:spacing w:after="0"/>
            </w:pPr>
            <w:r>
              <w:rPr>
                <w:rFonts w:ascii="Arial" w:hAnsi="Arial"/>
                <w:color w:val="2A2D34"/>
                <w:sz w:val="15"/>
              </w:rPr>
              <w:t>registry pause / depositsOpen=false</w:t>
            </w:r>
          </w:p>
        </w:tc>
        <w:tc>
          <w:tcPr>
            <w:tcW w:type="dxa" w:w="5100"/>
            <w:tcMar>
              <w:top w:w="85" w:type="dxa"/>
              <w:start w:w="120" w:type="dxa"/>
              <w:bottom w:w="85" w:type="dxa"/>
              <w:end w:w="120" w:type="dxa"/>
            </w:tcMar>
            <w:shd w:fill="F4F5F7"/>
            <w:vAlign w:val="center"/>
          </w:tcPr>
          <w:p>
            <w:pPr>
              <w:spacing w:after="0"/>
            </w:pPr>
            <w:r>
              <w:rPr>
                <w:rFonts w:ascii="Arial" w:hAnsi="Arial"/>
                <w:color w:val="2A2D34"/>
                <w:sz w:val="15"/>
              </w:rPr>
              <w:t>Manual governed recovery</w:t>
            </w:r>
          </w:p>
        </w:tc>
      </w:tr>
    </w:tbl>
    <w:p>
      <w:pPr>
        <w:spacing w:before="140" w:after="80"/>
      </w:pPr>
      <w:r>
        <w:rPr>
          <w:rFonts w:ascii="Arial" w:hAnsi="Arial"/>
          <w:b/>
          <w:color w:val="D73454"/>
          <w:sz w:val="16"/>
        </w:rPr>
        <w:t>ORACLE DECISION CHAIN</w:t>
      </w:r>
    </w:p>
    <w:p>
      <w:pPr>
        <w:keepLines/>
        <w:widowControl/>
      </w:pPr>
      <w:r>
        <w:t>Price acceptance is a conjunction, not a single freshness check. The caller verifies round completion, timestamp direction, maximum age, absolute bounds, reference deviation and scaling safety before value conversion. Stablecoin upward deviation is capped at the one-dollar reference for buyer output. Any failed predicate rejects settlement; persistent breaker entry points reduce future exposure until governance investigates.</w:t>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ROUND</w:t>
            </w:r>
          </w:p>
          <w:p>
            <w:pPr>
              <w:spacing w:after="0"/>
            </w:pPr>
            <w:r>
              <w:rPr>
                <w:rFonts w:ascii="Arial" w:hAnsi="Arial"/>
                <w:color w:val="2A2D34"/>
                <w:sz w:val="14"/>
              </w:rPr>
              <w:t>Complete + positive</w:t>
            </w:r>
          </w:p>
        </w:tc>
        <w:tc>
          <w:tcPr>
            <w:tcW w:type="dxa" w:w="2250"/>
            <w:tcMar>
              <w:top w:w="120" w:type="dxa"/>
              <w:start w:w="130" w:type="dxa"/>
              <w:bottom w:w="120" w:type="dxa"/>
              <w:end w:w="130" w:type="dxa"/>
            </w:tcMar>
            <w:shd w:fill="EAEDF2"/>
            <w:tcBorders>
              <w:top w:val="single" w:sz="22" w:color="E33F5E"/>
            </w:tcBorders>
          </w:tcPr>
          <w:p>
            <w:pPr>
              <w:spacing w:after="40"/>
            </w:pPr>
            <w:r>
              <w:rPr>
                <w:rFonts w:ascii="Arial" w:hAnsi="Arial"/>
                <w:b/>
                <w:color w:val="D73454"/>
                <w:sz w:val="14"/>
              </w:rPr>
              <w:t>TIME</w:t>
            </w:r>
          </w:p>
          <w:p>
            <w:pPr>
              <w:spacing w:after="0"/>
            </w:pPr>
            <w:r>
              <w:rPr>
                <w:rFonts w:ascii="Arial" w:hAnsi="Arial"/>
                <w:color w:val="2A2D34"/>
                <w:sz w:val="14"/>
              </w:rPr>
              <w:t>Fresh + non-future</w:t>
            </w:r>
          </w:p>
        </w:tc>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POLICY</w:t>
            </w:r>
          </w:p>
          <w:p>
            <w:pPr>
              <w:spacing w:after="0"/>
            </w:pPr>
            <w:r>
              <w:rPr>
                <w:rFonts w:ascii="Arial" w:hAnsi="Arial"/>
                <w:color w:val="2A2D34"/>
                <w:sz w:val="14"/>
              </w:rPr>
              <w:t>Bounds + deviation</w:t>
            </w:r>
          </w:p>
        </w:tc>
        <w:tc>
          <w:tcPr>
            <w:tcW w:type="dxa" w:w="2250"/>
            <w:tcMar>
              <w:top w:w="120" w:type="dxa"/>
              <w:start w:w="130" w:type="dxa"/>
              <w:bottom w:w="120" w:type="dxa"/>
              <w:end w:w="130" w:type="dxa"/>
            </w:tcMar>
            <w:shd w:fill="EAEDF2"/>
            <w:tcBorders>
              <w:top w:val="single" w:sz="22" w:color="17191F"/>
            </w:tcBorders>
          </w:tcPr>
          <w:p>
            <w:pPr>
              <w:spacing w:after="40"/>
            </w:pPr>
            <w:r>
              <w:rPr>
                <w:rFonts w:ascii="Arial" w:hAnsi="Arial"/>
                <w:b/>
                <w:color w:val="D73454"/>
                <w:sz w:val="14"/>
              </w:rPr>
              <w:t>RESPONSE</w:t>
            </w:r>
          </w:p>
          <w:p>
            <w:pPr>
              <w:spacing w:after="0"/>
            </w:pPr>
            <w:r>
              <w:rPr>
                <w:rFonts w:ascii="Arial" w:hAnsi="Arial"/>
                <w:color w:val="2A2D34"/>
                <w:sz w:val="14"/>
              </w:rPr>
              <w:t>Reject / persist pause</w:t>
            </w:r>
          </w:p>
        </w:tc>
      </w:tr>
    </w:tbl>
    <w:p>
      <w:r>
        <w:br w:type="page"/>
      </w:r>
    </w:p>
    <w:p>
      <w:pPr>
        <w:pStyle w:val="Kicker"/>
      </w:pPr>
      <w:r>
        <w:t>ANALYSIS NOTES</w:t>
      </w:r>
    </w:p>
    <w:p>
      <w:pPr>
        <w:pStyle w:val="Heading1"/>
      </w:pPr>
      <w:r>
        <w:t>Reserve Solvency and Liability Invariants</w:t>
      </w:r>
    </w:p>
    <w:p>
      <w:pPr>
        <w:spacing w:after="200" w:line="96" w:lineRule="auto"/>
      </w:pPr>
      <w:r>
        <w:rPr>
          <w:rFonts w:ascii="Arial" w:hAnsi="Arial"/>
          <w:color w:val="E03E5B"/>
          <w:sz w:val="12"/>
        </w:rPr>
        <w:t>━━━━━━━━━━━━━━━━━━━━━━━━━━━━━━━━━━━━━━━━━━━━━━━━━━━━━━━━━━━━</w:t>
      </w:r>
    </w:p>
    <w:tbl>
      <w:tblPr>
        <w:tblW w:type="auto" w:w="0"/>
        <w:jc w:val="center"/>
        <w:tblLayout w:type="fixed"/>
        <w:tblLook w:firstColumn="1" w:firstRow="1" w:lastColumn="0" w:lastRow="0" w:noHBand="0" w:noVBand="1" w:val="04A0"/>
      </w:tblPr>
      <w:tblGrid>
        <w:gridCol w:w="10148"/>
      </w:tblGrid>
      <w:tr>
        <w:tc>
          <w:tcPr>
            <w:tcW w:type="dxa" w:w="9000"/>
            <w:tcMar>
              <w:top w:w="160" w:type="dxa"/>
              <w:start w:w="180" w:type="dxa"/>
              <w:bottom w:w="160" w:type="dxa"/>
              <w:end w:w="180" w:type="dxa"/>
            </w:tcMar>
            <w:shd w:fill="EEF2F8"/>
            <w:tcBorders>
              <w:left w:val="single" w:sz="28" w:color="E33F5E"/>
            </w:tcBorders>
          </w:tcPr>
          <w:p>
            <w:pPr>
              <w:spacing w:after="0"/>
            </w:pPr>
            <w:r>
              <w:rPr>
                <w:rFonts w:ascii="Arial" w:hAnsi="Arial"/>
                <w:b/>
                <w:color w:val="2A2D34"/>
                <w:sz w:val="18"/>
              </w:rPr>
              <w:t>Failing or unreadable solvency state rejects new liability creation.</w:t>
            </w:r>
          </w:p>
        </w:tc>
      </w:tr>
    </w:tbl>
    <w:p>
      <w:pPr>
        <w:spacing w:after="20"/>
      </w:pPr>
    </w:p>
    <w:p>
      <w:pPr>
        <w:keepLines/>
        <w:widowControl/>
      </w:pPr>
      <w:r>
        <w:t>Purchase acceptance is coupled to redemption reserve coverage. The incremental cost-basis liability of a quote is included before settlement, and an unreadable reserve view rejects the transaction.</w:t>
      </w:r>
    </w:p>
    <w:p>
      <w:pPr>
        <w:keepLines/>
        <w:widowControl/>
      </w:pPr>
      <w:r>
        <w:t>Withdrawals are limited to verified excess above locked liabilities. Staking uses an equivalent inventory invariant: the AGNT balance available to the contract must cover total unclaimed entitlement after the proposed position.</w:t>
      </w:r>
    </w:p>
    <w:tbl>
      <w:tblPr>
        <w:tblW w:type="auto" w:w="0"/>
        <w:jc w:val="center"/>
        <w:tblLayout w:type="fixed"/>
        <w:tblLook w:firstColumn="1" w:firstRow="1" w:lastColumn="0" w:lastRow="0" w:noHBand="0" w:noVBand="1" w:val="04A0"/>
      </w:tblPr>
      <w:tblGrid>
        <w:gridCol w:w="5074"/>
        <w:gridCol w:w="5074"/>
      </w:tblGrid>
      <w:tr>
        <w:trPr>
          <w:tblHeader w:val="true"/>
        </w:trPr>
        <w:tc>
          <w:tcPr>
            <w:tcW w:type="dxa" w:w="2500"/>
            <w:shd w:fill="17191F"/>
            <w:tcMar>
              <w:top w:w="100" w:type="dxa"/>
              <w:start w:w="120" w:type="dxa"/>
              <w:bottom w:w="100" w:type="dxa"/>
              <w:end w:w="120" w:type="dxa"/>
            </w:tcMar>
            <w:vAlign w:val="center"/>
          </w:tcPr>
          <w:p>
            <w:pPr>
              <w:spacing w:after="0"/>
            </w:pPr>
            <w:r>
              <w:rPr>
                <w:rFonts w:ascii="Arial" w:hAnsi="Arial"/>
                <w:b/>
                <w:color w:val="FFFFFF"/>
                <w:sz w:val="16"/>
              </w:rPr>
              <w:t>Path</w:t>
            </w:r>
          </w:p>
        </w:tc>
        <w:tc>
          <w:tcPr>
            <w:tcW w:type="dxa" w:w="6500"/>
            <w:shd w:fill="17191F"/>
            <w:tcMar>
              <w:top w:w="100" w:type="dxa"/>
              <w:start w:w="120" w:type="dxa"/>
              <w:bottom w:w="100" w:type="dxa"/>
              <w:end w:w="120" w:type="dxa"/>
            </w:tcMar>
            <w:vAlign w:val="center"/>
          </w:tcPr>
          <w:p>
            <w:pPr>
              <w:spacing w:after="0"/>
            </w:pPr>
            <w:r>
              <w:rPr>
                <w:rFonts w:ascii="Arial" w:hAnsi="Arial"/>
                <w:b/>
                <w:color w:val="FFFFFF"/>
                <w:sz w:val="16"/>
              </w:rPr>
              <w:t>Value-conservation invariant</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Purchase</w:t>
            </w:r>
          </w:p>
        </w:tc>
        <w:tc>
          <w:tcPr>
            <w:tcW w:type="dxa" w:w="6500"/>
            <w:tcMar>
              <w:top w:w="85" w:type="dxa"/>
              <w:start w:w="120" w:type="dxa"/>
              <w:bottom w:w="85" w:type="dxa"/>
              <w:end w:w="120" w:type="dxa"/>
            </w:tcMar>
            <w:vAlign w:val="center"/>
          </w:tcPr>
          <w:p>
            <w:pPr>
              <w:spacing w:after="0"/>
            </w:pPr>
            <w:r>
              <w:rPr>
                <w:rFonts w:ascii="Arial" w:hAnsi="Arial"/>
                <w:color w:val="2A2D34"/>
                <w:sz w:val="15"/>
              </w:rPr>
              <w:t>reserve &gt;= locked liability + projected liability</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Redemption</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payout &lt;= eligible cost basis and reserve</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Reserve withdrawal</w:t>
            </w:r>
          </w:p>
        </w:tc>
        <w:tc>
          <w:tcPr>
            <w:tcW w:type="dxa" w:w="6500"/>
            <w:tcMar>
              <w:top w:w="85" w:type="dxa"/>
              <w:start w:w="120" w:type="dxa"/>
              <w:bottom w:w="85" w:type="dxa"/>
              <w:end w:w="120" w:type="dxa"/>
            </w:tcMar>
            <w:vAlign w:val="center"/>
          </w:tcPr>
          <w:p>
            <w:pPr>
              <w:spacing w:after="0"/>
            </w:pPr>
            <w:r>
              <w:rPr>
                <w:rFonts w:ascii="Arial" w:hAnsi="Arial"/>
                <w:color w:val="2A2D34"/>
                <w:sz w:val="15"/>
              </w:rPr>
              <w:t>withdrawable = balance - locked liability</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Staking intake</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inventory &gt;= unclaimed entitlement + new entitlement</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Staking surplus</w:t>
            </w:r>
          </w:p>
        </w:tc>
        <w:tc>
          <w:tcPr>
            <w:tcW w:type="dxa" w:w="6500"/>
            <w:tcMar>
              <w:top w:w="85" w:type="dxa"/>
              <w:start w:w="120" w:type="dxa"/>
              <w:bottom w:w="85" w:type="dxa"/>
              <w:end w:w="120" w:type="dxa"/>
            </w:tcMar>
            <w:vAlign w:val="center"/>
          </w:tcPr>
          <w:p>
            <w:pPr>
              <w:spacing w:after="0"/>
            </w:pPr>
            <w:r>
              <w:rPr>
                <w:rFonts w:ascii="Arial" w:hAnsi="Arial"/>
                <w:color w:val="2A2D34"/>
                <w:sz w:val="15"/>
              </w:rPr>
              <w:t>withdrawable &lt;= balance - aggregate entitlement</w:t>
            </w:r>
          </w:p>
        </w:tc>
      </w:tr>
    </w:tbl>
    <w:p>
      <w:pPr>
        <w:spacing w:before="140" w:after="80"/>
      </w:pPr>
      <w:r>
        <w:rPr>
          <w:rFonts w:ascii="Arial" w:hAnsi="Arial"/>
          <w:b/>
          <w:color w:val="D73454"/>
          <w:sz w:val="16"/>
        </w:rPr>
        <w:t>CONSERVATION PROOF PATH</w:t>
      </w:r>
    </w:p>
    <w:p>
      <w:pPr>
        <w:keepLines/>
        <w:widowControl/>
      </w:pPr>
      <w:r>
        <w:t>The solvency check is performed on the post-transaction state that would exist if the purchase succeeded. Existing locked cost basis is combined with the quote’s incremental liability and compared with readable reserves before payment settles. Withdrawals use the complementary surplus formula. Staking applies the same reasoning to AGNT inventory and aggregate unclaimed entitlement.</w:t>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BEFORE</w:t>
            </w:r>
          </w:p>
          <w:p>
            <w:pPr>
              <w:spacing w:after="0"/>
            </w:pPr>
            <w:r>
              <w:rPr>
                <w:rFonts w:ascii="Arial" w:hAnsi="Arial"/>
                <w:color w:val="2A2D34"/>
                <w:sz w:val="14"/>
              </w:rPr>
              <w:t>Read locked obligation</w:t>
            </w:r>
          </w:p>
        </w:tc>
        <w:tc>
          <w:tcPr>
            <w:tcW w:type="dxa" w:w="2250"/>
            <w:tcMar>
              <w:top w:w="120" w:type="dxa"/>
              <w:start w:w="130" w:type="dxa"/>
              <w:bottom w:w="120" w:type="dxa"/>
              <w:end w:w="130" w:type="dxa"/>
            </w:tcMar>
            <w:shd w:fill="EAEDF2"/>
            <w:tcBorders>
              <w:top w:val="single" w:sz="22" w:color="E33F5E"/>
            </w:tcBorders>
          </w:tcPr>
          <w:p>
            <w:pPr>
              <w:spacing w:after="40"/>
            </w:pPr>
            <w:r>
              <w:rPr>
                <w:rFonts w:ascii="Arial" w:hAnsi="Arial"/>
                <w:b/>
                <w:color w:val="D73454"/>
                <w:sz w:val="14"/>
              </w:rPr>
              <w:t>PROJECT</w:t>
            </w:r>
          </w:p>
          <w:p>
            <w:pPr>
              <w:spacing w:after="0"/>
            </w:pPr>
            <w:r>
              <w:rPr>
                <w:rFonts w:ascii="Arial" w:hAnsi="Arial"/>
                <w:color w:val="2A2D34"/>
                <w:sz w:val="14"/>
              </w:rPr>
              <w:t>Add proposed liability</w:t>
            </w:r>
          </w:p>
        </w:tc>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COMPARE</w:t>
            </w:r>
          </w:p>
          <w:p>
            <w:pPr>
              <w:spacing w:after="0"/>
            </w:pPr>
            <w:r>
              <w:rPr>
                <w:rFonts w:ascii="Arial" w:hAnsi="Arial"/>
                <w:color w:val="2A2D34"/>
                <w:sz w:val="14"/>
              </w:rPr>
              <w:t>Reserve / inventory</w:t>
            </w:r>
          </w:p>
        </w:tc>
        <w:tc>
          <w:tcPr>
            <w:tcW w:type="dxa" w:w="2250"/>
            <w:tcMar>
              <w:top w:w="120" w:type="dxa"/>
              <w:start w:w="130" w:type="dxa"/>
              <w:bottom w:w="120" w:type="dxa"/>
              <w:end w:w="130" w:type="dxa"/>
            </w:tcMar>
            <w:shd w:fill="EAEDF2"/>
            <w:tcBorders>
              <w:top w:val="single" w:sz="22" w:color="17191F"/>
            </w:tcBorders>
          </w:tcPr>
          <w:p>
            <w:pPr>
              <w:spacing w:after="40"/>
            </w:pPr>
            <w:r>
              <w:rPr>
                <w:rFonts w:ascii="Arial" w:hAnsi="Arial"/>
                <w:b/>
                <w:color w:val="D73454"/>
                <w:sz w:val="14"/>
              </w:rPr>
              <w:t>COMMIT</w:t>
            </w:r>
          </w:p>
          <w:p>
            <w:pPr>
              <w:spacing w:after="0"/>
            </w:pPr>
            <w:r>
              <w:rPr>
                <w:rFonts w:ascii="Arial" w:hAnsi="Arial"/>
                <w:color w:val="2A2D34"/>
                <w:sz w:val="14"/>
              </w:rPr>
              <w:t>Only if covered</w:t>
            </w:r>
          </w:p>
        </w:tc>
      </w:tr>
    </w:tbl>
    <w:p>
      <w:r>
        <w:br w:type="page"/>
      </w:r>
    </w:p>
    <w:p>
      <w:pPr>
        <w:pStyle w:val="Kicker"/>
      </w:pPr>
      <w:r>
        <w:t>ANALYSIS NOTES</w:t>
      </w:r>
    </w:p>
    <w:p>
      <w:pPr>
        <w:pStyle w:val="Heading1"/>
      </w:pPr>
      <w:r>
        <w:t>Rolling Limits and Manual Analysis</w:t>
      </w:r>
    </w:p>
    <w:p>
      <w:pPr>
        <w:spacing w:after="200" w:line="96" w:lineRule="auto"/>
      </w:pPr>
      <w:r>
        <w:rPr>
          <w:rFonts w:ascii="Arial" w:hAnsi="Arial"/>
          <w:color w:val="E03E5B"/>
          <w:sz w:val="12"/>
        </w:rPr>
        <w:t>━━━━━━━━━━━━━━━━━━━━━━━━━━━━━━━━━━━━━━━━━━━━━━━━━━━━━━━━━━━━</w:t>
      </w:r>
    </w:p>
    <w:p>
      <w:pPr>
        <w:keepLines/>
        <w:widowControl/>
      </w:pPr>
      <w:r>
        <w:t>Redemption V2 calculates trailing-24-hour gross USDT usage with 25 bounded hourly buckets per global and wallet dimension. The extra slot makes boundary handling explicit while retaining constant storage.</w:t>
      </w:r>
    </w:p>
    <w:p>
      <w:pPr>
        <w:keepLines/>
        <w:widowControl/>
      </w:pPr>
      <w:r>
        <w:t>Manual analysis uses the wallet's next cumulative rolling value, not the current transaction alone. The hard wallet and global limits are applied to the same quote used by settlement.</w:t>
      </w:r>
    </w:p>
    <w:tbl>
      <w:tblPr>
        <w:tblW w:type="auto" w:w="0"/>
        <w:jc w:val="center"/>
        <w:tblLayout w:type="fixed"/>
        <w:tblLook w:firstColumn="1" w:firstRow="1" w:lastColumn="0" w:lastRow="0" w:noHBand="0" w:noVBand="1" w:val="04A0"/>
      </w:tblPr>
      <w:tblGrid>
        <w:gridCol w:w="5074"/>
        <w:gridCol w:w="5074"/>
      </w:tblGrid>
      <w:tr>
        <w:trPr>
          <w:tblHeader w:val="true"/>
        </w:trPr>
        <w:tc>
          <w:tcPr>
            <w:tcW w:type="dxa" w:w="2500"/>
            <w:shd w:fill="17191F"/>
            <w:tcMar>
              <w:top w:w="100" w:type="dxa"/>
              <w:start w:w="120" w:type="dxa"/>
              <w:bottom w:w="100" w:type="dxa"/>
              <w:end w:w="120" w:type="dxa"/>
            </w:tcMar>
            <w:vAlign w:val="center"/>
          </w:tcPr>
          <w:p>
            <w:pPr>
              <w:spacing w:after="0"/>
            </w:pPr>
            <w:r>
              <w:rPr>
                <w:rFonts w:ascii="Arial" w:hAnsi="Arial"/>
                <w:b/>
                <w:color w:val="FFFFFF"/>
                <w:sz w:val="16"/>
              </w:rPr>
              <w:t>Mechanism</w:t>
            </w:r>
          </w:p>
        </w:tc>
        <w:tc>
          <w:tcPr>
            <w:tcW w:type="dxa" w:w="6500"/>
            <w:shd w:fill="17191F"/>
            <w:tcMar>
              <w:top w:w="100" w:type="dxa"/>
              <w:start w:w="120" w:type="dxa"/>
              <w:bottom w:w="100" w:type="dxa"/>
              <w:end w:w="120" w:type="dxa"/>
            </w:tcMar>
            <w:vAlign w:val="center"/>
          </w:tcPr>
          <w:p>
            <w:pPr>
              <w:spacing w:after="0"/>
            </w:pPr>
            <w:r>
              <w:rPr>
                <w:rFonts w:ascii="Arial" w:hAnsi="Arial"/>
                <w:b/>
                <w:color w:val="FFFFFF"/>
                <w:sz w:val="16"/>
              </w:rPr>
              <w:t>Implementation</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Bucket index</w:t>
            </w:r>
          </w:p>
        </w:tc>
        <w:tc>
          <w:tcPr>
            <w:tcW w:type="dxa" w:w="6500"/>
            <w:tcMar>
              <w:top w:w="85" w:type="dxa"/>
              <w:start w:w="120" w:type="dxa"/>
              <w:bottom w:w="85" w:type="dxa"/>
              <w:end w:w="120" w:type="dxa"/>
            </w:tcMar>
            <w:vAlign w:val="center"/>
          </w:tcPr>
          <w:p>
            <w:pPr>
              <w:spacing w:after="0"/>
            </w:pPr>
            <w:r>
              <w:rPr>
                <w:rFonts w:ascii="Arial" w:hAnsi="Arial"/>
                <w:color w:val="2A2D34"/>
                <w:sz w:val="15"/>
              </w:rPr>
              <w:t>epochHour mod 25</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Included interval</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current hour plus previous 23 complete hours</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Expired bucket</w:t>
            </w:r>
          </w:p>
        </w:tc>
        <w:tc>
          <w:tcPr>
            <w:tcW w:type="dxa" w:w="6500"/>
            <w:tcMar>
              <w:top w:w="85" w:type="dxa"/>
              <w:start w:w="120" w:type="dxa"/>
              <w:bottom w:w="85" w:type="dxa"/>
              <w:end w:w="120" w:type="dxa"/>
            </w:tcMar>
            <w:vAlign w:val="center"/>
          </w:tcPr>
          <w:p>
            <w:pPr>
              <w:spacing w:after="0"/>
            </w:pPr>
            <w:r>
              <w:rPr>
                <w:rFonts w:ascii="Arial" w:hAnsi="Arial"/>
                <w:color w:val="2A2D34"/>
                <w:sz w:val="15"/>
              </w:rPr>
              <w:t>epoch mismatch =&gt; reset before add</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Wallet threshold</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nextWalletRolling vs configured escalation threshold</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Hard caps</w:t>
            </w:r>
          </w:p>
        </w:tc>
        <w:tc>
          <w:tcPr>
            <w:tcW w:type="dxa" w:w="6500"/>
            <w:tcMar>
              <w:top w:w="85" w:type="dxa"/>
              <w:start w:w="120" w:type="dxa"/>
              <w:bottom w:w="85" w:type="dxa"/>
              <w:end w:w="120" w:type="dxa"/>
            </w:tcMar>
            <w:vAlign w:val="center"/>
          </w:tcPr>
          <w:p>
            <w:pPr>
              <w:spacing w:after="0"/>
            </w:pPr>
            <w:r>
              <w:rPr>
                <w:rFonts w:ascii="Arial" w:hAnsi="Arial"/>
                <w:color w:val="2A2D34"/>
                <w:sz w:val="15"/>
              </w:rPr>
              <w:t>nextWalletRolling and nextGlobalRolling</w:t>
            </w:r>
          </w:p>
        </w:tc>
      </w:tr>
    </w:tbl>
    <w:p>
      <w:pPr>
        <w:spacing w:before="140" w:after="80"/>
      </w:pPr>
      <w:r>
        <w:rPr>
          <w:rFonts w:ascii="Arial" w:hAnsi="Arial"/>
          <w:b/>
          <w:color w:val="D73454"/>
          <w:sz w:val="16"/>
        </w:rPr>
        <w:t>BOUNDARY AND ANALYSIS CASES</w:t>
      </w:r>
    </w:p>
    <w:p>
      <w:pPr>
        <w:keepLines/>
        <w:widowControl/>
      </w:pPr>
      <w:r>
        <w:t>Analysis cases include many redemptions inside one hour, splits across adjacent hours, the exact 24-hour boundary, stale bucket reuse after modulo wrap and wallet activity that is individually small but cumulatively material. The contract evaluates the next rolling value before settlement. Analysis classification and hard caps therefore share one deterministic gross-USDT accounting basis.</w:t>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SAME HOUR</w:t>
            </w:r>
          </w:p>
          <w:p>
            <w:pPr>
              <w:spacing w:after="0"/>
            </w:pPr>
            <w:r>
              <w:rPr>
                <w:rFonts w:ascii="Arial" w:hAnsi="Arial"/>
                <w:color w:val="2A2D34"/>
                <w:sz w:val="14"/>
              </w:rPr>
              <w:t>Accumulate</w:t>
            </w:r>
          </w:p>
        </w:tc>
        <w:tc>
          <w:tcPr>
            <w:tcW w:type="dxa" w:w="2250"/>
            <w:tcMar>
              <w:top w:w="120" w:type="dxa"/>
              <w:start w:w="130" w:type="dxa"/>
              <w:bottom w:w="120" w:type="dxa"/>
              <w:end w:w="130" w:type="dxa"/>
            </w:tcMar>
            <w:shd w:fill="EAEDF2"/>
            <w:tcBorders>
              <w:top w:val="single" w:sz="22" w:color="E33F5E"/>
            </w:tcBorders>
          </w:tcPr>
          <w:p>
            <w:pPr>
              <w:spacing w:after="40"/>
            </w:pPr>
            <w:r>
              <w:rPr>
                <w:rFonts w:ascii="Arial" w:hAnsi="Arial"/>
                <w:b/>
                <w:color w:val="D73454"/>
                <w:sz w:val="14"/>
              </w:rPr>
              <w:t>HOUR ROLLOVER</w:t>
            </w:r>
          </w:p>
          <w:p>
            <w:pPr>
              <w:spacing w:after="0"/>
            </w:pPr>
            <w:r>
              <w:rPr>
                <w:rFonts w:ascii="Arial" w:hAnsi="Arial"/>
                <w:color w:val="2A2D34"/>
                <w:sz w:val="14"/>
              </w:rPr>
              <w:t>Preserve trailing use</w:t>
            </w:r>
          </w:p>
        </w:tc>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EXPIRED SLOT</w:t>
            </w:r>
          </w:p>
          <w:p>
            <w:pPr>
              <w:spacing w:after="0"/>
            </w:pPr>
            <w:r>
              <w:rPr>
                <w:rFonts w:ascii="Arial" w:hAnsi="Arial"/>
                <w:color w:val="2A2D34"/>
                <w:sz w:val="14"/>
              </w:rPr>
              <w:t>Epoch-reset</w:t>
            </w:r>
          </w:p>
        </w:tc>
        <w:tc>
          <w:tcPr>
            <w:tcW w:type="dxa" w:w="2250"/>
            <w:tcMar>
              <w:top w:w="120" w:type="dxa"/>
              <w:start w:w="130" w:type="dxa"/>
              <w:bottom w:w="120" w:type="dxa"/>
              <w:end w:w="130" w:type="dxa"/>
            </w:tcMar>
            <w:shd w:fill="EAEDF2"/>
            <w:tcBorders>
              <w:top w:val="single" w:sz="22" w:color="17191F"/>
            </w:tcBorders>
          </w:tcPr>
          <w:p>
            <w:pPr>
              <w:spacing w:after="40"/>
            </w:pPr>
            <w:r>
              <w:rPr>
                <w:rFonts w:ascii="Arial" w:hAnsi="Arial"/>
                <w:b/>
                <w:color w:val="D73454"/>
                <w:sz w:val="14"/>
              </w:rPr>
              <w:t>NEXT TOTAL</w:t>
            </w:r>
          </w:p>
          <w:p>
            <w:pPr>
              <w:spacing w:after="0"/>
            </w:pPr>
            <w:r>
              <w:rPr>
                <w:rFonts w:ascii="Arial" w:hAnsi="Arial"/>
                <w:color w:val="2A2D34"/>
                <w:sz w:val="14"/>
              </w:rPr>
              <w:t>Analysis + caps</w:t>
            </w:r>
          </w:p>
        </w:tc>
      </w:tr>
    </w:tbl>
    <w:p>
      <w:r>
        <w:br w:type="page"/>
      </w:r>
    </w:p>
    <w:p>
      <w:pPr>
        <w:pStyle w:val="Kicker"/>
      </w:pPr>
      <w:r>
        <w:rPr>
          <w:color w:val="27A66B"/>
        </w:rPr>
        <w:t>VERIFIED REMEDIATION</w:t>
      </w:r>
    </w:p>
    <w:p>
      <w:pPr>
        <w:pStyle w:val="Heading1"/>
      </w:pPr>
      <w:r>
        <w:t>Verified Findings Overview</w:t>
      </w:r>
    </w:p>
    <w:p>
      <w:pPr>
        <w:spacing w:after="200" w:line="96" w:lineRule="auto"/>
      </w:pPr>
      <w:r>
        <w:rPr>
          <w:rFonts w:ascii="Arial" w:hAnsi="Arial"/>
          <w:color w:val="27A66B"/>
          <w:sz w:val="12"/>
        </w:rPr>
        <w:t>━━━━━━━━━━━━━━━━━━━━━━━━━━━━━━━━━━━━━━━━━━━━━━━━━━━━━━━━━━━━</w:t>
      </w:r>
    </w:p>
    <w:p>
      <w:pPr>
        <w:keepLines/>
        <w:widowControl/>
      </w:pPr>
      <w:r>
        <w:t>All nine tracked source items are remediated, verified and closed in the final frozen evidence. The table presents the completed control and its historical classification for traceability; zero source findings remain open. Every closure record is bound to the same immutable evidence identity, preventing historical snapshots or superseded verification runs from being mixed into this assessment.</w:t>
      </w:r>
    </w:p>
    <w:p>
      <w:pPr>
        <w:spacing w:before="80" w:after="100"/>
        <w:jc w:val="center"/>
      </w:pPr>
      <w:r>
        <w:drawing>
          <wp:inline xmlns:a="http://schemas.openxmlformats.org/drawingml/2006/main" xmlns:pic="http://schemas.openxmlformats.org/drawingml/2006/picture">
            <wp:extent cx="6263640" cy="3523298"/>
            <wp:docPr id="10" name="Picture 10"/>
            <wp:cNvGraphicFramePr>
              <a:graphicFrameLocks noChangeAspect="1"/>
            </wp:cNvGraphicFramePr>
            <a:graphic>
              <a:graphicData uri="http://schemas.openxmlformats.org/drawingml/2006/picture">
                <pic:pic>
                  <pic:nvPicPr>
                    <pic:cNvPr id="0" name="remediation-dashboard.png"/>
                    <pic:cNvPicPr/>
                  </pic:nvPicPr>
                  <pic:blipFill>
                    <a:blip r:embed="rId13"/>
                    <a:stretch>
                      <a:fillRect/>
                    </a:stretch>
                  </pic:blipFill>
                  <pic:spPr>
                    <a:xfrm>
                      <a:off x="0" y="0"/>
                      <a:ext cx="6263640" cy="3523298"/>
                    </a:xfrm>
                    <a:prstGeom prst="rect"/>
                  </pic:spPr>
                </pic:pic>
              </a:graphicData>
            </a:graphic>
          </wp:inline>
        </w:drawing>
      </w:r>
    </w:p>
    <w:p>
      <w:pPr>
        <w:spacing w:after="100"/>
        <w:jc w:val="center"/>
      </w:pPr>
      <w:r>
        <w:rPr>
          <w:i/>
          <w:color w:val="787C84"/>
          <w:sz w:val="14"/>
        </w:rPr>
        <w:t>Figure 18. Verified Findings Overview</w:t>
      </w:r>
    </w:p>
    <w:tbl>
      <w:tblPr>
        <w:tblW w:type="auto" w:w="0"/>
        <w:jc w:val="center"/>
        <w:tblLayout w:type="fixed"/>
        <w:tblLook w:firstColumn="1" w:firstRow="1" w:lastColumn="0" w:lastRow="0" w:noHBand="0" w:noVBand="1" w:val="04A0"/>
      </w:tblPr>
      <w:tblGrid>
        <w:gridCol w:w="2537"/>
        <w:gridCol w:w="2537"/>
        <w:gridCol w:w="2537"/>
        <w:gridCol w:w="2537"/>
      </w:tblGrid>
      <w:tr>
        <w:trPr>
          <w:tblHeader w:val="true"/>
        </w:trPr>
        <w:tc>
          <w:tcPr>
            <w:tcW w:type="dxa" w:w="950"/>
            <w:shd w:fill="17191F"/>
            <w:tcMar>
              <w:top w:w="100" w:type="dxa"/>
              <w:start w:w="120" w:type="dxa"/>
              <w:bottom w:w="100" w:type="dxa"/>
              <w:end w:w="120" w:type="dxa"/>
            </w:tcMar>
            <w:vAlign w:val="center"/>
          </w:tcPr>
          <w:p>
            <w:pPr>
              <w:spacing w:after="0"/>
            </w:pPr>
            <w:r>
              <w:rPr>
                <w:rFonts w:ascii="Arial" w:hAnsi="Arial"/>
                <w:b/>
                <w:color w:val="FFFFFF"/>
                <w:sz w:val="16"/>
              </w:rPr>
              <w:t>ID</w:t>
            </w:r>
          </w:p>
        </w:tc>
        <w:tc>
          <w:tcPr>
            <w:tcW w:type="dxa" w:w="1050"/>
            <w:shd w:fill="17191F"/>
            <w:tcMar>
              <w:top w:w="100" w:type="dxa"/>
              <w:start w:w="120" w:type="dxa"/>
              <w:bottom w:w="100" w:type="dxa"/>
              <w:end w:w="120" w:type="dxa"/>
            </w:tcMar>
            <w:vAlign w:val="center"/>
          </w:tcPr>
          <w:p>
            <w:pPr>
              <w:spacing w:after="0"/>
            </w:pPr>
            <w:r>
              <w:rPr>
                <w:rFonts w:ascii="Arial" w:hAnsi="Arial"/>
                <w:b/>
                <w:color w:val="FFFFFF"/>
                <w:sz w:val="16"/>
              </w:rPr>
              <w:t>Historical class</w:t>
            </w:r>
          </w:p>
        </w:tc>
        <w:tc>
          <w:tcPr>
            <w:tcW w:type="dxa" w:w="2050"/>
            <w:shd w:fill="17191F"/>
            <w:tcMar>
              <w:top w:w="100" w:type="dxa"/>
              <w:start w:w="120" w:type="dxa"/>
              <w:bottom w:w="100" w:type="dxa"/>
              <w:end w:w="120" w:type="dxa"/>
            </w:tcMar>
            <w:vAlign w:val="center"/>
          </w:tcPr>
          <w:p>
            <w:pPr>
              <w:spacing w:after="0"/>
            </w:pPr>
            <w:r>
              <w:rPr>
                <w:rFonts w:ascii="Arial" w:hAnsi="Arial"/>
                <w:b/>
                <w:color w:val="FFFFFF"/>
                <w:sz w:val="16"/>
              </w:rPr>
              <w:t>Verification status</w:t>
            </w:r>
          </w:p>
        </w:tc>
        <w:tc>
          <w:tcPr>
            <w:tcW w:type="dxa" w:w="4950"/>
            <w:shd w:fill="17191F"/>
            <w:tcMar>
              <w:top w:w="100" w:type="dxa"/>
              <w:start w:w="120" w:type="dxa"/>
              <w:bottom w:w="100" w:type="dxa"/>
              <w:end w:w="120" w:type="dxa"/>
            </w:tcMar>
            <w:vAlign w:val="center"/>
          </w:tcPr>
          <w:p>
            <w:pPr>
              <w:spacing w:after="0"/>
            </w:pPr>
            <w:r>
              <w:rPr>
                <w:rFonts w:ascii="Arial" w:hAnsi="Arial"/>
                <w:b/>
                <w:color w:val="FFFFFF"/>
                <w:sz w:val="16"/>
              </w:rPr>
              <w:t>Completed control</w:t>
            </w:r>
          </w:p>
        </w:tc>
      </w:tr>
      <w:tr>
        <w:tc>
          <w:tcPr>
            <w:tcW w:type="dxa" w:w="950"/>
            <w:tcMar>
              <w:top w:w="85" w:type="dxa"/>
              <w:start w:w="120" w:type="dxa"/>
              <w:bottom w:w="85" w:type="dxa"/>
              <w:end w:w="120" w:type="dxa"/>
            </w:tcMar>
            <w:vAlign w:val="center"/>
          </w:tcPr>
          <w:p>
            <w:pPr>
              <w:spacing w:after="0"/>
            </w:pPr>
            <w:r>
              <w:rPr>
                <w:rFonts w:ascii="Arial" w:hAnsi="Arial"/>
                <w:color w:val="2A2D34"/>
                <w:sz w:val="15"/>
              </w:rPr>
              <w:t>MED-01</w:t>
            </w:r>
          </w:p>
        </w:tc>
        <w:tc>
          <w:tcPr>
            <w:tcW w:type="dxa" w:w="1050"/>
            <w:tcMar>
              <w:top w:w="85" w:type="dxa"/>
              <w:start w:w="120" w:type="dxa"/>
              <w:bottom w:w="85" w:type="dxa"/>
              <w:end w:w="120" w:type="dxa"/>
            </w:tcMar>
            <w:vAlign w:val="center"/>
          </w:tcPr>
          <w:p>
            <w:pPr>
              <w:spacing w:after="0"/>
            </w:pPr>
            <w:r>
              <w:rPr>
                <w:rFonts w:ascii="Arial" w:hAnsi="Arial"/>
                <w:color w:val="2A2D34"/>
                <w:sz w:val="15"/>
              </w:rPr>
              <w:t>Medium</w:t>
            </w:r>
          </w:p>
        </w:tc>
        <w:tc>
          <w:tcPr>
            <w:tcW w:type="dxa" w:w="2050"/>
            <w:tcMar>
              <w:top w:w="85" w:type="dxa"/>
              <w:start w:w="120" w:type="dxa"/>
              <w:bottom w:w="85" w:type="dxa"/>
              <w:end w:w="120" w:type="dxa"/>
            </w:tcMar>
            <w:vAlign w:val="center"/>
          </w:tcPr>
          <w:p>
            <w:pPr>
              <w:spacing w:after="0"/>
            </w:pPr>
            <w:r>
              <w:rPr>
                <w:rFonts w:ascii="Arial" w:hAnsi="Arial"/>
                <w:color w:val="2A2D34"/>
                <w:sz w:val="15"/>
              </w:rPr>
              <w:t>REMEDIATED · VERIFIED</w:t>
            </w:r>
          </w:p>
        </w:tc>
        <w:tc>
          <w:tcPr>
            <w:tcW w:type="dxa" w:w="4950"/>
            <w:tcMar>
              <w:top w:w="85" w:type="dxa"/>
              <w:start w:w="120" w:type="dxa"/>
              <w:bottom w:w="85" w:type="dxa"/>
              <w:end w:w="120" w:type="dxa"/>
            </w:tcMar>
            <w:vAlign w:val="center"/>
          </w:tcPr>
          <w:p>
            <w:pPr>
              <w:spacing w:after="0"/>
            </w:pPr>
            <w:r>
              <w:rPr>
                <w:rFonts w:ascii="Arial" w:hAnsi="Arial"/>
                <w:color w:val="2A2D34"/>
                <w:sz w:val="15"/>
              </w:rPr>
              <w:t>Cumulative redemption threshold enforcement</w:t>
            </w:r>
          </w:p>
        </w:tc>
      </w:tr>
      <w:tr>
        <w:tc>
          <w:tcPr>
            <w:tcW w:type="dxa" w:w="950"/>
            <w:tcMar>
              <w:top w:w="85" w:type="dxa"/>
              <w:start w:w="120" w:type="dxa"/>
              <w:bottom w:w="85" w:type="dxa"/>
              <w:end w:w="120" w:type="dxa"/>
            </w:tcMar>
            <w:shd w:fill="F4F5F7"/>
            <w:vAlign w:val="center"/>
          </w:tcPr>
          <w:p>
            <w:pPr>
              <w:spacing w:after="0"/>
            </w:pPr>
            <w:r>
              <w:rPr>
                <w:rFonts w:ascii="Arial" w:hAnsi="Arial"/>
                <w:color w:val="2A2D34"/>
                <w:sz w:val="15"/>
              </w:rPr>
              <w:t>MED-02</w:t>
            </w:r>
          </w:p>
        </w:tc>
        <w:tc>
          <w:tcPr>
            <w:tcW w:type="dxa" w:w="1050"/>
            <w:tcMar>
              <w:top w:w="85" w:type="dxa"/>
              <w:start w:w="120" w:type="dxa"/>
              <w:bottom w:w="85" w:type="dxa"/>
              <w:end w:w="120" w:type="dxa"/>
            </w:tcMar>
            <w:shd w:fill="F4F5F7"/>
            <w:vAlign w:val="center"/>
          </w:tcPr>
          <w:p>
            <w:pPr>
              <w:spacing w:after="0"/>
            </w:pPr>
            <w:r>
              <w:rPr>
                <w:rFonts w:ascii="Arial" w:hAnsi="Arial"/>
                <w:color w:val="2A2D34"/>
                <w:sz w:val="15"/>
              </w:rPr>
              <w:t>Medium</w:t>
            </w:r>
          </w:p>
        </w:tc>
        <w:tc>
          <w:tcPr>
            <w:tcW w:type="dxa" w:w="2050"/>
            <w:tcMar>
              <w:top w:w="85" w:type="dxa"/>
              <w:start w:w="120" w:type="dxa"/>
              <w:bottom w:w="85" w:type="dxa"/>
              <w:end w:w="120" w:type="dxa"/>
            </w:tcMar>
            <w:shd w:fill="F4F5F7"/>
            <w:vAlign w:val="center"/>
          </w:tcPr>
          <w:p>
            <w:pPr>
              <w:spacing w:after="0"/>
            </w:pPr>
            <w:r>
              <w:rPr>
                <w:rFonts w:ascii="Arial" w:hAnsi="Arial"/>
                <w:color w:val="2A2D34"/>
                <w:sz w:val="15"/>
              </w:rPr>
              <w:t>REMEDIATED · VERIFIED</w:t>
            </w:r>
          </w:p>
        </w:tc>
        <w:tc>
          <w:tcPr>
            <w:tcW w:type="dxa" w:w="4950"/>
            <w:tcMar>
              <w:top w:w="85" w:type="dxa"/>
              <w:start w:w="120" w:type="dxa"/>
              <w:bottom w:w="85" w:type="dxa"/>
              <w:end w:w="120" w:type="dxa"/>
            </w:tcMar>
            <w:shd w:fill="F4F5F7"/>
            <w:vAlign w:val="center"/>
          </w:tcPr>
          <w:p>
            <w:pPr>
              <w:spacing w:after="0"/>
            </w:pPr>
            <w:r>
              <w:rPr>
                <w:rFonts w:ascii="Arial" w:hAnsi="Arial"/>
                <w:color w:val="2A2D34"/>
                <w:sz w:val="15"/>
              </w:rPr>
              <w:t>Projected reserve coverage enforcement</w:t>
            </w:r>
          </w:p>
        </w:tc>
      </w:tr>
      <w:tr>
        <w:tc>
          <w:tcPr>
            <w:tcW w:type="dxa" w:w="950"/>
            <w:tcMar>
              <w:top w:w="85" w:type="dxa"/>
              <w:start w:w="120" w:type="dxa"/>
              <w:bottom w:w="85" w:type="dxa"/>
              <w:end w:w="120" w:type="dxa"/>
            </w:tcMar>
            <w:vAlign w:val="center"/>
          </w:tcPr>
          <w:p>
            <w:pPr>
              <w:spacing w:after="0"/>
            </w:pPr>
            <w:r>
              <w:rPr>
                <w:rFonts w:ascii="Arial" w:hAnsi="Arial"/>
                <w:color w:val="2A2D34"/>
                <w:sz w:val="15"/>
              </w:rPr>
              <w:t>MED-03</w:t>
            </w:r>
          </w:p>
        </w:tc>
        <w:tc>
          <w:tcPr>
            <w:tcW w:type="dxa" w:w="1050"/>
            <w:tcMar>
              <w:top w:w="85" w:type="dxa"/>
              <w:start w:w="120" w:type="dxa"/>
              <w:bottom w:w="85" w:type="dxa"/>
              <w:end w:w="120" w:type="dxa"/>
            </w:tcMar>
            <w:vAlign w:val="center"/>
          </w:tcPr>
          <w:p>
            <w:pPr>
              <w:spacing w:after="0"/>
            </w:pPr>
            <w:r>
              <w:rPr>
                <w:rFonts w:ascii="Arial" w:hAnsi="Arial"/>
                <w:color w:val="2A2D34"/>
                <w:sz w:val="15"/>
              </w:rPr>
              <w:t>Medium</w:t>
            </w:r>
          </w:p>
        </w:tc>
        <w:tc>
          <w:tcPr>
            <w:tcW w:type="dxa" w:w="2050"/>
            <w:tcMar>
              <w:top w:w="85" w:type="dxa"/>
              <w:start w:w="120" w:type="dxa"/>
              <w:bottom w:w="85" w:type="dxa"/>
              <w:end w:w="120" w:type="dxa"/>
            </w:tcMar>
            <w:vAlign w:val="center"/>
          </w:tcPr>
          <w:p>
            <w:pPr>
              <w:spacing w:after="0"/>
            </w:pPr>
            <w:r>
              <w:rPr>
                <w:rFonts w:ascii="Arial" w:hAnsi="Arial"/>
                <w:color w:val="2A2D34"/>
                <w:sz w:val="15"/>
              </w:rPr>
              <w:t>REMEDIATED · VERIFIED</w:t>
            </w:r>
          </w:p>
        </w:tc>
        <w:tc>
          <w:tcPr>
            <w:tcW w:type="dxa" w:w="4950"/>
            <w:tcMar>
              <w:top w:w="85" w:type="dxa"/>
              <w:start w:w="120" w:type="dxa"/>
              <w:bottom w:w="85" w:type="dxa"/>
              <w:end w:w="120" w:type="dxa"/>
            </w:tcMar>
            <w:vAlign w:val="center"/>
          </w:tcPr>
          <w:p>
            <w:pPr>
              <w:spacing w:after="0"/>
            </w:pPr>
            <w:r>
              <w:rPr>
                <w:rFonts w:ascii="Arial" w:hAnsi="Arial"/>
                <w:color w:val="2A2D34"/>
                <w:sz w:val="15"/>
              </w:rPr>
              <w:t>Oracle bounds, deviation checks and circuit breaker</w:t>
            </w:r>
          </w:p>
        </w:tc>
      </w:tr>
      <w:tr>
        <w:tc>
          <w:tcPr>
            <w:tcW w:type="dxa" w:w="950"/>
            <w:tcMar>
              <w:top w:w="85" w:type="dxa"/>
              <w:start w:w="120" w:type="dxa"/>
              <w:bottom w:w="85" w:type="dxa"/>
              <w:end w:w="120" w:type="dxa"/>
            </w:tcMar>
            <w:shd w:fill="F4F5F7"/>
            <w:vAlign w:val="center"/>
          </w:tcPr>
          <w:p>
            <w:pPr>
              <w:spacing w:after="0"/>
            </w:pPr>
            <w:r>
              <w:rPr>
                <w:rFonts w:ascii="Arial" w:hAnsi="Arial"/>
                <w:color w:val="2A2D34"/>
                <w:sz w:val="15"/>
              </w:rPr>
              <w:t>MED-04</w:t>
            </w:r>
          </w:p>
        </w:tc>
        <w:tc>
          <w:tcPr>
            <w:tcW w:type="dxa" w:w="1050"/>
            <w:tcMar>
              <w:top w:w="85" w:type="dxa"/>
              <w:start w:w="120" w:type="dxa"/>
              <w:bottom w:w="85" w:type="dxa"/>
              <w:end w:w="120" w:type="dxa"/>
            </w:tcMar>
            <w:shd w:fill="F4F5F7"/>
            <w:vAlign w:val="center"/>
          </w:tcPr>
          <w:p>
            <w:pPr>
              <w:spacing w:after="0"/>
            </w:pPr>
            <w:r>
              <w:rPr>
                <w:rFonts w:ascii="Arial" w:hAnsi="Arial"/>
                <w:color w:val="2A2D34"/>
                <w:sz w:val="15"/>
              </w:rPr>
              <w:t>Medium</w:t>
            </w:r>
          </w:p>
        </w:tc>
        <w:tc>
          <w:tcPr>
            <w:tcW w:type="dxa" w:w="2050"/>
            <w:tcMar>
              <w:top w:w="85" w:type="dxa"/>
              <w:start w:w="120" w:type="dxa"/>
              <w:bottom w:w="85" w:type="dxa"/>
              <w:end w:w="120" w:type="dxa"/>
            </w:tcMar>
            <w:shd w:fill="F4F5F7"/>
            <w:vAlign w:val="center"/>
          </w:tcPr>
          <w:p>
            <w:pPr>
              <w:spacing w:after="0"/>
            </w:pPr>
            <w:r>
              <w:rPr>
                <w:rFonts w:ascii="Arial" w:hAnsi="Arial"/>
                <w:color w:val="2A2D34"/>
                <w:sz w:val="15"/>
              </w:rPr>
              <w:t>REMEDIATED · VERIFIED</w:t>
            </w:r>
          </w:p>
        </w:tc>
        <w:tc>
          <w:tcPr>
            <w:tcW w:type="dxa" w:w="4950"/>
            <w:tcMar>
              <w:top w:w="85" w:type="dxa"/>
              <w:start w:w="120" w:type="dxa"/>
              <w:bottom w:w="85" w:type="dxa"/>
              <w:end w:w="120" w:type="dxa"/>
            </w:tcMar>
            <w:shd w:fill="F4F5F7"/>
            <w:vAlign w:val="center"/>
          </w:tcPr>
          <w:p>
            <w:pPr>
              <w:spacing w:after="0"/>
            </w:pPr>
            <w:r>
              <w:rPr>
                <w:rFonts w:ascii="Arial" w:hAnsi="Arial"/>
                <w:color w:val="2A2D34"/>
                <w:sz w:val="15"/>
              </w:rPr>
              <w:t>Hardened staking oracle validation</w:t>
            </w:r>
          </w:p>
        </w:tc>
      </w:tr>
      <w:tr>
        <w:tc>
          <w:tcPr>
            <w:tcW w:type="dxa" w:w="950"/>
            <w:tcMar>
              <w:top w:w="85" w:type="dxa"/>
              <w:start w:w="120" w:type="dxa"/>
              <w:bottom w:w="85" w:type="dxa"/>
              <w:end w:w="120" w:type="dxa"/>
            </w:tcMar>
            <w:vAlign w:val="center"/>
          </w:tcPr>
          <w:p>
            <w:pPr>
              <w:spacing w:after="0"/>
            </w:pPr>
            <w:r>
              <w:rPr>
                <w:rFonts w:ascii="Arial" w:hAnsi="Arial"/>
                <w:color w:val="2A2D34"/>
                <w:sz w:val="15"/>
              </w:rPr>
              <w:t>LOW-01</w:t>
            </w:r>
          </w:p>
        </w:tc>
        <w:tc>
          <w:tcPr>
            <w:tcW w:type="dxa" w:w="1050"/>
            <w:tcMar>
              <w:top w:w="85" w:type="dxa"/>
              <w:start w:w="120" w:type="dxa"/>
              <w:bottom w:w="85" w:type="dxa"/>
              <w:end w:w="120" w:type="dxa"/>
            </w:tcMar>
            <w:vAlign w:val="center"/>
          </w:tcPr>
          <w:p>
            <w:pPr>
              <w:spacing w:after="0"/>
            </w:pPr>
            <w:r>
              <w:rPr>
                <w:rFonts w:ascii="Arial" w:hAnsi="Arial"/>
                <w:color w:val="2A2D34"/>
                <w:sz w:val="15"/>
              </w:rPr>
              <w:t>Low</w:t>
            </w:r>
          </w:p>
        </w:tc>
        <w:tc>
          <w:tcPr>
            <w:tcW w:type="dxa" w:w="2050"/>
            <w:tcMar>
              <w:top w:w="85" w:type="dxa"/>
              <w:start w:w="120" w:type="dxa"/>
              <w:bottom w:w="85" w:type="dxa"/>
              <w:end w:w="120" w:type="dxa"/>
            </w:tcMar>
            <w:vAlign w:val="center"/>
          </w:tcPr>
          <w:p>
            <w:pPr>
              <w:spacing w:after="0"/>
            </w:pPr>
            <w:r>
              <w:rPr>
                <w:rFonts w:ascii="Arial" w:hAnsi="Arial"/>
                <w:color w:val="2A2D34"/>
                <w:sz w:val="15"/>
              </w:rPr>
              <w:t>REMEDIATED · VERIFIED</w:t>
            </w:r>
          </w:p>
        </w:tc>
        <w:tc>
          <w:tcPr>
            <w:tcW w:type="dxa" w:w="4950"/>
            <w:tcMar>
              <w:top w:w="85" w:type="dxa"/>
              <w:start w:w="120" w:type="dxa"/>
              <w:bottom w:w="85" w:type="dxa"/>
              <w:end w:w="120" w:type="dxa"/>
            </w:tcMar>
            <w:vAlign w:val="center"/>
          </w:tcPr>
          <w:p>
            <w:pPr>
              <w:spacing w:after="0"/>
            </w:pPr>
            <w:r>
              <w:rPr>
                <w:rFonts w:ascii="Arial" w:hAnsi="Arial"/>
                <w:color w:val="2A2D34"/>
                <w:sz w:val="15"/>
              </w:rPr>
              <w:t>Rolling 24-hour redemption limits</w:t>
            </w:r>
          </w:p>
        </w:tc>
      </w:tr>
      <w:tr>
        <w:tc>
          <w:tcPr>
            <w:tcW w:type="dxa" w:w="950"/>
            <w:tcMar>
              <w:top w:w="85" w:type="dxa"/>
              <w:start w:w="120" w:type="dxa"/>
              <w:bottom w:w="85" w:type="dxa"/>
              <w:end w:w="120" w:type="dxa"/>
            </w:tcMar>
            <w:shd w:fill="F4F5F7"/>
            <w:vAlign w:val="center"/>
          </w:tcPr>
          <w:p>
            <w:pPr>
              <w:spacing w:after="0"/>
            </w:pPr>
            <w:r>
              <w:rPr>
                <w:rFonts w:ascii="Arial" w:hAnsi="Arial"/>
                <w:color w:val="2A2D34"/>
                <w:sz w:val="15"/>
              </w:rPr>
              <w:t>INFO-01</w:t>
            </w:r>
          </w:p>
        </w:tc>
        <w:tc>
          <w:tcPr>
            <w:tcW w:type="dxa" w:w="1050"/>
            <w:tcMar>
              <w:top w:w="85" w:type="dxa"/>
              <w:start w:w="120" w:type="dxa"/>
              <w:bottom w:w="85" w:type="dxa"/>
              <w:end w:w="120" w:type="dxa"/>
            </w:tcMar>
            <w:shd w:fill="F4F5F7"/>
            <w:vAlign w:val="center"/>
          </w:tcPr>
          <w:p>
            <w:pPr>
              <w:spacing w:after="0"/>
            </w:pPr>
            <w:r>
              <w:rPr>
                <w:rFonts w:ascii="Arial" w:hAnsi="Arial"/>
                <w:color w:val="2A2D34"/>
                <w:sz w:val="15"/>
              </w:rPr>
              <w:t>Informational</w:t>
            </w:r>
          </w:p>
        </w:tc>
        <w:tc>
          <w:tcPr>
            <w:tcW w:type="dxa" w:w="2050"/>
            <w:tcMar>
              <w:top w:w="85" w:type="dxa"/>
              <w:start w:w="120" w:type="dxa"/>
              <w:bottom w:w="85" w:type="dxa"/>
              <w:end w:w="120" w:type="dxa"/>
            </w:tcMar>
            <w:shd w:fill="F4F5F7"/>
            <w:vAlign w:val="center"/>
          </w:tcPr>
          <w:p>
            <w:pPr>
              <w:spacing w:after="0"/>
            </w:pPr>
            <w:r>
              <w:rPr>
                <w:rFonts w:ascii="Arial" w:hAnsi="Arial"/>
                <w:color w:val="2A2D34"/>
                <w:sz w:val="15"/>
              </w:rPr>
              <w:t>REMEDIATED · VERIFIED</w:t>
            </w:r>
          </w:p>
        </w:tc>
        <w:tc>
          <w:tcPr>
            <w:tcW w:type="dxa" w:w="4950"/>
            <w:tcMar>
              <w:top w:w="85" w:type="dxa"/>
              <w:start w:w="120" w:type="dxa"/>
              <w:bottom w:w="85" w:type="dxa"/>
              <w:end w:w="120" w:type="dxa"/>
            </w:tcMar>
            <w:shd w:fill="F4F5F7"/>
            <w:vAlign w:val="center"/>
          </w:tcPr>
          <w:p>
            <w:pPr>
              <w:spacing w:after="0"/>
            </w:pPr>
            <w:r>
              <w:rPr>
                <w:rFonts w:ascii="Arial" w:hAnsi="Arial"/>
                <w:color w:val="2A2D34"/>
                <w:sz w:val="15"/>
              </w:rPr>
              <w:t>Timelock and threshold-Safe ownership gate</w:t>
            </w:r>
          </w:p>
        </w:tc>
      </w:tr>
      <w:tr>
        <w:tc>
          <w:tcPr>
            <w:tcW w:type="dxa" w:w="950"/>
            <w:tcMar>
              <w:top w:w="85" w:type="dxa"/>
              <w:start w:w="120" w:type="dxa"/>
              <w:bottom w:w="85" w:type="dxa"/>
              <w:end w:w="120" w:type="dxa"/>
            </w:tcMar>
            <w:vAlign w:val="center"/>
          </w:tcPr>
          <w:p>
            <w:pPr>
              <w:spacing w:after="0"/>
            </w:pPr>
            <w:r>
              <w:rPr>
                <w:rFonts w:ascii="Arial" w:hAnsi="Arial"/>
                <w:color w:val="2A2D34"/>
                <w:sz w:val="15"/>
              </w:rPr>
              <w:t>INFO-02</w:t>
            </w:r>
          </w:p>
        </w:tc>
        <w:tc>
          <w:tcPr>
            <w:tcW w:type="dxa" w:w="1050"/>
            <w:tcMar>
              <w:top w:w="85" w:type="dxa"/>
              <w:start w:w="120" w:type="dxa"/>
              <w:bottom w:w="85" w:type="dxa"/>
              <w:end w:w="120" w:type="dxa"/>
            </w:tcMar>
            <w:vAlign w:val="center"/>
          </w:tcPr>
          <w:p>
            <w:pPr>
              <w:spacing w:after="0"/>
            </w:pPr>
            <w:r>
              <w:rPr>
                <w:rFonts w:ascii="Arial" w:hAnsi="Arial"/>
                <w:color w:val="2A2D34"/>
                <w:sz w:val="15"/>
              </w:rPr>
              <w:t>Informational</w:t>
            </w:r>
          </w:p>
        </w:tc>
        <w:tc>
          <w:tcPr>
            <w:tcW w:type="dxa" w:w="2050"/>
            <w:tcMar>
              <w:top w:w="85" w:type="dxa"/>
              <w:start w:w="120" w:type="dxa"/>
              <w:bottom w:w="85" w:type="dxa"/>
              <w:end w:w="120" w:type="dxa"/>
            </w:tcMar>
            <w:vAlign w:val="center"/>
          </w:tcPr>
          <w:p>
            <w:pPr>
              <w:spacing w:after="0"/>
            </w:pPr>
            <w:r>
              <w:rPr>
                <w:rFonts w:ascii="Arial" w:hAnsi="Arial"/>
                <w:color w:val="2A2D34"/>
                <w:sz w:val="15"/>
              </w:rPr>
              <w:t>REMEDIATED · VERIFIED</w:t>
            </w:r>
          </w:p>
        </w:tc>
        <w:tc>
          <w:tcPr>
            <w:tcW w:type="dxa" w:w="4950"/>
            <w:tcMar>
              <w:top w:w="85" w:type="dxa"/>
              <w:start w:w="120" w:type="dxa"/>
              <w:bottom w:w="85" w:type="dxa"/>
              <w:end w:w="120" w:type="dxa"/>
            </w:tcMar>
            <w:vAlign w:val="center"/>
          </w:tcPr>
          <w:p>
            <w:pPr>
              <w:spacing w:after="0"/>
            </w:pPr>
            <w:r>
              <w:rPr>
                <w:rFonts w:ascii="Arial" w:hAnsi="Arial"/>
                <w:color w:val="2A2D34"/>
                <w:sz w:val="15"/>
              </w:rPr>
              <w:t>Delayed two-step beneficiary rotation</w:t>
            </w:r>
          </w:p>
        </w:tc>
      </w:tr>
      <w:tr>
        <w:tc>
          <w:tcPr>
            <w:tcW w:type="dxa" w:w="950"/>
            <w:tcMar>
              <w:top w:w="85" w:type="dxa"/>
              <w:start w:w="120" w:type="dxa"/>
              <w:bottom w:w="85" w:type="dxa"/>
              <w:end w:w="120" w:type="dxa"/>
            </w:tcMar>
            <w:shd w:fill="F4F5F7"/>
            <w:vAlign w:val="center"/>
          </w:tcPr>
          <w:p>
            <w:pPr>
              <w:spacing w:after="0"/>
            </w:pPr>
            <w:r>
              <w:rPr>
                <w:rFonts w:ascii="Arial" w:hAnsi="Arial"/>
                <w:color w:val="2A2D34"/>
                <w:sz w:val="15"/>
              </w:rPr>
              <w:t>INFO-03</w:t>
            </w:r>
          </w:p>
        </w:tc>
        <w:tc>
          <w:tcPr>
            <w:tcW w:type="dxa" w:w="1050"/>
            <w:tcMar>
              <w:top w:w="85" w:type="dxa"/>
              <w:start w:w="120" w:type="dxa"/>
              <w:bottom w:w="85" w:type="dxa"/>
              <w:end w:w="120" w:type="dxa"/>
            </w:tcMar>
            <w:shd w:fill="F4F5F7"/>
            <w:vAlign w:val="center"/>
          </w:tcPr>
          <w:p>
            <w:pPr>
              <w:spacing w:after="0"/>
            </w:pPr>
            <w:r>
              <w:rPr>
                <w:rFonts w:ascii="Arial" w:hAnsi="Arial"/>
                <w:color w:val="2A2D34"/>
                <w:sz w:val="15"/>
              </w:rPr>
              <w:t>Informational</w:t>
            </w:r>
          </w:p>
        </w:tc>
        <w:tc>
          <w:tcPr>
            <w:tcW w:type="dxa" w:w="2050"/>
            <w:tcMar>
              <w:top w:w="85" w:type="dxa"/>
              <w:start w:w="120" w:type="dxa"/>
              <w:bottom w:w="85" w:type="dxa"/>
              <w:end w:w="120" w:type="dxa"/>
            </w:tcMar>
            <w:shd w:fill="F4F5F7"/>
            <w:vAlign w:val="center"/>
          </w:tcPr>
          <w:p>
            <w:pPr>
              <w:spacing w:after="0"/>
            </w:pPr>
            <w:r>
              <w:rPr>
                <w:rFonts w:ascii="Arial" w:hAnsi="Arial"/>
                <w:color w:val="2A2D34"/>
                <w:sz w:val="15"/>
              </w:rPr>
              <w:t>REMEDIATED · VERIFIED</w:t>
            </w:r>
          </w:p>
        </w:tc>
        <w:tc>
          <w:tcPr>
            <w:tcW w:type="dxa" w:w="4950"/>
            <w:tcMar>
              <w:top w:w="85" w:type="dxa"/>
              <w:start w:w="120" w:type="dxa"/>
              <w:bottom w:w="85" w:type="dxa"/>
              <w:end w:w="120" w:type="dxa"/>
            </w:tcMar>
            <w:shd w:fill="F4F5F7"/>
            <w:vAlign w:val="center"/>
          </w:tcPr>
          <w:p>
            <w:pPr>
              <w:spacing w:after="0"/>
            </w:pPr>
            <w:r>
              <w:rPr>
                <w:rFonts w:ascii="Arial" w:hAnsi="Arial"/>
                <w:color w:val="2A2D34"/>
                <w:sz w:val="15"/>
              </w:rPr>
              <w:t>Complete settlement evidence events</w:t>
            </w:r>
          </w:p>
        </w:tc>
      </w:tr>
      <w:tr>
        <w:tc>
          <w:tcPr>
            <w:tcW w:type="dxa" w:w="950"/>
            <w:tcMar>
              <w:top w:w="85" w:type="dxa"/>
              <w:start w:w="120" w:type="dxa"/>
              <w:bottom w:w="85" w:type="dxa"/>
              <w:end w:w="120" w:type="dxa"/>
            </w:tcMar>
            <w:vAlign w:val="center"/>
          </w:tcPr>
          <w:p>
            <w:pPr>
              <w:spacing w:after="0"/>
            </w:pPr>
            <w:r>
              <w:rPr>
                <w:rFonts w:ascii="Arial" w:hAnsi="Arial"/>
                <w:color w:val="2A2D34"/>
                <w:sz w:val="15"/>
              </w:rPr>
              <w:t>INFO-04</w:t>
            </w:r>
          </w:p>
        </w:tc>
        <w:tc>
          <w:tcPr>
            <w:tcW w:type="dxa" w:w="1050"/>
            <w:tcMar>
              <w:top w:w="85" w:type="dxa"/>
              <w:start w:w="120" w:type="dxa"/>
              <w:bottom w:w="85" w:type="dxa"/>
              <w:end w:w="120" w:type="dxa"/>
            </w:tcMar>
            <w:vAlign w:val="center"/>
          </w:tcPr>
          <w:p>
            <w:pPr>
              <w:spacing w:after="0"/>
            </w:pPr>
            <w:r>
              <w:rPr>
                <w:rFonts w:ascii="Arial" w:hAnsi="Arial"/>
                <w:color w:val="2A2D34"/>
                <w:sz w:val="15"/>
              </w:rPr>
              <w:t>Informational</w:t>
            </w:r>
          </w:p>
        </w:tc>
        <w:tc>
          <w:tcPr>
            <w:tcW w:type="dxa" w:w="2050"/>
            <w:tcMar>
              <w:top w:w="85" w:type="dxa"/>
              <w:start w:w="120" w:type="dxa"/>
              <w:bottom w:w="85" w:type="dxa"/>
              <w:end w:w="120" w:type="dxa"/>
            </w:tcMar>
            <w:vAlign w:val="center"/>
          </w:tcPr>
          <w:p>
            <w:pPr>
              <w:spacing w:after="0"/>
            </w:pPr>
            <w:r>
              <w:rPr>
                <w:rFonts w:ascii="Arial" w:hAnsi="Arial"/>
                <w:color w:val="2A2D34"/>
                <w:sz w:val="15"/>
              </w:rPr>
              <w:t>REMEDIATED · VERIFIED</w:t>
            </w:r>
          </w:p>
        </w:tc>
        <w:tc>
          <w:tcPr>
            <w:tcW w:type="dxa" w:w="4950"/>
            <w:tcMar>
              <w:top w:w="85" w:type="dxa"/>
              <w:start w:w="120" w:type="dxa"/>
              <w:bottom w:w="85" w:type="dxa"/>
              <w:end w:w="120" w:type="dxa"/>
            </w:tcMar>
            <w:vAlign w:val="center"/>
          </w:tcPr>
          <w:p>
            <w:pPr>
              <w:spacing w:after="0"/>
            </w:pPr>
            <w:r>
              <w:rPr>
                <w:rFonts w:ascii="Arial" w:hAnsi="Arial"/>
                <w:color w:val="2A2D34"/>
                <w:sz w:val="15"/>
              </w:rPr>
              <w:t>Permissionless matured-position completion</w:t>
            </w:r>
          </w:p>
        </w:tc>
      </w:tr>
    </w:tbl>
    <w:p>
      <w:r>
        <w:br w:type="page"/>
      </w:r>
    </w:p>
    <w:p>
      <w:pPr>
        <w:pStyle w:val="Kicker"/>
      </w:pPr>
      <w:r>
        <w:rPr>
          <w:color w:val="27A66B"/>
        </w:rPr>
        <w:t>VERIFIED REMEDIATION</w:t>
      </w:r>
    </w:p>
    <w:p>
      <w:pPr>
        <w:pStyle w:val="Heading1"/>
      </w:pPr>
      <w:r>
        <w:t>MED-01 - Cumulative redemption threshold enforcement</w:t>
      </w:r>
    </w:p>
    <w:p>
      <w:pPr>
        <w:spacing w:after="200" w:line="96" w:lineRule="auto"/>
      </w:pPr>
      <w:r>
        <w:rPr>
          <w:rFonts w:ascii="Arial" w:hAnsi="Arial"/>
          <w:color w:val="27A66B"/>
          <w:sz w:val="12"/>
        </w:rPr>
        <w:t>━━━━━━━━━━━━━━━━━━━━━━━━━━━━━━━━━━━━━━━━━━━━━━━━━━━━━━━━━━━━</w:t>
      </w:r>
    </w:p>
    <w:tbl>
      <w:tblPr>
        <w:tblW w:type="auto" w:w="0"/>
        <w:jc w:val="center"/>
        <w:tblLayout w:type="fixed"/>
        <w:tblLook w:firstColumn="1" w:firstRow="1" w:lastColumn="0" w:lastRow="0" w:noHBand="0" w:noVBand="1" w:val="04A0"/>
      </w:tblPr>
      <w:tblGrid>
        <w:gridCol w:w="10148"/>
      </w:tblGrid>
      <w:tr>
        <w:tc>
          <w:tcPr>
            <w:tcW w:type="dxa" w:w="9000"/>
            <w:tcMar>
              <w:top w:w="160" w:type="dxa"/>
              <w:start w:w="180" w:type="dxa"/>
              <w:bottom w:w="160" w:type="dxa"/>
              <w:end w:w="180" w:type="dxa"/>
            </w:tcMar>
            <w:shd w:fill="EAF8F1"/>
            <w:tcBorders>
              <w:left w:val="single" w:sz="28" w:color="27A66B"/>
            </w:tcBorders>
          </w:tcPr>
          <w:p>
            <w:pPr>
              <w:spacing w:after="0"/>
            </w:pPr>
            <w:r>
              <w:rPr>
                <w:rFonts w:ascii="Arial" w:hAnsi="Arial"/>
                <w:b/>
                <w:color w:val="2A2D34"/>
                <w:sz w:val="18"/>
              </w:rPr>
              <w:t>REMEDIATED · VERIFIED · CLOSED IN FROZEN SOURCE</w:t>
            </w:r>
          </w:p>
        </w:tc>
      </w:tr>
    </w:tbl>
    <w:p>
      <w:pPr>
        <w:spacing w:after="20"/>
      </w:pPr>
    </w:p>
    <w:p>
      <w:pPr>
        <w:keepLines/>
        <w:widowControl/>
      </w:pPr>
      <w:r>
        <w:t>Status: REMEDIATED · VERIFIED. Component: AegentRedemptionV2.</w:t>
      </w:r>
    </w:p>
    <w:p>
      <w:pPr>
        <w:keepLines/>
        <w:widowControl/>
      </w:pPr>
      <w:r>
        <w:t>The completed control below is present in the frozen source and bound to the final verification evidence.</w:t>
      </w:r>
    </w:p>
    <w:p>
      <w:pPr>
        <w:keepLines/>
        <w:widowControl/>
      </w:pPr>
      <w:r>
        <w:t>Closure basis: the implemented behavior is exercised by the recorded regression and integration suites. The final status is bound to the source, build and toolchain hashes printed in this report.</w:t>
      </w:r>
    </w:p>
    <w:tbl>
      <w:tblPr>
        <w:tblW w:type="auto" w:w="0"/>
        <w:jc w:val="center"/>
        <w:tblLayout w:type="fixed"/>
        <w:tblLook w:firstColumn="1" w:firstRow="1" w:lastColumn="0" w:lastRow="0" w:noHBand="0" w:noVBand="1" w:val="04A0"/>
      </w:tblPr>
      <w:tblGrid>
        <w:gridCol w:w="5074"/>
        <w:gridCol w:w="5074"/>
      </w:tblGrid>
      <w:tr>
        <w:trPr>
          <w:tblHeader w:val="true"/>
        </w:trPr>
        <w:tc>
          <w:tcPr>
            <w:tcW w:type="dxa" w:w="2500"/>
            <w:shd w:fill="17191F"/>
            <w:tcMar>
              <w:top w:w="100" w:type="dxa"/>
              <w:start w:w="120" w:type="dxa"/>
              <w:bottom w:w="100" w:type="dxa"/>
              <w:end w:w="120" w:type="dxa"/>
            </w:tcMar>
            <w:vAlign w:val="center"/>
          </w:tcPr>
          <w:p>
            <w:pPr>
              <w:spacing w:after="0"/>
            </w:pPr>
            <w:r>
              <w:rPr>
                <w:rFonts w:ascii="Arial" w:hAnsi="Arial"/>
                <w:b/>
                <w:color w:val="FFFFFF"/>
                <w:sz w:val="16"/>
              </w:rPr>
              <w:t>Field</w:t>
            </w:r>
          </w:p>
        </w:tc>
        <w:tc>
          <w:tcPr>
            <w:tcW w:type="dxa" w:w="6500"/>
            <w:shd w:fill="17191F"/>
            <w:tcMar>
              <w:top w:w="100" w:type="dxa"/>
              <w:start w:w="120" w:type="dxa"/>
              <w:bottom w:w="100" w:type="dxa"/>
              <w:end w:w="120" w:type="dxa"/>
            </w:tcMar>
            <w:vAlign w:val="center"/>
          </w:tcPr>
          <w:p>
            <w:pPr>
              <w:spacing w:after="0"/>
            </w:pPr>
            <w:r>
              <w:rPr>
                <w:rFonts w:ascii="Arial" w:hAnsi="Arial"/>
                <w:b/>
                <w:color w:val="FFFFFF"/>
                <w:sz w:val="16"/>
              </w:rPr>
              <w:t>Assessment</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Completed control</w:t>
            </w:r>
          </w:p>
        </w:tc>
        <w:tc>
          <w:tcPr>
            <w:tcW w:type="dxa" w:w="6500"/>
            <w:tcMar>
              <w:top w:w="85" w:type="dxa"/>
              <w:start w:w="120" w:type="dxa"/>
              <w:bottom w:w="85" w:type="dxa"/>
              <w:end w:w="120" w:type="dxa"/>
            </w:tcMar>
            <w:vAlign w:val="center"/>
          </w:tcPr>
          <w:p>
            <w:pPr>
              <w:spacing w:after="0"/>
            </w:pPr>
            <w:r>
              <w:rPr>
                <w:rFonts w:ascii="Arial" w:hAnsi="Arial"/>
                <w:color w:val="2A2D34"/>
                <w:sz w:val="15"/>
              </w:rPr>
              <w:t>Cumulative wallet accounting and threshold checks are present in the local remediation candidate.</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Control test coverage</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The bound tests exercise cumulative wallet accounting across split redemption requests and confirm that the escalation threshold applies to the aggregate rolling value. They also cover bucket rollover, wallet isolation and the hard-cap path, leaving no source remediation action open for this record.</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Verification result</w:t>
            </w:r>
          </w:p>
        </w:tc>
        <w:tc>
          <w:tcPr>
            <w:tcW w:type="dxa" w:w="6500"/>
            <w:tcMar>
              <w:top w:w="85" w:type="dxa"/>
              <w:start w:w="120" w:type="dxa"/>
              <w:bottom w:w="85" w:type="dxa"/>
              <w:end w:w="120" w:type="dxa"/>
            </w:tcMar>
            <w:vAlign w:val="center"/>
          </w:tcPr>
          <w:p>
            <w:pPr>
              <w:spacing w:after="0"/>
            </w:pPr>
            <w:r>
              <w:rPr>
                <w:rFonts w:ascii="Arial" w:hAnsi="Arial"/>
                <w:color w:val="2A2D34"/>
                <w:sz w:val="15"/>
              </w:rPr>
              <w:t>PASS — control present in the frozen source and recorded as remediated and verified by the bound final run.</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Evidence binding</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Run req223-20260731T134906328Z-c14331b422a13df5; source cff85cbfc727…a31651e1</w:t>
            </w:r>
          </w:p>
        </w:tc>
      </w:tr>
    </w:tbl>
    <w:p>
      <w:r>
        <w:br w:type="page"/>
      </w:r>
    </w:p>
    <w:p>
      <w:pPr>
        <w:pStyle w:val="Kicker"/>
      </w:pPr>
      <w:r>
        <w:rPr>
          <w:color w:val="27A66B"/>
        </w:rPr>
        <w:t>VERIFIED REMEDIATION</w:t>
      </w:r>
    </w:p>
    <w:p>
      <w:pPr>
        <w:pStyle w:val="Heading1"/>
      </w:pPr>
      <w:r>
        <w:t>MED-02 - Projected reserve coverage enforcement</w:t>
      </w:r>
    </w:p>
    <w:p>
      <w:pPr>
        <w:spacing w:after="200" w:line="96" w:lineRule="auto"/>
      </w:pPr>
      <w:r>
        <w:rPr>
          <w:rFonts w:ascii="Arial" w:hAnsi="Arial"/>
          <w:color w:val="27A66B"/>
          <w:sz w:val="12"/>
        </w:rPr>
        <w:t>━━━━━━━━━━━━━━━━━━━━━━━━━━━━━━━━━━━━━━━━━━━━━━━━━━━━━━━━━━━━</w:t>
      </w:r>
    </w:p>
    <w:tbl>
      <w:tblPr>
        <w:tblW w:type="auto" w:w="0"/>
        <w:jc w:val="center"/>
        <w:tblLayout w:type="fixed"/>
        <w:tblLook w:firstColumn="1" w:firstRow="1" w:lastColumn="0" w:lastRow="0" w:noHBand="0" w:noVBand="1" w:val="04A0"/>
      </w:tblPr>
      <w:tblGrid>
        <w:gridCol w:w="10148"/>
      </w:tblGrid>
      <w:tr>
        <w:tc>
          <w:tcPr>
            <w:tcW w:type="dxa" w:w="9000"/>
            <w:tcMar>
              <w:top w:w="160" w:type="dxa"/>
              <w:start w:w="180" w:type="dxa"/>
              <w:bottom w:w="160" w:type="dxa"/>
              <w:end w:w="180" w:type="dxa"/>
            </w:tcMar>
            <w:shd w:fill="EAF8F1"/>
            <w:tcBorders>
              <w:left w:val="single" w:sz="28" w:color="27A66B"/>
            </w:tcBorders>
          </w:tcPr>
          <w:p>
            <w:pPr>
              <w:spacing w:after="0"/>
            </w:pPr>
            <w:r>
              <w:rPr>
                <w:rFonts w:ascii="Arial" w:hAnsi="Arial"/>
                <w:b/>
                <w:color w:val="2A2D34"/>
                <w:sz w:val="18"/>
              </w:rPr>
              <w:t>REMEDIATED · VERIFIED · CLOSED IN FROZEN SOURCE</w:t>
            </w:r>
          </w:p>
        </w:tc>
      </w:tr>
    </w:tbl>
    <w:p>
      <w:pPr>
        <w:spacing w:after="20"/>
      </w:pPr>
    </w:p>
    <w:p>
      <w:pPr>
        <w:keepLines/>
        <w:widowControl/>
      </w:pPr>
      <w:r>
        <w:t>Status: REMEDIATED · VERIFIED. Component: AegentSwapV2; AegentRedemptionV2.</w:t>
      </w:r>
    </w:p>
    <w:p>
      <w:pPr>
        <w:keepLines/>
        <w:widowControl/>
      </w:pPr>
      <w:r>
        <w:t>The completed control below is present in the frozen source and bound to the final verification evidence.</w:t>
      </w:r>
    </w:p>
    <w:p>
      <w:pPr>
        <w:keepLines/>
        <w:widowControl/>
      </w:pPr>
      <w:r>
        <w:t>Closure basis: the implemented behavior is exercised by the recorded regression and integration suites. The final status is bound to the source, build and toolchain hashes printed in this report.</w:t>
      </w:r>
    </w:p>
    <w:tbl>
      <w:tblPr>
        <w:tblW w:type="auto" w:w="0"/>
        <w:jc w:val="center"/>
        <w:tblLayout w:type="fixed"/>
        <w:tblLook w:firstColumn="1" w:firstRow="1" w:lastColumn="0" w:lastRow="0" w:noHBand="0" w:noVBand="1" w:val="04A0"/>
      </w:tblPr>
      <w:tblGrid>
        <w:gridCol w:w="5074"/>
        <w:gridCol w:w="5074"/>
      </w:tblGrid>
      <w:tr>
        <w:trPr>
          <w:tblHeader w:val="true"/>
        </w:trPr>
        <w:tc>
          <w:tcPr>
            <w:tcW w:type="dxa" w:w="2500"/>
            <w:shd w:fill="17191F"/>
            <w:tcMar>
              <w:top w:w="100" w:type="dxa"/>
              <w:start w:w="120" w:type="dxa"/>
              <w:bottom w:w="100" w:type="dxa"/>
              <w:end w:w="120" w:type="dxa"/>
            </w:tcMar>
            <w:vAlign w:val="center"/>
          </w:tcPr>
          <w:p>
            <w:pPr>
              <w:spacing w:after="0"/>
            </w:pPr>
            <w:r>
              <w:rPr>
                <w:rFonts w:ascii="Arial" w:hAnsi="Arial"/>
                <w:b/>
                <w:color w:val="FFFFFF"/>
                <w:sz w:val="16"/>
              </w:rPr>
              <w:t>Field</w:t>
            </w:r>
          </w:p>
        </w:tc>
        <w:tc>
          <w:tcPr>
            <w:tcW w:type="dxa" w:w="6500"/>
            <w:shd w:fill="17191F"/>
            <w:tcMar>
              <w:top w:w="100" w:type="dxa"/>
              <w:start w:w="120" w:type="dxa"/>
              <w:bottom w:w="100" w:type="dxa"/>
              <w:end w:w="120" w:type="dxa"/>
            </w:tcMar>
            <w:vAlign w:val="center"/>
          </w:tcPr>
          <w:p>
            <w:pPr>
              <w:spacing w:after="0"/>
            </w:pPr>
            <w:r>
              <w:rPr>
                <w:rFonts w:ascii="Arial" w:hAnsi="Arial"/>
                <w:b/>
                <w:color w:val="FFFFFF"/>
                <w:sz w:val="16"/>
              </w:rPr>
              <w:t>Assessment</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Completed control</w:t>
            </w:r>
          </w:p>
        </w:tc>
        <w:tc>
          <w:tcPr>
            <w:tcW w:type="dxa" w:w="6500"/>
            <w:tcMar>
              <w:top w:w="85" w:type="dxa"/>
              <w:start w:w="120" w:type="dxa"/>
              <w:bottom w:w="85" w:type="dxa"/>
              <w:end w:w="120" w:type="dxa"/>
            </w:tcMar>
            <w:vAlign w:val="center"/>
          </w:tcPr>
          <w:p>
            <w:pPr>
              <w:spacing w:after="0"/>
            </w:pPr>
            <w:r>
              <w:rPr>
                <w:rFonts w:ascii="Arial" w:hAnsi="Arial"/>
                <w:color w:val="2A2D34"/>
                <w:sz w:val="15"/>
              </w:rPr>
              <w:t>Local purchase paths include projected-liability reserve checks.</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Control test coverage</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The bound integration path includes projected redemption liability before purchase settlement and rejects execution when verified reserve coverage would be insufficient. The same cases confirm that readable reserve state is mandatory and that failed coverage checks revert before a new liability is committed.</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Verification result</w:t>
            </w:r>
          </w:p>
        </w:tc>
        <w:tc>
          <w:tcPr>
            <w:tcW w:type="dxa" w:w="6500"/>
            <w:tcMar>
              <w:top w:w="85" w:type="dxa"/>
              <w:start w:w="120" w:type="dxa"/>
              <w:bottom w:w="85" w:type="dxa"/>
              <w:end w:w="120" w:type="dxa"/>
            </w:tcMar>
            <w:vAlign w:val="center"/>
          </w:tcPr>
          <w:p>
            <w:pPr>
              <w:spacing w:after="0"/>
            </w:pPr>
            <w:r>
              <w:rPr>
                <w:rFonts w:ascii="Arial" w:hAnsi="Arial"/>
                <w:color w:val="2A2D34"/>
                <w:sz w:val="15"/>
              </w:rPr>
              <w:t>PASS — control present in the frozen source and recorded as remediated and verified by the bound final run.</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Evidence binding</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Run req223-20260731T134906328Z-c14331b422a13df5; source cff85cbfc727…a31651e1</w:t>
            </w:r>
          </w:p>
        </w:tc>
      </w:tr>
    </w:tbl>
    <w:p>
      <w:r>
        <w:br w:type="page"/>
      </w:r>
    </w:p>
    <w:p>
      <w:pPr>
        <w:pStyle w:val="Kicker"/>
      </w:pPr>
      <w:r>
        <w:rPr>
          <w:color w:val="27A66B"/>
        </w:rPr>
        <w:t>VERIFIED REMEDIATION</w:t>
      </w:r>
    </w:p>
    <w:p>
      <w:pPr>
        <w:pStyle w:val="Heading1"/>
      </w:pPr>
      <w:r>
        <w:t>MED-03 - Oracle bounds, deviation checks and circuit breaker</w:t>
      </w:r>
    </w:p>
    <w:p>
      <w:pPr>
        <w:spacing w:after="200" w:line="96" w:lineRule="auto"/>
      </w:pPr>
      <w:r>
        <w:rPr>
          <w:rFonts w:ascii="Arial" w:hAnsi="Arial"/>
          <w:color w:val="27A66B"/>
          <w:sz w:val="12"/>
        </w:rPr>
        <w:t>━━━━━━━━━━━━━━━━━━━━━━━━━━━━━━━━━━━━━━━━━━━━━━━━━━━━━━━━━━━━</w:t>
      </w:r>
    </w:p>
    <w:tbl>
      <w:tblPr>
        <w:tblW w:type="auto" w:w="0"/>
        <w:jc w:val="center"/>
        <w:tblLayout w:type="fixed"/>
        <w:tblLook w:firstColumn="1" w:firstRow="1" w:lastColumn="0" w:lastRow="0" w:noHBand="0" w:noVBand="1" w:val="04A0"/>
      </w:tblPr>
      <w:tblGrid>
        <w:gridCol w:w="10148"/>
      </w:tblGrid>
      <w:tr>
        <w:tc>
          <w:tcPr>
            <w:tcW w:type="dxa" w:w="9000"/>
            <w:tcMar>
              <w:top w:w="160" w:type="dxa"/>
              <w:start w:w="180" w:type="dxa"/>
              <w:bottom w:w="160" w:type="dxa"/>
              <w:end w:w="180" w:type="dxa"/>
            </w:tcMar>
            <w:shd w:fill="EAF8F1"/>
            <w:tcBorders>
              <w:left w:val="single" w:sz="28" w:color="27A66B"/>
            </w:tcBorders>
          </w:tcPr>
          <w:p>
            <w:pPr>
              <w:spacing w:after="0"/>
            </w:pPr>
            <w:r>
              <w:rPr>
                <w:rFonts w:ascii="Arial" w:hAnsi="Arial"/>
                <w:b/>
                <w:color w:val="2A2D34"/>
                <w:sz w:val="18"/>
              </w:rPr>
              <w:t>REMEDIATED · VERIFIED · CLOSED IN FROZEN SOURCE</w:t>
            </w:r>
          </w:p>
        </w:tc>
      </w:tr>
    </w:tbl>
    <w:p>
      <w:pPr>
        <w:spacing w:after="20"/>
      </w:pPr>
    </w:p>
    <w:p>
      <w:pPr>
        <w:keepLines/>
        <w:widowControl/>
      </w:pPr>
      <w:r>
        <w:t>Status: REMEDIATED · VERIFIED. Component: AegentSwapV2; AegentRedemptionV2.</w:t>
      </w:r>
    </w:p>
    <w:p>
      <w:pPr>
        <w:keepLines/>
        <w:widowControl/>
      </w:pPr>
      <w:r>
        <w:t>The completed control below is present in the frozen source and bound to the final verification evidence.</w:t>
      </w:r>
    </w:p>
    <w:p>
      <w:pPr>
        <w:keepLines/>
        <w:widowControl/>
      </w:pPr>
      <w:r>
        <w:t>Closure basis: the implemented behavior is exercised by the recorded regression and integration suites. The final status is bound to the source, build and toolchain hashes printed in this report.</w:t>
      </w:r>
    </w:p>
    <w:tbl>
      <w:tblPr>
        <w:tblW w:type="auto" w:w="0"/>
        <w:jc w:val="center"/>
        <w:tblLayout w:type="fixed"/>
        <w:tblLook w:firstColumn="1" w:firstRow="1" w:lastColumn="0" w:lastRow="0" w:noHBand="0" w:noVBand="1" w:val="04A0"/>
      </w:tblPr>
      <w:tblGrid>
        <w:gridCol w:w="5074"/>
        <w:gridCol w:w="5074"/>
      </w:tblGrid>
      <w:tr>
        <w:trPr>
          <w:tblHeader w:val="true"/>
        </w:trPr>
        <w:tc>
          <w:tcPr>
            <w:tcW w:type="dxa" w:w="2500"/>
            <w:shd w:fill="17191F"/>
            <w:tcMar>
              <w:top w:w="100" w:type="dxa"/>
              <w:start w:w="120" w:type="dxa"/>
              <w:bottom w:w="100" w:type="dxa"/>
              <w:end w:w="120" w:type="dxa"/>
            </w:tcMar>
            <w:vAlign w:val="center"/>
          </w:tcPr>
          <w:p>
            <w:pPr>
              <w:spacing w:after="0"/>
            </w:pPr>
            <w:r>
              <w:rPr>
                <w:rFonts w:ascii="Arial" w:hAnsi="Arial"/>
                <w:b/>
                <w:color w:val="FFFFFF"/>
                <w:sz w:val="16"/>
              </w:rPr>
              <w:t>Field</w:t>
            </w:r>
          </w:p>
        </w:tc>
        <w:tc>
          <w:tcPr>
            <w:tcW w:type="dxa" w:w="6500"/>
            <w:shd w:fill="17191F"/>
            <w:tcMar>
              <w:top w:w="100" w:type="dxa"/>
              <w:start w:w="120" w:type="dxa"/>
              <w:bottom w:w="100" w:type="dxa"/>
              <w:end w:w="120" w:type="dxa"/>
            </w:tcMar>
            <w:vAlign w:val="center"/>
          </w:tcPr>
          <w:p>
            <w:pPr>
              <w:spacing w:after="0"/>
            </w:pPr>
            <w:r>
              <w:rPr>
                <w:rFonts w:ascii="Arial" w:hAnsi="Arial"/>
                <w:b/>
                <w:color w:val="FFFFFF"/>
                <w:sz w:val="16"/>
              </w:rPr>
              <w:t>Assessment</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Completed control</w:t>
            </w:r>
          </w:p>
        </w:tc>
        <w:tc>
          <w:tcPr>
            <w:tcW w:type="dxa" w:w="6500"/>
            <w:tcMar>
              <w:top w:w="85" w:type="dxa"/>
              <w:start w:w="120" w:type="dxa"/>
              <w:bottom w:w="85" w:type="dxa"/>
              <w:end w:w="120" w:type="dxa"/>
            </w:tcMar>
            <w:vAlign w:val="center"/>
          </w:tcPr>
          <w:p>
            <w:pPr>
              <w:spacing w:after="0"/>
            </w:pPr>
            <w:r>
              <w:rPr>
                <w:rFonts w:ascii="Arial" w:hAnsi="Arial"/>
                <w:color w:val="2A2D34"/>
                <w:sz w:val="15"/>
              </w:rPr>
              <w:t>Purchase feeds have per-feed heartbeat, absolute bounds, deviation controls and a persistent permissionless circuit breaker; reopening a purchase-capable mode now revalidates all three feeds.</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Control test coverage</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The bound oracle cases exercise heartbeat, absolute bounds, reference deviation and persistent circuit-breaker behavior before a purchase-capable mode can reopen. Stale, future, incomplete and anomalous answers are rejected, and governed recovery rechecks all configured feeds before value intake resumes.</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Verification result</w:t>
            </w:r>
          </w:p>
        </w:tc>
        <w:tc>
          <w:tcPr>
            <w:tcW w:type="dxa" w:w="6500"/>
            <w:tcMar>
              <w:top w:w="85" w:type="dxa"/>
              <w:start w:w="120" w:type="dxa"/>
              <w:bottom w:w="85" w:type="dxa"/>
              <w:end w:w="120" w:type="dxa"/>
            </w:tcMar>
            <w:vAlign w:val="center"/>
          </w:tcPr>
          <w:p>
            <w:pPr>
              <w:spacing w:after="0"/>
            </w:pPr>
            <w:r>
              <w:rPr>
                <w:rFonts w:ascii="Arial" w:hAnsi="Arial"/>
                <w:color w:val="2A2D34"/>
                <w:sz w:val="15"/>
              </w:rPr>
              <w:t>PASS — control present in the frozen source and recorded as remediated and verified by the bound final run.</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Evidence binding</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Run req223-20260731T134906328Z-c14331b422a13df5; source cff85cbfc727…a31651e1</w:t>
            </w:r>
          </w:p>
        </w:tc>
      </w:tr>
    </w:tbl>
    <w:p>
      <w:r>
        <w:br w:type="page"/>
      </w:r>
    </w:p>
    <w:p>
      <w:pPr>
        <w:pStyle w:val="Kicker"/>
      </w:pPr>
      <w:r>
        <w:rPr>
          <w:color w:val="27A66B"/>
        </w:rPr>
        <w:t>VERIFIED REMEDIATION</w:t>
      </w:r>
    </w:p>
    <w:p>
      <w:pPr>
        <w:pStyle w:val="Heading1"/>
      </w:pPr>
      <w:r>
        <w:t>MED-04 - Hardened staking oracle validation</w:t>
      </w:r>
    </w:p>
    <w:p>
      <w:pPr>
        <w:spacing w:after="200" w:line="96" w:lineRule="auto"/>
      </w:pPr>
      <w:r>
        <w:rPr>
          <w:rFonts w:ascii="Arial" w:hAnsi="Arial"/>
          <w:color w:val="27A66B"/>
          <w:sz w:val="12"/>
        </w:rPr>
        <w:t>━━━━━━━━━━━━━━━━━━━━━━━━━━━━━━━━━━━━━━━━━━━━━━━━━━━━━━━━━━━━</w:t>
      </w:r>
    </w:p>
    <w:tbl>
      <w:tblPr>
        <w:tblW w:type="auto" w:w="0"/>
        <w:jc w:val="center"/>
        <w:tblLayout w:type="fixed"/>
        <w:tblLook w:firstColumn="1" w:firstRow="1" w:lastColumn="0" w:lastRow="0" w:noHBand="0" w:noVBand="1" w:val="04A0"/>
      </w:tblPr>
      <w:tblGrid>
        <w:gridCol w:w="10148"/>
      </w:tblGrid>
      <w:tr>
        <w:tc>
          <w:tcPr>
            <w:tcW w:type="dxa" w:w="9000"/>
            <w:tcMar>
              <w:top w:w="160" w:type="dxa"/>
              <w:start w:w="180" w:type="dxa"/>
              <w:bottom w:w="160" w:type="dxa"/>
              <w:end w:w="180" w:type="dxa"/>
            </w:tcMar>
            <w:shd w:fill="EAF8F1"/>
            <w:tcBorders>
              <w:left w:val="single" w:sz="28" w:color="27A66B"/>
            </w:tcBorders>
          </w:tcPr>
          <w:p>
            <w:pPr>
              <w:spacing w:after="0"/>
            </w:pPr>
            <w:r>
              <w:rPr>
                <w:rFonts w:ascii="Arial" w:hAnsi="Arial"/>
                <w:b/>
                <w:color w:val="2A2D34"/>
                <w:sz w:val="18"/>
              </w:rPr>
              <w:t>REMEDIATED · VERIFIED · CLOSED IN FROZEN SOURCE</w:t>
            </w:r>
          </w:p>
        </w:tc>
      </w:tr>
    </w:tbl>
    <w:p>
      <w:pPr>
        <w:spacing w:after="20"/>
      </w:pPr>
    </w:p>
    <w:p>
      <w:pPr>
        <w:keepLines/>
        <w:widowControl/>
      </w:pPr>
      <w:r>
        <w:t>Status: REMEDIATED · VERIFIED. Component: AegentStakingV1.</w:t>
      </w:r>
    </w:p>
    <w:p>
      <w:pPr>
        <w:keepLines/>
        <w:widowControl/>
      </w:pPr>
      <w:r>
        <w:t>The completed control below is present in the frozen source and bound to the final verification evidence.</w:t>
      </w:r>
    </w:p>
    <w:p>
      <w:pPr>
        <w:keepLines/>
        <w:widowControl/>
      </w:pPr>
      <w:r>
        <w:t>Closure basis: the implemented behavior is exercised by the recorded regression and integration suites. The final status is bound to the source, build and toolchain hashes printed in this report.</w:t>
      </w:r>
    </w:p>
    <w:tbl>
      <w:tblPr>
        <w:tblW w:type="auto" w:w="0"/>
        <w:jc w:val="center"/>
        <w:tblLayout w:type="fixed"/>
        <w:tblLook w:firstColumn="1" w:firstRow="1" w:lastColumn="0" w:lastRow="0" w:noHBand="0" w:noVBand="1" w:val="04A0"/>
      </w:tblPr>
      <w:tblGrid>
        <w:gridCol w:w="5074"/>
        <w:gridCol w:w="5074"/>
      </w:tblGrid>
      <w:tr>
        <w:trPr>
          <w:tblHeader w:val="true"/>
        </w:trPr>
        <w:tc>
          <w:tcPr>
            <w:tcW w:type="dxa" w:w="2500"/>
            <w:shd w:fill="17191F"/>
            <w:tcMar>
              <w:top w:w="100" w:type="dxa"/>
              <w:start w:w="120" w:type="dxa"/>
              <w:bottom w:w="100" w:type="dxa"/>
              <w:end w:w="120" w:type="dxa"/>
            </w:tcMar>
            <w:vAlign w:val="center"/>
          </w:tcPr>
          <w:p>
            <w:pPr>
              <w:spacing w:after="0"/>
            </w:pPr>
            <w:r>
              <w:rPr>
                <w:rFonts w:ascii="Arial" w:hAnsi="Arial"/>
                <w:b/>
                <w:color w:val="FFFFFF"/>
                <w:sz w:val="16"/>
              </w:rPr>
              <w:t>Field</w:t>
            </w:r>
          </w:p>
        </w:tc>
        <w:tc>
          <w:tcPr>
            <w:tcW w:type="dxa" w:w="6500"/>
            <w:shd w:fill="17191F"/>
            <w:tcMar>
              <w:top w:w="100" w:type="dxa"/>
              <w:start w:w="120" w:type="dxa"/>
              <w:bottom w:w="100" w:type="dxa"/>
              <w:end w:w="120" w:type="dxa"/>
            </w:tcMar>
            <w:vAlign w:val="center"/>
          </w:tcPr>
          <w:p>
            <w:pPr>
              <w:spacing w:after="0"/>
            </w:pPr>
            <w:r>
              <w:rPr>
                <w:rFonts w:ascii="Arial" w:hAnsi="Arial"/>
                <w:b/>
                <w:color w:val="FFFFFF"/>
                <w:sz w:val="16"/>
              </w:rPr>
              <w:t>Assessment</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Completed control</w:t>
            </w:r>
          </w:p>
        </w:tc>
        <w:tc>
          <w:tcPr>
            <w:tcW w:type="dxa" w:w="6500"/>
            <w:tcMar>
              <w:top w:w="85" w:type="dxa"/>
              <w:start w:w="120" w:type="dxa"/>
              <w:bottom w:w="85" w:type="dxa"/>
              <w:end w:w="120" w:type="dxa"/>
            </w:tcMar>
            <w:vAlign w:val="center"/>
          </w:tcPr>
          <w:p>
            <w:pPr>
              <w:spacing w:after="0"/>
            </w:pPr>
            <w:r>
              <w:rPr>
                <w:rFonts w:ascii="Arial" w:hAnsi="Arial"/>
                <w:color w:val="2A2D34"/>
                <w:sz w:val="15"/>
              </w:rPr>
              <w:t>Staking applies feed heartbeat, absolute bounds, reference deviation, overflow-safe scaling and a persistent permissionless oracle circuit breaker; deposits cannot reopen while either feed is unhealthy.</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Control test coverage</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The bound staking cases exercise feed health, deviation, scaling and inventory checks, including fail-closed behavior while either configured feed is unhealthy. The suite also confirms persistent deposit closure, overflow-safe valuation and sufficient AGNT inventory before a new entitlement can be created.</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Verification result</w:t>
            </w:r>
          </w:p>
        </w:tc>
        <w:tc>
          <w:tcPr>
            <w:tcW w:type="dxa" w:w="6500"/>
            <w:tcMar>
              <w:top w:w="85" w:type="dxa"/>
              <w:start w:w="120" w:type="dxa"/>
              <w:bottom w:w="85" w:type="dxa"/>
              <w:end w:w="120" w:type="dxa"/>
            </w:tcMar>
            <w:vAlign w:val="center"/>
          </w:tcPr>
          <w:p>
            <w:pPr>
              <w:spacing w:after="0"/>
            </w:pPr>
            <w:r>
              <w:rPr>
                <w:rFonts w:ascii="Arial" w:hAnsi="Arial"/>
                <w:color w:val="2A2D34"/>
                <w:sz w:val="15"/>
              </w:rPr>
              <w:t>PASS — control present in the frozen source and recorded as remediated and verified by the bound final run.</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Evidence binding</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Run req223-20260731T134906328Z-c14331b422a13df5; source cff85cbfc727…a31651e1</w:t>
            </w:r>
          </w:p>
        </w:tc>
      </w:tr>
    </w:tbl>
    <w:p>
      <w:r>
        <w:br w:type="page"/>
      </w:r>
    </w:p>
    <w:p>
      <w:pPr>
        <w:pStyle w:val="Kicker"/>
      </w:pPr>
      <w:r>
        <w:rPr>
          <w:color w:val="27A66B"/>
        </w:rPr>
        <w:t>VERIFIED REMEDIATION</w:t>
      </w:r>
    </w:p>
    <w:p>
      <w:pPr>
        <w:pStyle w:val="Heading1"/>
      </w:pPr>
      <w:r>
        <w:t>LOW-01 - Rolling 24-hour redemption limits</w:t>
      </w:r>
    </w:p>
    <w:p>
      <w:pPr>
        <w:spacing w:after="200" w:line="96" w:lineRule="auto"/>
      </w:pPr>
      <w:r>
        <w:rPr>
          <w:rFonts w:ascii="Arial" w:hAnsi="Arial"/>
          <w:color w:val="27A66B"/>
          <w:sz w:val="12"/>
        </w:rPr>
        <w:t>━━━━━━━━━━━━━━━━━━━━━━━━━━━━━━━━━━━━━━━━━━━━━━━━━━━━━━━━━━━━</w:t>
      </w:r>
    </w:p>
    <w:tbl>
      <w:tblPr>
        <w:tblW w:type="auto" w:w="0"/>
        <w:jc w:val="center"/>
        <w:tblLayout w:type="fixed"/>
        <w:tblLook w:firstColumn="1" w:firstRow="1" w:lastColumn="0" w:lastRow="0" w:noHBand="0" w:noVBand="1" w:val="04A0"/>
      </w:tblPr>
      <w:tblGrid>
        <w:gridCol w:w="10148"/>
      </w:tblGrid>
      <w:tr>
        <w:tc>
          <w:tcPr>
            <w:tcW w:type="dxa" w:w="9000"/>
            <w:tcMar>
              <w:top w:w="160" w:type="dxa"/>
              <w:start w:w="180" w:type="dxa"/>
              <w:bottom w:w="160" w:type="dxa"/>
              <w:end w:w="180" w:type="dxa"/>
            </w:tcMar>
            <w:shd w:fill="EAF8F1"/>
            <w:tcBorders>
              <w:left w:val="single" w:sz="28" w:color="27A66B"/>
            </w:tcBorders>
          </w:tcPr>
          <w:p>
            <w:pPr>
              <w:spacing w:after="0"/>
            </w:pPr>
            <w:r>
              <w:rPr>
                <w:rFonts w:ascii="Arial" w:hAnsi="Arial"/>
                <w:b/>
                <w:color w:val="2A2D34"/>
                <w:sz w:val="18"/>
              </w:rPr>
              <w:t>REMEDIATED · VERIFIED · CLOSED IN FROZEN SOURCE</w:t>
            </w:r>
          </w:p>
        </w:tc>
      </w:tr>
    </w:tbl>
    <w:p>
      <w:pPr>
        <w:spacing w:after="20"/>
      </w:pPr>
    </w:p>
    <w:p>
      <w:pPr>
        <w:keepLines/>
        <w:widowControl/>
      </w:pPr>
      <w:r>
        <w:t>Status: REMEDIATED · VERIFIED. Component: AegentRedemptionV2.</w:t>
      </w:r>
    </w:p>
    <w:p>
      <w:pPr>
        <w:keepLines/>
        <w:widowControl/>
      </w:pPr>
      <w:r>
        <w:t>The completed control below is present in the frozen source and bound to the final verification evidence.</w:t>
      </w:r>
    </w:p>
    <w:p>
      <w:pPr>
        <w:keepLines/>
        <w:widowControl/>
      </w:pPr>
      <w:r>
        <w:t>Closure basis: the implemented behavior is exercised by the recorded regression and integration suites. The final status is bound to the source, build and toolchain hashes printed in this report.</w:t>
      </w:r>
    </w:p>
    <w:tbl>
      <w:tblPr>
        <w:tblW w:type="auto" w:w="0"/>
        <w:jc w:val="center"/>
        <w:tblLayout w:type="fixed"/>
        <w:tblLook w:firstColumn="1" w:firstRow="1" w:lastColumn="0" w:lastRow="0" w:noHBand="0" w:noVBand="1" w:val="04A0"/>
      </w:tblPr>
      <w:tblGrid>
        <w:gridCol w:w="5074"/>
        <w:gridCol w:w="5074"/>
      </w:tblGrid>
      <w:tr>
        <w:trPr>
          <w:tblHeader w:val="true"/>
        </w:trPr>
        <w:tc>
          <w:tcPr>
            <w:tcW w:type="dxa" w:w="2500"/>
            <w:shd w:fill="17191F"/>
            <w:tcMar>
              <w:top w:w="100" w:type="dxa"/>
              <w:start w:w="120" w:type="dxa"/>
              <w:bottom w:w="100" w:type="dxa"/>
              <w:end w:w="120" w:type="dxa"/>
            </w:tcMar>
            <w:vAlign w:val="center"/>
          </w:tcPr>
          <w:p>
            <w:pPr>
              <w:spacing w:after="0"/>
            </w:pPr>
            <w:r>
              <w:rPr>
                <w:rFonts w:ascii="Arial" w:hAnsi="Arial"/>
                <w:b/>
                <w:color w:val="FFFFFF"/>
                <w:sz w:val="16"/>
              </w:rPr>
              <w:t>Field</w:t>
            </w:r>
          </w:p>
        </w:tc>
        <w:tc>
          <w:tcPr>
            <w:tcW w:type="dxa" w:w="6500"/>
            <w:shd w:fill="17191F"/>
            <w:tcMar>
              <w:top w:w="100" w:type="dxa"/>
              <w:start w:w="120" w:type="dxa"/>
              <w:bottom w:w="100" w:type="dxa"/>
              <w:end w:w="120" w:type="dxa"/>
            </w:tcMar>
            <w:vAlign w:val="center"/>
          </w:tcPr>
          <w:p>
            <w:pPr>
              <w:spacing w:after="0"/>
            </w:pPr>
            <w:r>
              <w:rPr>
                <w:rFonts w:ascii="Arial" w:hAnsi="Arial"/>
                <w:b/>
                <w:color w:val="FFFFFF"/>
                <w:sz w:val="16"/>
              </w:rPr>
              <w:t>Assessment</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Completed control</w:t>
            </w:r>
          </w:p>
        </w:tc>
        <w:tc>
          <w:tcPr>
            <w:tcW w:type="dxa" w:w="6500"/>
            <w:tcMar>
              <w:top w:w="85" w:type="dxa"/>
              <w:start w:w="120" w:type="dxa"/>
              <w:bottom w:w="85" w:type="dxa"/>
              <w:end w:w="120" w:type="dxa"/>
            </w:tcMar>
            <w:vAlign w:val="center"/>
          </w:tcPr>
          <w:p>
            <w:pPr>
              <w:spacing w:after="0"/>
            </w:pPr>
            <w:r>
              <w:rPr>
                <w:rFonts w:ascii="Arial" w:hAnsi="Arial"/>
                <w:color w:val="2A2D34"/>
                <w:sz w:val="15"/>
              </w:rPr>
              <w:t>Redemption limits now use 25 deterministic one-hour accounting buckets to enforce a true rolling 24-hour window rather than resetting at UTC midnight.</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Control test coverage</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The bound boundary cases exercise deterministic hourly buckets across UTC midnight and confirm enforcement over a true trailing twenty-four-hour interval. Expired buckets reset by epoch, active buckets accumulate correctly and both wallet and global limits are applied to the proposed next rolling total.</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Verification result</w:t>
            </w:r>
          </w:p>
        </w:tc>
        <w:tc>
          <w:tcPr>
            <w:tcW w:type="dxa" w:w="6500"/>
            <w:tcMar>
              <w:top w:w="85" w:type="dxa"/>
              <w:start w:w="120" w:type="dxa"/>
              <w:bottom w:w="85" w:type="dxa"/>
              <w:end w:w="120" w:type="dxa"/>
            </w:tcMar>
            <w:vAlign w:val="center"/>
          </w:tcPr>
          <w:p>
            <w:pPr>
              <w:spacing w:after="0"/>
            </w:pPr>
            <w:r>
              <w:rPr>
                <w:rFonts w:ascii="Arial" w:hAnsi="Arial"/>
                <w:color w:val="2A2D34"/>
                <w:sz w:val="15"/>
              </w:rPr>
              <w:t>PASS — control present in the frozen source and recorded as remediated and verified by the bound final run.</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Evidence binding</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Run req223-20260731T134906328Z-c14331b422a13df5; source cff85cbfc727…a31651e1</w:t>
            </w:r>
          </w:p>
        </w:tc>
      </w:tr>
    </w:tbl>
    <w:p>
      <w:r>
        <w:br w:type="page"/>
      </w:r>
    </w:p>
    <w:p>
      <w:pPr>
        <w:pStyle w:val="Kicker"/>
      </w:pPr>
      <w:r>
        <w:rPr>
          <w:color w:val="27A66B"/>
        </w:rPr>
        <w:t>VERIFIED REMEDIATION</w:t>
      </w:r>
    </w:p>
    <w:p>
      <w:pPr>
        <w:pStyle w:val="Heading1"/>
      </w:pPr>
      <w:r>
        <w:t>INFO-01 - Timelock and threshold-Safe ownership gate</w:t>
      </w:r>
    </w:p>
    <w:p>
      <w:pPr>
        <w:spacing w:after="200" w:line="96" w:lineRule="auto"/>
      </w:pPr>
      <w:r>
        <w:rPr>
          <w:rFonts w:ascii="Arial" w:hAnsi="Arial"/>
          <w:color w:val="27A66B"/>
          <w:sz w:val="12"/>
        </w:rPr>
        <w:t>━━━━━━━━━━━━━━━━━━━━━━━━━━━━━━━━━━━━━━━━━━━━━━━━━━━━━━━━━━━━</w:t>
      </w:r>
    </w:p>
    <w:tbl>
      <w:tblPr>
        <w:tblW w:type="auto" w:w="0"/>
        <w:jc w:val="center"/>
        <w:tblLayout w:type="fixed"/>
        <w:tblLook w:firstColumn="1" w:firstRow="1" w:lastColumn="0" w:lastRow="0" w:noHBand="0" w:noVBand="1" w:val="04A0"/>
      </w:tblPr>
      <w:tblGrid>
        <w:gridCol w:w="10148"/>
      </w:tblGrid>
      <w:tr>
        <w:tc>
          <w:tcPr>
            <w:tcW w:type="dxa" w:w="9000"/>
            <w:tcMar>
              <w:top w:w="160" w:type="dxa"/>
              <w:start w:w="180" w:type="dxa"/>
              <w:bottom w:w="160" w:type="dxa"/>
              <w:end w:w="180" w:type="dxa"/>
            </w:tcMar>
            <w:shd w:fill="EAF8F1"/>
            <w:tcBorders>
              <w:left w:val="single" w:sz="28" w:color="27A66B"/>
            </w:tcBorders>
          </w:tcPr>
          <w:p>
            <w:pPr>
              <w:spacing w:after="0"/>
            </w:pPr>
            <w:r>
              <w:rPr>
                <w:rFonts w:ascii="Arial" w:hAnsi="Arial"/>
                <w:b/>
                <w:color w:val="2A2D34"/>
                <w:sz w:val="18"/>
              </w:rPr>
              <w:t>REMEDIATED · VERIFIED · CLOSED IN FROZEN SOURCE</w:t>
            </w:r>
          </w:p>
        </w:tc>
      </w:tr>
    </w:tbl>
    <w:p>
      <w:pPr>
        <w:spacing w:after="20"/>
      </w:pPr>
    </w:p>
    <w:p>
      <w:pPr>
        <w:keepLines/>
        <w:widowControl/>
      </w:pPr>
      <w:r>
        <w:t>Status: REMEDIATED · VERIFIED. Component: Registry; Swap; Redemption; Staking.</w:t>
      </w:r>
    </w:p>
    <w:p>
      <w:pPr>
        <w:keepLines/>
        <w:widowControl/>
      </w:pPr>
      <w:r>
        <w:t>The completed control below is present in the frozen source and bound to the final verification evidence.</w:t>
      </w:r>
    </w:p>
    <w:p>
      <w:pPr>
        <w:keepLines/>
        <w:widowControl/>
      </w:pPr>
      <w:r>
        <w:t>Closure basis: the implemented behavior is exercised by the recorded regression and integration suites. The final status is bound to the source, build and toolchain hashes printed in this report.</w:t>
      </w:r>
    </w:p>
    <w:tbl>
      <w:tblPr>
        <w:tblW w:type="auto" w:w="0"/>
        <w:jc w:val="center"/>
        <w:tblLayout w:type="fixed"/>
        <w:tblLook w:firstColumn="1" w:firstRow="1" w:lastColumn="0" w:lastRow="0" w:noHBand="0" w:noVBand="1" w:val="04A0"/>
      </w:tblPr>
      <w:tblGrid>
        <w:gridCol w:w="5074"/>
        <w:gridCol w:w="5074"/>
      </w:tblGrid>
      <w:tr>
        <w:trPr>
          <w:tblHeader w:val="true"/>
        </w:trPr>
        <w:tc>
          <w:tcPr>
            <w:tcW w:type="dxa" w:w="2500"/>
            <w:shd w:fill="17191F"/>
            <w:tcMar>
              <w:top w:w="100" w:type="dxa"/>
              <w:start w:w="120" w:type="dxa"/>
              <w:bottom w:w="100" w:type="dxa"/>
              <w:end w:w="120" w:type="dxa"/>
            </w:tcMar>
            <w:vAlign w:val="center"/>
          </w:tcPr>
          <w:p>
            <w:pPr>
              <w:spacing w:after="0"/>
            </w:pPr>
            <w:r>
              <w:rPr>
                <w:rFonts w:ascii="Arial" w:hAnsi="Arial"/>
                <w:b/>
                <w:color w:val="FFFFFF"/>
                <w:sz w:val="16"/>
              </w:rPr>
              <w:t>Field</w:t>
            </w:r>
          </w:p>
        </w:tc>
        <w:tc>
          <w:tcPr>
            <w:tcW w:type="dxa" w:w="6500"/>
            <w:shd w:fill="17191F"/>
            <w:tcMar>
              <w:top w:w="100" w:type="dxa"/>
              <w:start w:w="120" w:type="dxa"/>
              <w:bottom w:w="100" w:type="dxa"/>
              <w:end w:w="120" w:type="dxa"/>
            </w:tcMar>
            <w:vAlign w:val="center"/>
          </w:tcPr>
          <w:p>
            <w:pPr>
              <w:spacing w:after="0"/>
            </w:pPr>
            <w:r>
              <w:rPr>
                <w:rFonts w:ascii="Arial" w:hAnsi="Arial"/>
                <w:b/>
                <w:color w:val="FFFFFF"/>
                <w:sz w:val="16"/>
              </w:rPr>
              <w:t>Assessment</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Completed control</w:t>
            </w:r>
          </w:p>
        </w:tc>
        <w:tc>
          <w:tcPr>
            <w:tcW w:type="dxa" w:w="6500"/>
            <w:tcMar>
              <w:top w:w="85" w:type="dxa"/>
              <w:start w:w="120" w:type="dxa"/>
              <w:bottom w:w="85" w:type="dxa"/>
              <w:end w:w="120" w:type="dxa"/>
            </w:tcMar>
            <w:vAlign w:val="center"/>
          </w:tcPr>
          <w:p>
            <w:pPr>
              <w:spacing w:after="0"/>
            </w:pPr>
            <w:r>
              <w:rPr>
                <w:rFonts w:ascii="Arial" w:hAnsi="Arial"/>
                <w:color w:val="2A2D34"/>
                <w:sz w:val="15"/>
              </w:rPr>
              <w:t>Mainnet deployment scripts now fail closed unless ownership is transferred to a verified OpenZeppelin Timelock controlled by a threshold Gnosis Safe with the required delay and role separation.</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Control test coverage</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The bound deployment gate verifies Timelock ownership, Safe threshold, unique owners, required delay and role separation before activation can proceed. Any ownership, quorum or delay mismatch fails closed, so the final source record contains no unresolved governance-control implementation item.</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Verification result</w:t>
            </w:r>
          </w:p>
        </w:tc>
        <w:tc>
          <w:tcPr>
            <w:tcW w:type="dxa" w:w="6500"/>
            <w:tcMar>
              <w:top w:w="85" w:type="dxa"/>
              <w:start w:w="120" w:type="dxa"/>
              <w:bottom w:w="85" w:type="dxa"/>
              <w:end w:w="120" w:type="dxa"/>
            </w:tcMar>
            <w:vAlign w:val="center"/>
          </w:tcPr>
          <w:p>
            <w:pPr>
              <w:spacing w:after="0"/>
            </w:pPr>
            <w:r>
              <w:rPr>
                <w:rFonts w:ascii="Arial" w:hAnsi="Arial"/>
                <w:color w:val="2A2D34"/>
                <w:sz w:val="15"/>
              </w:rPr>
              <w:t>PASS — control present in the frozen source and recorded as remediated and verified by the bound final run.</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Evidence binding</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Run req223-20260731T134906328Z-c14331b422a13df5; source cff85cbfc727…a31651e1</w:t>
            </w:r>
          </w:p>
        </w:tc>
      </w:tr>
    </w:tbl>
    <w:p>
      <w:r>
        <w:br w:type="page"/>
      </w:r>
    </w:p>
    <w:p>
      <w:pPr>
        <w:pStyle w:val="Kicker"/>
      </w:pPr>
      <w:r>
        <w:rPr>
          <w:color w:val="27A66B"/>
        </w:rPr>
        <w:t>VERIFIED REMEDIATION</w:t>
      </w:r>
    </w:p>
    <w:p>
      <w:pPr>
        <w:pStyle w:val="Heading1"/>
      </w:pPr>
      <w:r>
        <w:t>INFO-02 - Delayed two-step beneficiary rotation</w:t>
      </w:r>
    </w:p>
    <w:p>
      <w:pPr>
        <w:spacing w:after="200" w:line="96" w:lineRule="auto"/>
      </w:pPr>
      <w:r>
        <w:rPr>
          <w:rFonts w:ascii="Arial" w:hAnsi="Arial"/>
          <w:color w:val="27A66B"/>
          <w:sz w:val="12"/>
        </w:rPr>
        <w:t>━━━━━━━━━━━━━━━━━━━━━━━━━━━━━━━━━━━━━━━━━━━━━━━━━━━━━━━━━━━━</w:t>
      </w:r>
    </w:p>
    <w:tbl>
      <w:tblPr>
        <w:tblW w:type="auto" w:w="0"/>
        <w:jc w:val="center"/>
        <w:tblLayout w:type="fixed"/>
        <w:tblLook w:firstColumn="1" w:firstRow="1" w:lastColumn="0" w:lastRow="0" w:noHBand="0" w:noVBand="1" w:val="04A0"/>
      </w:tblPr>
      <w:tblGrid>
        <w:gridCol w:w="10148"/>
      </w:tblGrid>
      <w:tr>
        <w:tc>
          <w:tcPr>
            <w:tcW w:type="dxa" w:w="9000"/>
            <w:tcMar>
              <w:top w:w="160" w:type="dxa"/>
              <w:start w:w="180" w:type="dxa"/>
              <w:bottom w:w="160" w:type="dxa"/>
              <w:end w:w="180" w:type="dxa"/>
            </w:tcMar>
            <w:shd w:fill="EAF8F1"/>
            <w:tcBorders>
              <w:left w:val="single" w:sz="28" w:color="27A66B"/>
            </w:tcBorders>
          </w:tcPr>
          <w:p>
            <w:pPr>
              <w:spacing w:after="0"/>
            </w:pPr>
            <w:r>
              <w:rPr>
                <w:rFonts w:ascii="Arial" w:hAnsi="Arial"/>
                <w:b/>
                <w:color w:val="2A2D34"/>
                <w:sz w:val="18"/>
              </w:rPr>
              <w:t>REMEDIATED · VERIFIED · CLOSED IN FROZEN SOURCE</w:t>
            </w:r>
          </w:p>
        </w:tc>
      </w:tr>
    </w:tbl>
    <w:p>
      <w:pPr>
        <w:spacing w:after="20"/>
      </w:pPr>
    </w:p>
    <w:p>
      <w:pPr>
        <w:keepLines/>
        <w:widowControl/>
      </w:pPr>
      <w:r>
        <w:t>Status: REMEDIATED · VERIFIED. Component: AegentSaleProceedsVault; AegentStakingV1.</w:t>
      </w:r>
    </w:p>
    <w:p>
      <w:pPr>
        <w:keepLines/>
        <w:widowControl/>
      </w:pPr>
      <w:r>
        <w:t>The completed control below is present in the frozen source and bound to the final verification evidence.</w:t>
      </w:r>
    </w:p>
    <w:p>
      <w:pPr>
        <w:keepLines/>
        <w:widowControl/>
      </w:pPr>
      <w:r>
        <w:t>Closure basis: the implemented behavior is exercised by the recorded regression and integration suites. The final status is bound to the source, build and toolchain hashes printed in this report.</w:t>
      </w:r>
    </w:p>
    <w:tbl>
      <w:tblPr>
        <w:tblW w:type="auto" w:w="0"/>
        <w:jc w:val="center"/>
        <w:tblLayout w:type="fixed"/>
        <w:tblLook w:firstColumn="1" w:firstRow="1" w:lastColumn="0" w:lastRow="0" w:noHBand="0" w:noVBand="1" w:val="04A0"/>
      </w:tblPr>
      <w:tblGrid>
        <w:gridCol w:w="5074"/>
        <w:gridCol w:w="5074"/>
      </w:tblGrid>
      <w:tr>
        <w:trPr>
          <w:tblHeader w:val="true"/>
        </w:trPr>
        <w:tc>
          <w:tcPr>
            <w:tcW w:type="dxa" w:w="2500"/>
            <w:shd w:fill="17191F"/>
            <w:tcMar>
              <w:top w:w="100" w:type="dxa"/>
              <w:start w:w="120" w:type="dxa"/>
              <w:bottom w:w="100" w:type="dxa"/>
              <w:end w:w="120" w:type="dxa"/>
            </w:tcMar>
            <w:vAlign w:val="center"/>
          </w:tcPr>
          <w:p>
            <w:pPr>
              <w:spacing w:after="0"/>
            </w:pPr>
            <w:r>
              <w:rPr>
                <w:rFonts w:ascii="Arial" w:hAnsi="Arial"/>
                <w:b/>
                <w:color w:val="FFFFFF"/>
                <w:sz w:val="16"/>
              </w:rPr>
              <w:t>Field</w:t>
            </w:r>
          </w:p>
        </w:tc>
        <w:tc>
          <w:tcPr>
            <w:tcW w:type="dxa" w:w="6500"/>
            <w:shd w:fill="17191F"/>
            <w:tcMar>
              <w:top w:w="100" w:type="dxa"/>
              <w:start w:w="120" w:type="dxa"/>
              <w:bottom w:w="100" w:type="dxa"/>
              <w:end w:w="120" w:type="dxa"/>
            </w:tcMar>
            <w:vAlign w:val="center"/>
          </w:tcPr>
          <w:p>
            <w:pPr>
              <w:spacing w:after="0"/>
            </w:pPr>
            <w:r>
              <w:rPr>
                <w:rFonts w:ascii="Arial" w:hAnsi="Arial"/>
                <w:b/>
                <w:color w:val="FFFFFF"/>
                <w:sz w:val="16"/>
              </w:rPr>
              <w:t>Assessment</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Completed control</w:t>
            </w:r>
          </w:p>
        </w:tc>
        <w:tc>
          <w:tcPr>
            <w:tcW w:type="dxa" w:w="6500"/>
            <w:tcMar>
              <w:top w:w="85" w:type="dxa"/>
              <w:start w:w="120" w:type="dxa"/>
              <w:bottom w:w="85" w:type="dxa"/>
              <w:end w:w="120" w:type="dxa"/>
            </w:tcMar>
            <w:vAlign w:val="center"/>
          </w:tcPr>
          <w:p>
            <w:pPr>
              <w:spacing w:after="0"/>
            </w:pPr>
            <w:r>
              <w:rPr>
                <w:rFonts w:ascii="Arial" w:hAnsi="Arial"/>
                <w:color w:val="2A2D34"/>
                <w:sz w:val="15"/>
              </w:rPr>
              <w:t>The proceeds vault and staking contract implement a two-day delayed, two-step beneficiary rotation with cancellation; recovery remains restricted from protected sale and staking assets.</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Control test coverage</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The bound state-transition cases exercise proposal, delay, acceptance and cancellation for beneficiary rotation while preserving protected-asset recovery restrictions. Invalid candidates, premature acceptance and authority collisions are rejected, while the completed two-step path preserves the intended beneficiary-only release model.</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Verification result</w:t>
            </w:r>
          </w:p>
        </w:tc>
        <w:tc>
          <w:tcPr>
            <w:tcW w:type="dxa" w:w="6500"/>
            <w:tcMar>
              <w:top w:w="85" w:type="dxa"/>
              <w:start w:w="120" w:type="dxa"/>
              <w:bottom w:w="85" w:type="dxa"/>
              <w:end w:w="120" w:type="dxa"/>
            </w:tcMar>
            <w:vAlign w:val="center"/>
          </w:tcPr>
          <w:p>
            <w:pPr>
              <w:spacing w:after="0"/>
            </w:pPr>
            <w:r>
              <w:rPr>
                <w:rFonts w:ascii="Arial" w:hAnsi="Arial"/>
                <w:color w:val="2A2D34"/>
                <w:sz w:val="15"/>
              </w:rPr>
              <w:t>PASS — control present in the frozen source and recorded as remediated and verified by the bound final run.</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Evidence binding</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Run req223-20260731T134906328Z-c14331b422a13df5; source cff85cbfc727…a31651e1</w:t>
            </w:r>
          </w:p>
        </w:tc>
      </w:tr>
    </w:tbl>
    <w:p>
      <w:r>
        <w:br w:type="page"/>
      </w:r>
    </w:p>
    <w:p>
      <w:pPr>
        <w:pStyle w:val="Kicker"/>
      </w:pPr>
      <w:r>
        <w:rPr>
          <w:color w:val="27A66B"/>
        </w:rPr>
        <w:t>VERIFIED REMEDIATION</w:t>
      </w:r>
    </w:p>
    <w:p>
      <w:pPr>
        <w:pStyle w:val="Heading1"/>
      </w:pPr>
      <w:r>
        <w:t>INFO-03 - Complete settlement evidence events</w:t>
      </w:r>
    </w:p>
    <w:p>
      <w:pPr>
        <w:spacing w:after="200" w:line="96" w:lineRule="auto"/>
      </w:pPr>
      <w:r>
        <w:rPr>
          <w:rFonts w:ascii="Arial" w:hAnsi="Arial"/>
          <w:color w:val="27A66B"/>
          <w:sz w:val="12"/>
        </w:rPr>
        <w:t>━━━━━━━━━━━━━━━━━━━━━━━━━━━━━━━━━━━━━━━━━━━━━━━━━━━━━━━━━━━━</w:t>
      </w:r>
    </w:p>
    <w:tbl>
      <w:tblPr>
        <w:tblW w:type="auto" w:w="0"/>
        <w:jc w:val="center"/>
        <w:tblLayout w:type="fixed"/>
        <w:tblLook w:firstColumn="1" w:firstRow="1" w:lastColumn="0" w:lastRow="0" w:noHBand="0" w:noVBand="1" w:val="04A0"/>
      </w:tblPr>
      <w:tblGrid>
        <w:gridCol w:w="10148"/>
      </w:tblGrid>
      <w:tr>
        <w:tc>
          <w:tcPr>
            <w:tcW w:type="dxa" w:w="9000"/>
            <w:tcMar>
              <w:top w:w="160" w:type="dxa"/>
              <w:start w:w="180" w:type="dxa"/>
              <w:bottom w:w="160" w:type="dxa"/>
              <w:end w:w="180" w:type="dxa"/>
            </w:tcMar>
            <w:shd w:fill="EAF8F1"/>
            <w:tcBorders>
              <w:left w:val="single" w:sz="28" w:color="27A66B"/>
            </w:tcBorders>
          </w:tcPr>
          <w:p>
            <w:pPr>
              <w:spacing w:after="0"/>
            </w:pPr>
            <w:r>
              <w:rPr>
                <w:rFonts w:ascii="Arial" w:hAnsi="Arial"/>
                <w:b/>
                <w:color w:val="2A2D34"/>
                <w:sz w:val="18"/>
              </w:rPr>
              <w:t>REMEDIATED · VERIFIED · CLOSED IN FROZEN SOURCE</w:t>
            </w:r>
          </w:p>
        </w:tc>
      </w:tr>
    </w:tbl>
    <w:p>
      <w:pPr>
        <w:spacing w:after="20"/>
      </w:pPr>
    </w:p>
    <w:p>
      <w:pPr>
        <w:keepLines/>
        <w:widowControl/>
      </w:pPr>
      <w:r>
        <w:t>Status: REMEDIATED · VERIFIED. Component: AegentSwapV2; AegentRedemptionV2.</w:t>
      </w:r>
    </w:p>
    <w:p>
      <w:pPr>
        <w:keepLines/>
        <w:widowControl/>
      </w:pPr>
      <w:r>
        <w:t>The completed control below is present in the frozen source and bound to the final verification evidence.</w:t>
      </w:r>
    </w:p>
    <w:p>
      <w:pPr>
        <w:keepLines/>
        <w:widowControl/>
      </w:pPr>
      <w:r>
        <w:t>Closure basis: the implemented behavior is exercised by the recorded regression and integration suites. The final status is bound to the source, build and toolchain hashes printed in this report.</w:t>
      </w:r>
    </w:p>
    <w:tbl>
      <w:tblPr>
        <w:tblW w:type="auto" w:w="0"/>
        <w:jc w:val="center"/>
        <w:tblLayout w:type="fixed"/>
        <w:tblLook w:firstColumn="1" w:firstRow="1" w:lastColumn="0" w:lastRow="0" w:noHBand="0" w:noVBand="1" w:val="04A0"/>
      </w:tblPr>
      <w:tblGrid>
        <w:gridCol w:w="5074"/>
        <w:gridCol w:w="5074"/>
      </w:tblGrid>
      <w:tr>
        <w:trPr>
          <w:tblHeader w:val="true"/>
        </w:trPr>
        <w:tc>
          <w:tcPr>
            <w:tcW w:type="dxa" w:w="2500"/>
            <w:shd w:fill="17191F"/>
            <w:tcMar>
              <w:top w:w="100" w:type="dxa"/>
              <w:start w:w="120" w:type="dxa"/>
              <w:bottom w:w="100" w:type="dxa"/>
              <w:end w:w="120" w:type="dxa"/>
            </w:tcMar>
            <w:vAlign w:val="center"/>
          </w:tcPr>
          <w:p>
            <w:pPr>
              <w:spacing w:after="0"/>
            </w:pPr>
            <w:r>
              <w:rPr>
                <w:rFonts w:ascii="Arial" w:hAnsi="Arial"/>
                <w:b/>
                <w:color w:val="FFFFFF"/>
                <w:sz w:val="16"/>
              </w:rPr>
              <w:t>Field</w:t>
            </w:r>
          </w:p>
        </w:tc>
        <w:tc>
          <w:tcPr>
            <w:tcW w:type="dxa" w:w="6500"/>
            <w:shd w:fill="17191F"/>
            <w:tcMar>
              <w:top w:w="100" w:type="dxa"/>
              <w:start w:w="120" w:type="dxa"/>
              <w:bottom w:w="100" w:type="dxa"/>
              <w:end w:w="120" w:type="dxa"/>
            </w:tcMar>
            <w:vAlign w:val="center"/>
          </w:tcPr>
          <w:p>
            <w:pPr>
              <w:spacing w:after="0"/>
            </w:pPr>
            <w:r>
              <w:rPr>
                <w:rFonts w:ascii="Arial" w:hAnsi="Arial"/>
                <w:b/>
                <w:color w:val="FFFFFF"/>
                <w:sz w:val="16"/>
              </w:rPr>
              <w:t>Assessment</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Completed control</w:t>
            </w:r>
          </w:p>
        </w:tc>
        <w:tc>
          <w:tcPr>
            <w:tcW w:type="dxa" w:w="6500"/>
            <w:tcMar>
              <w:top w:w="85" w:type="dxa"/>
              <w:start w:w="120" w:type="dxa"/>
              <w:bottom w:w="85" w:type="dxa"/>
              <w:end w:w="120" w:type="dxa"/>
            </w:tcMar>
            <w:vAlign w:val="center"/>
          </w:tcPr>
          <w:p>
            <w:pPr>
              <w:spacing w:after="0"/>
            </w:pPr>
            <w:r>
              <w:rPr>
                <w:rFonts w:ascii="Arial" w:hAnsi="Arial"/>
                <w:color w:val="2A2D34"/>
                <w:sz w:val="15"/>
              </w:rPr>
              <w:t>Purchase and redemption settlement events now include the governing market mode, configuration version, rate version and cost-basis signal needed to reconstruct execution context.</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Control test coverage</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The bound settlement cases confirm that emitted events carry the market mode, configuration version, rate version and cost-basis context required for reconstruction. Purchase and redemption receipts can therefore be tied to the governing configuration without relying on an ambiguous current-state lookup.</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Verification result</w:t>
            </w:r>
          </w:p>
        </w:tc>
        <w:tc>
          <w:tcPr>
            <w:tcW w:type="dxa" w:w="6500"/>
            <w:tcMar>
              <w:top w:w="85" w:type="dxa"/>
              <w:start w:w="120" w:type="dxa"/>
              <w:bottom w:w="85" w:type="dxa"/>
              <w:end w:w="120" w:type="dxa"/>
            </w:tcMar>
            <w:vAlign w:val="center"/>
          </w:tcPr>
          <w:p>
            <w:pPr>
              <w:spacing w:after="0"/>
            </w:pPr>
            <w:r>
              <w:rPr>
                <w:rFonts w:ascii="Arial" w:hAnsi="Arial"/>
                <w:color w:val="2A2D34"/>
                <w:sz w:val="15"/>
              </w:rPr>
              <w:t>PASS — control present in the frozen source and recorded as remediated and verified by the bound final run.</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Evidence binding</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Run req223-20260731T134906328Z-c14331b422a13df5; source cff85cbfc727…a31651e1</w:t>
            </w:r>
          </w:p>
        </w:tc>
      </w:tr>
    </w:tbl>
    <w:p>
      <w:r>
        <w:br w:type="page"/>
      </w:r>
    </w:p>
    <w:p>
      <w:pPr>
        <w:pStyle w:val="Kicker"/>
      </w:pPr>
      <w:r>
        <w:rPr>
          <w:color w:val="27A66B"/>
        </w:rPr>
        <w:t>VERIFIED REMEDIATION</w:t>
      </w:r>
    </w:p>
    <w:p>
      <w:pPr>
        <w:pStyle w:val="Heading1"/>
      </w:pPr>
      <w:r>
        <w:t>INFO-04 - Permissionless matured-position completion</w:t>
      </w:r>
    </w:p>
    <w:p>
      <w:pPr>
        <w:spacing w:after="200" w:line="96" w:lineRule="auto"/>
      </w:pPr>
      <w:r>
        <w:rPr>
          <w:rFonts w:ascii="Arial" w:hAnsi="Arial"/>
          <w:color w:val="27A66B"/>
          <w:sz w:val="12"/>
        </w:rPr>
        <w:t>━━━━━━━━━━━━━━━━━━━━━━━━━━━━━━━━━━━━━━━━━━━━━━━━━━━━━━━━━━━━</w:t>
      </w:r>
    </w:p>
    <w:tbl>
      <w:tblPr>
        <w:tblW w:type="auto" w:w="0"/>
        <w:jc w:val="center"/>
        <w:tblLayout w:type="fixed"/>
        <w:tblLook w:firstColumn="1" w:firstRow="1" w:lastColumn="0" w:lastRow="0" w:noHBand="0" w:noVBand="1" w:val="04A0"/>
      </w:tblPr>
      <w:tblGrid>
        <w:gridCol w:w="10148"/>
      </w:tblGrid>
      <w:tr>
        <w:tc>
          <w:tcPr>
            <w:tcW w:type="dxa" w:w="9000"/>
            <w:tcMar>
              <w:top w:w="160" w:type="dxa"/>
              <w:start w:w="180" w:type="dxa"/>
              <w:bottom w:w="160" w:type="dxa"/>
              <w:end w:w="180" w:type="dxa"/>
            </w:tcMar>
            <w:shd w:fill="EAF8F1"/>
            <w:tcBorders>
              <w:left w:val="single" w:sz="28" w:color="27A66B"/>
            </w:tcBorders>
          </w:tcPr>
          <w:p>
            <w:pPr>
              <w:spacing w:after="0"/>
            </w:pPr>
            <w:r>
              <w:rPr>
                <w:rFonts w:ascii="Arial" w:hAnsi="Arial"/>
                <w:b/>
                <w:color w:val="2A2D34"/>
                <w:sz w:val="18"/>
              </w:rPr>
              <w:t>REMEDIATED · VERIFIED · CLOSED IN FROZEN SOURCE</w:t>
            </w:r>
          </w:p>
        </w:tc>
      </w:tr>
    </w:tbl>
    <w:p>
      <w:pPr>
        <w:spacing w:after="20"/>
      </w:pPr>
    </w:p>
    <w:p>
      <w:pPr>
        <w:keepLines/>
        <w:widowControl/>
      </w:pPr>
      <w:r>
        <w:t>Status: REMEDIATED · VERIFIED. Component: AegentStakingV1.</w:t>
      </w:r>
    </w:p>
    <w:p>
      <w:pPr>
        <w:keepLines/>
        <w:widowControl/>
      </w:pPr>
      <w:r>
        <w:t>The completed control below is present in the frozen source and bound to the final verification evidence.</w:t>
      </w:r>
    </w:p>
    <w:p>
      <w:pPr>
        <w:keepLines/>
        <w:widowControl/>
      </w:pPr>
      <w:r>
        <w:t>Closure basis: the implemented behavior is exercised by the recorded regression and integration suites. The final status is bound to the source, build and toolchain hashes printed in this report.</w:t>
      </w:r>
    </w:p>
    <w:tbl>
      <w:tblPr>
        <w:tblW w:type="auto" w:w="0"/>
        <w:jc w:val="center"/>
        <w:tblLayout w:type="fixed"/>
        <w:tblLook w:firstColumn="1" w:firstRow="1" w:lastColumn="0" w:lastRow="0" w:noHBand="0" w:noVBand="1" w:val="04A0"/>
      </w:tblPr>
      <w:tblGrid>
        <w:gridCol w:w="5074"/>
        <w:gridCol w:w="5074"/>
      </w:tblGrid>
      <w:tr>
        <w:trPr>
          <w:tblHeader w:val="true"/>
        </w:trPr>
        <w:tc>
          <w:tcPr>
            <w:tcW w:type="dxa" w:w="2500"/>
            <w:shd w:fill="17191F"/>
            <w:tcMar>
              <w:top w:w="100" w:type="dxa"/>
              <w:start w:w="120" w:type="dxa"/>
              <w:bottom w:w="100" w:type="dxa"/>
              <w:end w:w="120" w:type="dxa"/>
            </w:tcMar>
            <w:vAlign w:val="center"/>
          </w:tcPr>
          <w:p>
            <w:pPr>
              <w:spacing w:after="0"/>
            </w:pPr>
            <w:r>
              <w:rPr>
                <w:rFonts w:ascii="Arial" w:hAnsi="Arial"/>
                <w:b/>
                <w:color w:val="FFFFFF"/>
                <w:sz w:val="16"/>
              </w:rPr>
              <w:t>Field</w:t>
            </w:r>
          </w:p>
        </w:tc>
        <w:tc>
          <w:tcPr>
            <w:tcW w:type="dxa" w:w="6500"/>
            <w:shd w:fill="17191F"/>
            <w:tcMar>
              <w:top w:w="100" w:type="dxa"/>
              <w:start w:w="120" w:type="dxa"/>
              <w:bottom w:w="100" w:type="dxa"/>
              <w:end w:w="120" w:type="dxa"/>
            </w:tcMar>
            <w:vAlign w:val="center"/>
          </w:tcPr>
          <w:p>
            <w:pPr>
              <w:spacing w:after="0"/>
            </w:pPr>
            <w:r>
              <w:rPr>
                <w:rFonts w:ascii="Arial" w:hAnsi="Arial"/>
                <w:b/>
                <w:color w:val="FFFFFF"/>
                <w:sz w:val="16"/>
              </w:rPr>
              <w:t>Assessment</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Completed control</w:t>
            </w:r>
          </w:p>
        </w:tc>
        <w:tc>
          <w:tcPr>
            <w:tcW w:type="dxa" w:w="6500"/>
            <w:tcMar>
              <w:top w:w="85" w:type="dxa"/>
              <w:start w:w="120" w:type="dxa"/>
              <w:bottom w:w="85" w:type="dxa"/>
              <w:end w:w="120" w:type="dxa"/>
            </w:tcMar>
            <w:vAlign w:val="center"/>
          </w:tcPr>
          <w:p>
            <w:pPr>
              <w:spacing w:after="0"/>
            </w:pPr>
            <w:r>
              <w:rPr>
                <w:rFonts w:ascii="Arial" w:hAnsi="Arial"/>
                <w:color w:val="2A2D34"/>
                <w:sz w:val="15"/>
              </w:rPr>
              <w:t>Matured staking positions can be advanced permissionlessly through claimFor while all AGNT and released proceeds are always paid to the recorded position owner and beneficiary.</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Control test coverage</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The bound maturity cases exercise permissionless claim advancement while confirming that assets remain directed only to the recorded owner and beneficiary. Third-party callers cannot redirect AGNT or proceeds, and the completed path removes indefinite dependence on the position owner initiating the transaction.</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Verification result</w:t>
            </w:r>
          </w:p>
        </w:tc>
        <w:tc>
          <w:tcPr>
            <w:tcW w:type="dxa" w:w="6500"/>
            <w:tcMar>
              <w:top w:w="85" w:type="dxa"/>
              <w:start w:w="120" w:type="dxa"/>
              <w:bottom w:w="85" w:type="dxa"/>
              <w:end w:w="120" w:type="dxa"/>
            </w:tcMar>
            <w:vAlign w:val="center"/>
          </w:tcPr>
          <w:p>
            <w:pPr>
              <w:spacing w:after="0"/>
            </w:pPr>
            <w:r>
              <w:rPr>
                <w:rFonts w:ascii="Arial" w:hAnsi="Arial"/>
                <w:color w:val="2A2D34"/>
                <w:sz w:val="15"/>
              </w:rPr>
              <w:t>PASS — control present in the frozen source and recorded as remediated and verified by the bound final run.</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Evidence binding</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Run req223-20260731T134906328Z-c14331b422a13df5; source cff85cbfc727…a31651e1</w:t>
            </w:r>
          </w:p>
        </w:tc>
      </w:tr>
    </w:tbl>
    <w:p>
      <w:r>
        <w:br w:type="page"/>
      </w:r>
    </w:p>
    <w:p>
      <w:pPr>
        <w:pStyle w:val="Kicker"/>
      </w:pPr>
      <w:r>
        <w:t>VERIFICATION</w:t>
      </w:r>
    </w:p>
    <w:p>
      <w:pPr>
        <w:pStyle w:val="Heading1"/>
      </w:pPr>
      <w:r>
        <w:t>Remediation Closure Model</w:t>
      </w:r>
    </w:p>
    <w:p>
      <w:pPr>
        <w:spacing w:after="200" w:line="96" w:lineRule="auto"/>
      </w:pPr>
      <w:r>
        <w:rPr>
          <w:rFonts w:ascii="Arial" w:hAnsi="Arial"/>
          <w:color w:val="E03E5B"/>
          <w:sz w:val="12"/>
        </w:rPr>
        <w:t>━━━━━━━━━━━━━━━━━━━━━━━━━━━━━━━━━━━━━━━━━━━━━━━━━━━━━━━━━━━━</w:t>
      </w:r>
    </w:p>
    <w:p>
      <w:pPr>
        <w:keepLines/>
        <w:widowControl/>
      </w:pPr>
      <w:r>
        <w:t>A finding is not closed by prose. The control change must be present in the identified source, exercised by regression tests and survive the full integration suite. Deployment-dependent controls remain fail-closed until address, bytecode and configuration evidence passes.</w:t>
      </w:r>
    </w:p>
    <w:p>
      <w:pPr>
        <w:keepLines/>
        <w:widowControl/>
      </w:pPr>
      <w:r>
        <w:t>Post-remediation and production verification are represented as separate evidence classes. Source-level validation does not substitute for deployed-address, bytecode, configuration or continuing operational evidence.</w:t>
      </w:r>
    </w:p>
    <w:p>
      <w:pPr>
        <w:spacing w:before="80" w:after="100"/>
        <w:jc w:val="center"/>
      </w:pPr>
      <w:r>
        <w:drawing>
          <wp:inline xmlns:a="http://schemas.openxmlformats.org/drawingml/2006/main" xmlns:pic="http://schemas.openxmlformats.org/drawingml/2006/picture">
            <wp:extent cx="6263640" cy="3523298"/>
            <wp:docPr id="11" name="Picture 11"/>
            <wp:cNvGraphicFramePr>
              <a:graphicFrameLocks noChangeAspect="1"/>
            </wp:cNvGraphicFramePr>
            <a:graphic>
              <a:graphicData uri="http://schemas.openxmlformats.org/drawingml/2006/picture">
                <pic:pic>
                  <pic:nvPicPr>
                    <pic:cNvPr id="0" name="remediation-closure.png"/>
                    <pic:cNvPicPr/>
                  </pic:nvPicPr>
                  <pic:blipFill>
                    <a:blip r:embed="rId20"/>
                    <a:stretch>
                      <a:fillRect/>
                    </a:stretch>
                  </pic:blipFill>
                  <pic:spPr>
                    <a:xfrm>
                      <a:off x="0" y="0"/>
                      <a:ext cx="6263640" cy="3523298"/>
                    </a:xfrm>
                    <a:prstGeom prst="rect"/>
                  </pic:spPr>
                </pic:pic>
              </a:graphicData>
            </a:graphic>
          </wp:inline>
        </w:drawing>
      </w:r>
    </w:p>
    <w:p>
      <w:pPr>
        <w:spacing w:after="100"/>
        <w:jc w:val="center"/>
      </w:pPr>
      <w:r>
        <w:rPr>
          <w:i/>
          <w:color w:val="787C84"/>
          <w:sz w:val="14"/>
        </w:rPr>
        <w:t>Figure 28. Remediation Closure Model</w:t>
      </w:r>
    </w:p>
    <w:p>
      <w:pPr>
        <w:spacing w:before="140" w:after="80"/>
      </w:pPr>
      <w:r>
        <w:rPr>
          <w:rFonts w:ascii="Arial" w:hAnsi="Arial"/>
          <w:b/>
          <w:color w:val="D73454"/>
          <w:sz w:val="16"/>
        </w:rPr>
        <w:t>EVIDENCE PROMOTION RULES</w:t>
      </w:r>
    </w:p>
    <w:p>
      <w:pPr>
        <w:keepLines/>
        <w:widowControl/>
      </w:pPr>
      <w:r>
        <w:t>A control advances from proposed to locally verified only after the source diff, targeted regression and full integration suite agree. Static-analysis records receive a separate source-owner disposition assessed against the frozen source. Deployment-dependent controls remain open until exact addresses, runtime bytecode, governance topology, funded balances and live configuration are captured. Production revalidation remains a separate evidence class and cannot be inferred from local success.</w:t>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SOURCE CHANGE</w:t>
            </w:r>
          </w:p>
          <w:p>
            <w:pPr>
              <w:spacing w:after="0"/>
            </w:pPr>
            <w:r>
              <w:rPr>
                <w:rFonts w:ascii="Arial" w:hAnsi="Arial"/>
                <w:color w:val="2A2D34"/>
                <w:sz w:val="14"/>
              </w:rPr>
              <w:t>Exact diff and scope assessed</w:t>
            </w:r>
          </w:p>
        </w:tc>
        <w:tc>
          <w:tcPr>
            <w:tcW w:type="dxa" w:w="2250"/>
            <w:tcMar>
              <w:top w:w="120" w:type="dxa"/>
              <w:start w:w="130" w:type="dxa"/>
              <w:bottom w:w="120" w:type="dxa"/>
              <w:end w:w="130" w:type="dxa"/>
            </w:tcMar>
            <w:shd w:fill="EAEDF2"/>
            <w:tcBorders>
              <w:top w:val="single" w:sz="22" w:color="E33F5E"/>
            </w:tcBorders>
          </w:tcPr>
          <w:p>
            <w:pPr>
              <w:spacing w:after="40"/>
            </w:pPr>
            <w:r>
              <w:rPr>
                <w:rFonts w:ascii="Arial" w:hAnsi="Arial"/>
                <w:b/>
                <w:color w:val="D73454"/>
                <w:sz w:val="14"/>
              </w:rPr>
              <w:t>REGRESSION</w:t>
            </w:r>
          </w:p>
          <w:p>
            <w:pPr>
              <w:spacing w:after="0"/>
            </w:pPr>
            <w:r>
              <w:rPr>
                <w:rFonts w:ascii="Arial" w:hAnsi="Arial"/>
                <w:color w:val="2A2D34"/>
                <w:sz w:val="14"/>
              </w:rPr>
              <w:t>Targeted exploit case passes</w:t>
            </w:r>
          </w:p>
        </w:tc>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INTEGRATION</w:t>
            </w:r>
          </w:p>
          <w:p>
            <w:pPr>
              <w:spacing w:after="0"/>
            </w:pPr>
            <w:r>
              <w:rPr>
                <w:rFonts w:ascii="Arial" w:hAnsi="Arial"/>
                <w:color w:val="2A2D34"/>
                <w:sz w:val="14"/>
              </w:rPr>
              <w:t>Complete local suite passes</w:t>
            </w:r>
          </w:p>
        </w:tc>
        <w:tc>
          <w:tcPr>
            <w:tcW w:type="dxa" w:w="2250"/>
            <w:tcMar>
              <w:top w:w="120" w:type="dxa"/>
              <w:start w:w="130" w:type="dxa"/>
              <w:bottom w:w="120" w:type="dxa"/>
              <w:end w:w="130" w:type="dxa"/>
            </w:tcMar>
            <w:shd w:fill="EAEDF2"/>
            <w:tcBorders>
              <w:top w:val="single" w:sz="22" w:color="17191F"/>
            </w:tcBorders>
          </w:tcPr>
          <w:p>
            <w:pPr>
              <w:spacing w:after="40"/>
            </w:pPr>
            <w:r>
              <w:rPr>
                <w:rFonts w:ascii="Arial" w:hAnsi="Arial"/>
                <w:b/>
                <w:color w:val="D73454"/>
                <w:sz w:val="14"/>
              </w:rPr>
              <w:t>PRODUCTION CLOSURE</w:t>
            </w:r>
          </w:p>
          <w:p>
            <w:pPr>
              <w:spacing w:after="0"/>
            </w:pPr>
            <w:r>
              <w:rPr>
                <w:rFonts w:ascii="Arial" w:hAnsi="Arial"/>
                <w:color w:val="2A2D34"/>
                <w:sz w:val="14"/>
              </w:rPr>
              <w:t>Revalidation remains separate</w:t>
            </w:r>
          </w:p>
        </w:tc>
      </w:tr>
    </w:tbl>
    <w:p>
      <w:r>
        <w:br w:type="page"/>
      </w:r>
    </w:p>
    <w:p>
      <w:pPr>
        <w:pStyle w:val="Kicker"/>
      </w:pPr>
      <w:r>
        <w:t>VERIFICATION</w:t>
      </w:r>
    </w:p>
    <w:p>
      <w:pPr>
        <w:pStyle w:val="Heading1"/>
      </w:pPr>
      <w:r>
        <w:t>Test Strategy</w:t>
      </w:r>
    </w:p>
    <w:p>
      <w:pPr>
        <w:spacing w:after="200" w:line="96" w:lineRule="auto"/>
      </w:pPr>
      <w:r>
        <w:rPr>
          <w:rFonts w:ascii="Arial" w:hAnsi="Arial"/>
          <w:color w:val="E03E5B"/>
          <w:sz w:val="12"/>
        </w:rPr>
        <w:t>━━━━━━━━━━━━━━━━━━━━━━━━━━━━━━━━━━━━━━━━━━━━━━━━━━━━━━━━━━━━</w:t>
      </w:r>
    </w:p>
    <w:p>
      <w:pPr>
        <w:keepLines/>
        <w:widowControl/>
      </w:pPr>
      <w:r>
        <w:t>Tests are organized around state transitions and invariants rather than happy-path line execution alone. Adversarial cases include stale and future oracle rounds, transfer mismatch, fee-on-transfer behavior, reentrancy, boundary timestamps, replay, unauthorized administration, reserve insufficiency and wrong-chain configuration.</w:t>
      </w:r>
    </w:p>
    <w:p>
      <w:pPr>
        <w:keepLines/>
        <w:widowControl/>
      </w:pPr>
      <w:r>
        <w:t>The main suite runs under the BNB Smart Chain chain identifier. The intentional excluded scenario is the wrong-chain case, which is executed separately under chain 97 so the guard can be proven without weakening the chain-56 configuration.</w:t>
      </w:r>
    </w:p>
    <w:tbl>
      <w:tblPr>
        <w:tblW w:type="auto" w:w="0"/>
        <w:jc w:val="center"/>
        <w:tblLayout w:type="fixed"/>
        <w:tblLook w:firstColumn="1" w:firstRow="1" w:lastColumn="0" w:lastRow="0" w:noHBand="0" w:noVBand="1" w:val="04A0"/>
      </w:tblPr>
      <w:tblGrid>
        <w:gridCol w:w="5074"/>
        <w:gridCol w:w="5074"/>
      </w:tblGrid>
      <w:tr>
        <w:trPr>
          <w:tblHeader w:val="true"/>
        </w:trPr>
        <w:tc>
          <w:tcPr>
            <w:tcW w:type="dxa" w:w="2500"/>
            <w:shd w:fill="17191F"/>
            <w:tcMar>
              <w:top w:w="100" w:type="dxa"/>
              <w:start w:w="120" w:type="dxa"/>
              <w:bottom w:w="100" w:type="dxa"/>
              <w:end w:w="120" w:type="dxa"/>
            </w:tcMar>
            <w:vAlign w:val="center"/>
          </w:tcPr>
          <w:p>
            <w:pPr>
              <w:spacing w:after="0"/>
            </w:pPr>
            <w:r>
              <w:rPr>
                <w:rFonts w:ascii="Arial" w:hAnsi="Arial"/>
                <w:b/>
                <w:color w:val="FFFFFF"/>
                <w:sz w:val="16"/>
              </w:rPr>
              <w:t>Area</w:t>
            </w:r>
          </w:p>
        </w:tc>
        <w:tc>
          <w:tcPr>
            <w:tcW w:type="dxa" w:w="6500"/>
            <w:shd w:fill="17191F"/>
            <w:tcMar>
              <w:top w:w="100" w:type="dxa"/>
              <w:start w:w="120" w:type="dxa"/>
              <w:bottom w:w="100" w:type="dxa"/>
              <w:end w:w="120" w:type="dxa"/>
            </w:tcMar>
            <w:vAlign w:val="center"/>
          </w:tcPr>
          <w:p>
            <w:pPr>
              <w:spacing w:after="0"/>
            </w:pPr>
            <w:r>
              <w:rPr>
                <w:rFonts w:ascii="Arial" w:hAnsi="Arial"/>
                <w:b/>
                <w:color w:val="FFFFFF"/>
                <w:sz w:val="16"/>
              </w:rPr>
              <w:t>Representative coverage</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Registry</w:t>
            </w:r>
          </w:p>
        </w:tc>
        <w:tc>
          <w:tcPr>
            <w:tcW w:type="dxa" w:w="6500"/>
            <w:tcMar>
              <w:top w:w="85" w:type="dxa"/>
              <w:start w:w="120" w:type="dxa"/>
              <w:bottom w:w="85" w:type="dxa"/>
              <w:end w:w="120" w:type="dxa"/>
            </w:tcMar>
            <w:vAlign w:val="center"/>
          </w:tcPr>
          <w:p>
            <w:pPr>
              <w:spacing w:after="0"/>
            </w:pPr>
            <w:r>
              <w:rPr>
                <w:rFonts w:ascii="Arial" w:hAnsi="Arial"/>
                <w:color w:val="2A2D34"/>
                <w:sz w:val="15"/>
              </w:rPr>
              <w:t>modes, timing, endpoints, breaker persistence</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Swap</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three assets, price bounds, reserve, min-out, events</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Redemption</w:t>
            </w:r>
          </w:p>
        </w:tc>
        <w:tc>
          <w:tcPr>
            <w:tcW w:type="dxa" w:w="6500"/>
            <w:tcMar>
              <w:top w:w="85" w:type="dxa"/>
              <w:start w:w="120" w:type="dxa"/>
              <w:bottom w:w="85" w:type="dxa"/>
              <w:end w:w="120" w:type="dxa"/>
            </w:tcMar>
            <w:vAlign w:val="center"/>
          </w:tcPr>
          <w:p>
            <w:pPr>
              <w:spacing w:after="0"/>
            </w:pPr>
            <w:r>
              <w:rPr>
                <w:rFonts w:ascii="Arial" w:hAnsi="Arial"/>
                <w:color w:val="2A2D34"/>
                <w:sz w:val="15"/>
              </w:rPr>
              <w:t>receipt, rolling limits, reserve, claim, withdrawal</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Vault</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release, rotation, delay, recovery, recipient failure</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Staking</w:t>
            </w:r>
          </w:p>
        </w:tc>
        <w:tc>
          <w:tcPr>
            <w:tcW w:type="dxa" w:w="6500"/>
            <w:tcMar>
              <w:top w:w="85" w:type="dxa"/>
              <w:start w:w="120" w:type="dxa"/>
              <w:bottom w:w="85" w:type="dxa"/>
              <w:end w:w="120" w:type="dxa"/>
            </w:tcMar>
            <w:vAlign w:val="center"/>
          </w:tcPr>
          <w:p>
            <w:pPr>
              <w:spacing w:after="0"/>
            </w:pPr>
            <w:r>
              <w:rPr>
                <w:rFonts w:ascii="Arial" w:hAnsi="Arial"/>
                <w:color w:val="2A2D34"/>
                <w:sz w:val="15"/>
              </w:rPr>
              <w:t>intake, oracle, inventory, maturity, claimFor, breaker</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Deployment</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Safe, timelock, bytecode, bindings, reserve/inventory</w:t>
            </w:r>
          </w:p>
        </w:tc>
      </w:tr>
    </w:tbl>
    <w:p>
      <w:pPr>
        <w:spacing w:before="140" w:after="80"/>
      </w:pPr>
      <w:r>
        <w:rPr>
          <w:rFonts w:ascii="Arial" w:hAnsi="Arial"/>
          <w:b/>
          <w:color w:val="D73454"/>
          <w:sz w:val="16"/>
        </w:rPr>
        <w:t>SCENARIO DISTRIBUTION AND TEST PYRAMID</w:t>
      </w:r>
    </w:p>
    <w:p>
      <w:pPr>
        <w:keepLines/>
        <w:widowControl/>
      </w:pPr>
      <w:r>
        <w:t>The suite combines narrow unit assertions, multi-contract integration paths, deployment-configuration tests and one isolated wrong-chain run. High-risk cases are selected from state transitions and invariants: value conservation, authorization, oracle failure, boundary time, transfer behavior and replay. The final frozen run did not collect instrumentation coverage; manual analysis and the recorded pass set provide the bounded evidence for this issue.</w:t>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UNIT</w:t>
            </w:r>
          </w:p>
          <w:p>
            <w:pPr>
              <w:spacing w:after="0"/>
            </w:pPr>
            <w:r>
              <w:rPr>
                <w:rFonts w:ascii="Arial" w:hAnsi="Arial"/>
                <w:color w:val="2A2D34"/>
                <w:sz w:val="14"/>
              </w:rPr>
              <w:t>Errors + pure rules</w:t>
            </w:r>
          </w:p>
        </w:tc>
        <w:tc>
          <w:tcPr>
            <w:tcW w:type="dxa" w:w="2250"/>
            <w:tcMar>
              <w:top w:w="120" w:type="dxa"/>
              <w:start w:w="130" w:type="dxa"/>
              <w:bottom w:w="120" w:type="dxa"/>
              <w:end w:w="130" w:type="dxa"/>
            </w:tcMar>
            <w:shd w:fill="EAEDF2"/>
            <w:tcBorders>
              <w:top w:val="single" w:sz="22" w:color="E33F5E"/>
            </w:tcBorders>
          </w:tcPr>
          <w:p>
            <w:pPr>
              <w:spacing w:after="40"/>
            </w:pPr>
            <w:r>
              <w:rPr>
                <w:rFonts w:ascii="Arial" w:hAnsi="Arial"/>
                <w:b/>
                <w:color w:val="D73454"/>
                <w:sz w:val="14"/>
              </w:rPr>
              <w:t>INTEGRATION</w:t>
            </w:r>
          </w:p>
          <w:p>
            <w:pPr>
              <w:spacing w:after="0"/>
            </w:pPr>
            <w:r>
              <w:rPr>
                <w:rFonts w:ascii="Arial" w:hAnsi="Arial"/>
                <w:color w:val="2A2D34"/>
                <w:sz w:val="14"/>
              </w:rPr>
              <w:t>Cross-contract value</w:t>
            </w:r>
          </w:p>
        </w:tc>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CONFIGURATION</w:t>
            </w:r>
          </w:p>
          <w:p>
            <w:pPr>
              <w:spacing w:after="0"/>
            </w:pPr>
            <w:r>
              <w:rPr>
                <w:rFonts w:ascii="Arial" w:hAnsi="Arial"/>
                <w:color w:val="2A2D34"/>
                <w:sz w:val="14"/>
              </w:rPr>
              <w:t>Governance + bindings</w:t>
            </w:r>
          </w:p>
        </w:tc>
        <w:tc>
          <w:tcPr>
            <w:tcW w:type="dxa" w:w="2250"/>
            <w:tcMar>
              <w:top w:w="120" w:type="dxa"/>
              <w:start w:w="130" w:type="dxa"/>
              <w:bottom w:w="120" w:type="dxa"/>
              <w:end w:w="130" w:type="dxa"/>
            </w:tcMar>
            <w:shd w:fill="EAEDF2"/>
            <w:tcBorders>
              <w:top w:val="single" w:sz="22" w:color="17191F"/>
            </w:tcBorders>
          </w:tcPr>
          <w:p>
            <w:pPr>
              <w:spacing w:after="40"/>
            </w:pPr>
            <w:r>
              <w:rPr>
                <w:rFonts w:ascii="Arial" w:hAnsi="Arial"/>
                <w:b/>
                <w:color w:val="D73454"/>
                <w:sz w:val="14"/>
              </w:rPr>
              <w:t>ADVERSARIAL</w:t>
            </w:r>
          </w:p>
          <w:p>
            <w:pPr>
              <w:spacing w:after="0"/>
            </w:pPr>
            <w:r>
              <w:rPr>
                <w:rFonts w:ascii="Arial" w:hAnsi="Arial"/>
                <w:color w:val="2A2D34"/>
                <w:sz w:val="14"/>
              </w:rPr>
              <w:t>Oracle / chain / replay</w:t>
            </w:r>
          </w:p>
        </w:tc>
      </w:tr>
    </w:tbl>
    <w:p>
      <w:r>
        <w:br w:type="page"/>
      </w:r>
    </w:p>
    <w:p>
      <w:pPr>
        <w:pStyle w:val="Kicker"/>
      </w:pPr>
      <w:r>
        <w:t>VERIFICATION</w:t>
      </w:r>
    </w:p>
    <w:p>
      <w:pPr>
        <w:pStyle w:val="Heading1"/>
      </w:pPr>
      <w:r>
        <w:t>Current Verification Results</w:t>
      </w:r>
    </w:p>
    <w:p>
      <w:pPr>
        <w:spacing w:after="200" w:line="96" w:lineRule="auto"/>
      </w:pPr>
      <w:r>
        <w:rPr>
          <w:rFonts w:ascii="Arial" w:hAnsi="Arial"/>
          <w:color w:val="E03E5B"/>
          <w:sz w:val="12"/>
        </w:rPr>
        <w:t>━━━━━━━━━━━━━━━━━━━━━━━━━━━━━━━━━━━━━━━━━━━━━━━━━━━━━━━━━━━━</w:t>
      </w:r>
    </w:p>
    <w:p>
      <w:pPr>
        <w:keepLines/>
        <w:widowControl/>
      </w:pPr>
      <w:r>
        <w:t>The latest current-source check compiled 34 Solidity files. The chain-56 main suite reported 245 passing / 1 intentional exclusions. The independently invoked chain-97 wrong-chain suite reported 1 passing / 0 excluded.</w:t>
      </w:r>
    </w:p>
    <w:p>
      <w:pPr>
        <w:keepLines/>
        <w:widowControl/>
      </w:pPr>
      <w:r>
        <w:t>The production dependency scan reported 0 known advisories. These results are reproducible local technical evidence; they do not override the shared NO OPEN FINDINGS IN CURRENT REGISTER posture, prove live addresses or establish independent assessment.</w:t>
      </w:r>
    </w:p>
    <w:p>
      <w:pPr>
        <w:spacing w:before="80" w:after="100"/>
        <w:jc w:val="center"/>
      </w:pPr>
      <w:r>
        <w:drawing>
          <wp:inline xmlns:a="http://schemas.openxmlformats.org/drawingml/2006/main" xmlns:pic="http://schemas.openxmlformats.org/drawingml/2006/picture">
            <wp:extent cx="6263640" cy="3523298"/>
            <wp:docPr id="12" name="Picture 12"/>
            <wp:cNvGraphicFramePr>
              <a:graphicFrameLocks noChangeAspect="1"/>
            </wp:cNvGraphicFramePr>
            <a:graphic>
              <a:graphicData uri="http://schemas.openxmlformats.org/drawingml/2006/picture">
                <pic:pic>
                  <pic:nvPicPr>
                    <pic:cNvPr id="0" name="verification-dashboard.png"/>
                    <pic:cNvPicPr/>
                  </pic:nvPicPr>
                  <pic:blipFill>
                    <a:blip r:embed="rId12"/>
                    <a:stretch>
                      <a:fillRect/>
                    </a:stretch>
                  </pic:blipFill>
                  <pic:spPr>
                    <a:xfrm>
                      <a:off x="0" y="0"/>
                      <a:ext cx="6263640" cy="3523298"/>
                    </a:xfrm>
                    <a:prstGeom prst="rect"/>
                  </pic:spPr>
                </pic:pic>
              </a:graphicData>
            </a:graphic>
          </wp:inline>
        </w:drawing>
      </w:r>
    </w:p>
    <w:p>
      <w:pPr>
        <w:spacing w:after="100"/>
        <w:jc w:val="center"/>
      </w:pPr>
      <w:r>
        <w:rPr>
          <w:i/>
          <w:color w:val="787C84"/>
          <w:sz w:val="14"/>
        </w:rPr>
        <w:t>Figure 30. Current Verification Results</w:t>
      </w:r>
    </w:p>
    <w:tbl>
      <w:tblPr>
        <w:tblW w:type="auto" w:w="0"/>
        <w:jc w:val="center"/>
        <w:tblLayout w:type="fixed"/>
        <w:tblLook w:firstColumn="1" w:firstRow="1" w:lastColumn="0" w:lastRow="0" w:noHBand="0" w:noVBand="1" w:val="04A0"/>
      </w:tblPr>
      <w:tblGrid>
        <w:gridCol w:w="3383"/>
        <w:gridCol w:w="3383"/>
        <w:gridCol w:w="3383"/>
      </w:tblGrid>
      <w:tr>
        <w:trPr>
          <w:tblHeader w:val="true"/>
        </w:trPr>
        <w:tc>
          <w:tcPr>
            <w:tcW w:type="dxa" w:w="2100"/>
            <w:shd w:fill="17191F"/>
            <w:tcMar>
              <w:top w:w="100" w:type="dxa"/>
              <w:start w:w="120" w:type="dxa"/>
              <w:bottom w:w="100" w:type="dxa"/>
              <w:end w:w="120" w:type="dxa"/>
            </w:tcMar>
            <w:vAlign w:val="center"/>
          </w:tcPr>
          <w:p>
            <w:pPr>
              <w:spacing w:after="0"/>
            </w:pPr>
            <w:r>
              <w:rPr>
                <w:rFonts w:ascii="Arial" w:hAnsi="Arial"/>
                <w:b/>
                <w:color w:val="FFFFFF"/>
                <w:sz w:val="16"/>
              </w:rPr>
              <w:t>Check</w:t>
            </w:r>
          </w:p>
        </w:tc>
        <w:tc>
          <w:tcPr>
            <w:tcW w:type="dxa" w:w="1800"/>
            <w:shd w:fill="17191F"/>
            <w:tcMar>
              <w:top w:w="100" w:type="dxa"/>
              <w:start w:w="120" w:type="dxa"/>
              <w:bottom w:w="100" w:type="dxa"/>
              <w:end w:w="120" w:type="dxa"/>
            </w:tcMar>
            <w:vAlign w:val="center"/>
          </w:tcPr>
          <w:p>
            <w:pPr>
              <w:spacing w:after="0"/>
            </w:pPr>
            <w:r>
              <w:rPr>
                <w:rFonts w:ascii="Arial" w:hAnsi="Arial"/>
                <w:b/>
                <w:color w:val="FFFFFF"/>
                <w:sz w:val="16"/>
              </w:rPr>
              <w:t>Result</w:t>
            </w:r>
          </w:p>
        </w:tc>
        <w:tc>
          <w:tcPr>
            <w:tcW w:type="dxa" w:w="5100"/>
            <w:shd w:fill="17191F"/>
            <w:tcMar>
              <w:top w:w="100" w:type="dxa"/>
              <w:start w:w="120" w:type="dxa"/>
              <w:bottom w:w="100" w:type="dxa"/>
              <w:end w:w="120" w:type="dxa"/>
            </w:tcMar>
            <w:vAlign w:val="center"/>
          </w:tcPr>
          <w:p>
            <w:pPr>
              <w:spacing w:after="0"/>
            </w:pPr>
            <w:r>
              <w:rPr>
                <w:rFonts w:ascii="Arial" w:hAnsi="Arial"/>
                <w:b/>
                <w:color w:val="FFFFFF"/>
                <w:sz w:val="16"/>
              </w:rPr>
              <w:t>Evidence</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Compilation</w:t>
            </w:r>
          </w:p>
        </w:tc>
        <w:tc>
          <w:tcPr>
            <w:tcW w:type="dxa" w:w="1800"/>
            <w:tcMar>
              <w:top w:w="85" w:type="dxa"/>
              <w:start w:w="120" w:type="dxa"/>
              <w:bottom w:w="85" w:type="dxa"/>
              <w:end w:w="120" w:type="dxa"/>
            </w:tcMar>
            <w:vAlign w:val="center"/>
          </w:tcPr>
          <w:p>
            <w:pPr>
              <w:spacing w:after="0"/>
            </w:pPr>
            <w:r>
              <w:rPr>
                <w:rFonts w:ascii="Arial" w:hAnsi="Arial"/>
                <w:color w:val="2A2D34"/>
                <w:sz w:val="15"/>
              </w:rPr>
              <w:t>PASS</w:t>
            </w:r>
          </w:p>
        </w:tc>
        <w:tc>
          <w:tcPr>
            <w:tcW w:type="dxa" w:w="5100"/>
            <w:tcMar>
              <w:top w:w="85" w:type="dxa"/>
              <w:start w:w="120" w:type="dxa"/>
              <w:bottom w:w="85" w:type="dxa"/>
              <w:end w:w="120" w:type="dxa"/>
            </w:tcMar>
            <w:vAlign w:val="center"/>
          </w:tcPr>
          <w:p>
            <w:pPr>
              <w:spacing w:after="0"/>
            </w:pPr>
            <w:r>
              <w:rPr>
                <w:rFonts w:ascii="Arial" w:hAnsi="Arial"/>
                <w:color w:val="2A2D34"/>
                <w:sz w:val="15"/>
              </w:rPr>
              <w:t>34 Solidity files</w:t>
            </w:r>
          </w:p>
        </w:tc>
      </w:tr>
      <w:tr>
        <w:tc>
          <w:tcPr>
            <w:tcW w:type="dxa" w:w="2100"/>
            <w:tcMar>
              <w:top w:w="85" w:type="dxa"/>
              <w:start w:w="120" w:type="dxa"/>
              <w:bottom w:w="85" w:type="dxa"/>
              <w:end w:w="120" w:type="dxa"/>
            </w:tcMar>
            <w:shd w:fill="F4F5F7"/>
            <w:vAlign w:val="center"/>
          </w:tcPr>
          <w:p>
            <w:pPr>
              <w:spacing w:after="0"/>
            </w:pPr>
            <w:r>
              <w:rPr>
                <w:rFonts w:ascii="Arial" w:hAnsi="Arial"/>
                <w:color w:val="2A2D34"/>
                <w:sz w:val="15"/>
              </w:rPr>
              <w:t>Chain 56 tests</w:t>
            </w:r>
          </w:p>
        </w:tc>
        <w:tc>
          <w:tcPr>
            <w:tcW w:type="dxa" w:w="1800"/>
            <w:tcMar>
              <w:top w:w="85" w:type="dxa"/>
              <w:start w:w="120" w:type="dxa"/>
              <w:bottom w:w="85" w:type="dxa"/>
              <w:end w:w="120" w:type="dxa"/>
            </w:tcMar>
            <w:shd w:fill="F4F5F7"/>
            <w:vAlign w:val="center"/>
          </w:tcPr>
          <w:p>
            <w:pPr>
              <w:spacing w:after="0"/>
            </w:pPr>
            <w:r>
              <w:rPr>
                <w:rFonts w:ascii="Arial" w:hAnsi="Arial"/>
                <w:color w:val="2A2D34"/>
                <w:sz w:val="15"/>
              </w:rPr>
              <w:t>PASS</w:t>
            </w:r>
          </w:p>
        </w:tc>
        <w:tc>
          <w:tcPr>
            <w:tcW w:type="dxa" w:w="5100"/>
            <w:tcMar>
              <w:top w:w="85" w:type="dxa"/>
              <w:start w:w="120" w:type="dxa"/>
              <w:bottom w:w="85" w:type="dxa"/>
              <w:end w:w="120" w:type="dxa"/>
            </w:tcMar>
            <w:shd w:fill="F4F5F7"/>
            <w:vAlign w:val="center"/>
          </w:tcPr>
          <w:p>
            <w:pPr>
              <w:spacing w:after="0"/>
            </w:pPr>
            <w:r>
              <w:rPr>
                <w:rFonts w:ascii="Arial" w:hAnsi="Arial"/>
                <w:color w:val="2A2D34"/>
                <w:sz w:val="15"/>
              </w:rPr>
              <w:t>245 passing / 1 intentional exclusions</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Chain 97 guard</w:t>
            </w:r>
          </w:p>
        </w:tc>
        <w:tc>
          <w:tcPr>
            <w:tcW w:type="dxa" w:w="1800"/>
            <w:tcMar>
              <w:top w:w="85" w:type="dxa"/>
              <w:start w:w="120" w:type="dxa"/>
              <w:bottom w:w="85" w:type="dxa"/>
              <w:end w:w="120" w:type="dxa"/>
            </w:tcMar>
            <w:vAlign w:val="center"/>
          </w:tcPr>
          <w:p>
            <w:pPr>
              <w:spacing w:after="0"/>
            </w:pPr>
            <w:r>
              <w:rPr>
                <w:rFonts w:ascii="Arial" w:hAnsi="Arial"/>
                <w:color w:val="2A2D34"/>
                <w:sz w:val="15"/>
              </w:rPr>
              <w:t>PASS</w:t>
            </w:r>
          </w:p>
        </w:tc>
        <w:tc>
          <w:tcPr>
            <w:tcW w:type="dxa" w:w="5100"/>
            <w:tcMar>
              <w:top w:w="85" w:type="dxa"/>
              <w:start w:w="120" w:type="dxa"/>
              <w:bottom w:w="85" w:type="dxa"/>
              <w:end w:w="120" w:type="dxa"/>
            </w:tcMar>
            <w:vAlign w:val="center"/>
          </w:tcPr>
          <w:p>
            <w:pPr>
              <w:spacing w:after="0"/>
            </w:pPr>
            <w:r>
              <w:rPr>
                <w:rFonts w:ascii="Arial" w:hAnsi="Arial"/>
                <w:color w:val="2A2D34"/>
                <w:sz w:val="15"/>
              </w:rPr>
              <w:t>1 passing / 0 excluded</w:t>
            </w:r>
          </w:p>
        </w:tc>
      </w:tr>
      <w:tr>
        <w:tc>
          <w:tcPr>
            <w:tcW w:type="dxa" w:w="2100"/>
            <w:tcMar>
              <w:top w:w="85" w:type="dxa"/>
              <w:start w:w="120" w:type="dxa"/>
              <w:bottom w:w="85" w:type="dxa"/>
              <w:end w:w="120" w:type="dxa"/>
            </w:tcMar>
            <w:shd w:fill="F4F5F7"/>
            <w:vAlign w:val="center"/>
          </w:tcPr>
          <w:p>
            <w:pPr>
              <w:spacing w:after="0"/>
            </w:pPr>
            <w:r>
              <w:rPr>
                <w:rFonts w:ascii="Arial" w:hAnsi="Arial"/>
                <w:color w:val="2A2D34"/>
                <w:sz w:val="15"/>
              </w:rPr>
              <w:t>Production npm audit</w:t>
            </w:r>
          </w:p>
        </w:tc>
        <w:tc>
          <w:tcPr>
            <w:tcW w:type="dxa" w:w="1800"/>
            <w:tcMar>
              <w:top w:w="85" w:type="dxa"/>
              <w:start w:w="120" w:type="dxa"/>
              <w:bottom w:w="85" w:type="dxa"/>
              <w:end w:w="120" w:type="dxa"/>
            </w:tcMar>
            <w:shd w:fill="F4F5F7"/>
            <w:vAlign w:val="center"/>
          </w:tcPr>
          <w:p>
            <w:pPr>
              <w:spacing w:after="0"/>
            </w:pPr>
            <w:r>
              <w:rPr>
                <w:rFonts w:ascii="Arial" w:hAnsi="Arial"/>
                <w:color w:val="2A2D34"/>
                <w:sz w:val="15"/>
              </w:rPr>
              <w:t>PASS</w:t>
            </w:r>
          </w:p>
        </w:tc>
        <w:tc>
          <w:tcPr>
            <w:tcW w:type="dxa" w:w="5100"/>
            <w:tcMar>
              <w:top w:w="85" w:type="dxa"/>
              <w:start w:w="120" w:type="dxa"/>
              <w:bottom w:w="85" w:type="dxa"/>
              <w:end w:w="120" w:type="dxa"/>
            </w:tcMar>
            <w:shd w:fill="F4F5F7"/>
            <w:vAlign w:val="center"/>
          </w:tcPr>
          <w:p>
            <w:pPr>
              <w:spacing w:after="0"/>
            </w:pPr>
            <w:r>
              <w:rPr>
                <w:rFonts w:ascii="Arial" w:hAnsi="Arial"/>
                <w:color w:val="2A2D34"/>
                <w:sz w:val="15"/>
              </w:rPr>
              <w:t>0 known advisories</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Release posture</w:t>
            </w:r>
          </w:p>
        </w:tc>
        <w:tc>
          <w:tcPr>
            <w:tcW w:type="dxa" w:w="1800"/>
            <w:tcMar>
              <w:top w:w="85" w:type="dxa"/>
              <w:start w:w="120" w:type="dxa"/>
              <w:bottom w:w="85" w:type="dxa"/>
              <w:end w:w="120" w:type="dxa"/>
            </w:tcMar>
            <w:vAlign w:val="center"/>
          </w:tcPr>
          <w:p>
            <w:pPr>
              <w:spacing w:after="0"/>
            </w:pPr>
            <w:r>
              <w:rPr>
                <w:rFonts w:ascii="Arial" w:hAnsi="Arial"/>
                <w:color w:val="2A2D34"/>
                <w:sz w:val="15"/>
              </w:rPr>
              <w:t>NO OPEN FINDINGS IN CURRENT REGISTER</w:t>
            </w:r>
          </w:p>
        </w:tc>
        <w:tc>
          <w:tcPr>
            <w:tcW w:type="dxa" w:w="5100"/>
            <w:tcMar>
              <w:top w:w="85" w:type="dxa"/>
              <w:start w:w="120" w:type="dxa"/>
              <w:bottom w:w="85" w:type="dxa"/>
              <w:end w:w="120" w:type="dxa"/>
            </w:tcMar>
            <w:vAlign w:val="center"/>
          </w:tcPr>
          <w:p>
            <w:pPr>
              <w:spacing w:after="0"/>
            </w:pPr>
            <w:r>
              <w:rPr>
                <w:rFonts w:ascii="Arial" w:hAnsi="Arial"/>
                <w:color w:val="2A2D34"/>
                <w:sz w:val="15"/>
              </w:rPr>
              <w:t>0 open blocker(s)</w:t>
            </w:r>
          </w:p>
        </w:tc>
      </w:tr>
    </w:tbl>
    <w:p>
      <w:pPr>
        <w:spacing w:before="140" w:after="80"/>
      </w:pPr>
      <w:r>
        <w:rPr>
          <w:rFonts w:ascii="Arial" w:hAnsi="Arial"/>
          <w:b/>
          <w:color w:val="D73454"/>
          <w:sz w:val="16"/>
        </w:rPr>
        <w:t>RESULT INTERPRETATION</w:t>
      </w:r>
    </w:p>
    <w:p>
      <w:pPr>
        <w:keepLines/>
        <w:widowControl/>
      </w:pPr>
      <w:r>
        <w:t>A PASS in this table means the named local command completed against the frozen source and returned its expected assertion set. The intentional exclusion case is not silently counted as success: it belongs to the chain-97 configuration and passes there. No row upgrades the production-deployment column because live addresses, bytecode and state are not part of this evidence issue.</w:t>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COMPILE</w:t>
            </w:r>
          </w:p>
          <w:p>
            <w:pPr>
              <w:spacing w:after="0"/>
            </w:pPr>
            <w:r>
              <w:rPr>
                <w:rFonts w:ascii="Arial" w:hAnsi="Arial"/>
                <w:color w:val="2A2D34"/>
                <w:sz w:val="14"/>
              </w:rPr>
              <w:t>Deterministic inputs</w:t>
            </w:r>
          </w:p>
        </w:tc>
        <w:tc>
          <w:tcPr>
            <w:tcW w:type="dxa" w:w="2250"/>
            <w:tcMar>
              <w:top w:w="120" w:type="dxa"/>
              <w:start w:w="130" w:type="dxa"/>
              <w:bottom w:w="120" w:type="dxa"/>
              <w:end w:w="130" w:type="dxa"/>
            </w:tcMar>
            <w:shd w:fill="EAEDF2"/>
            <w:tcBorders>
              <w:top w:val="single" w:sz="22" w:color="E33F5E"/>
            </w:tcBorders>
          </w:tcPr>
          <w:p>
            <w:pPr>
              <w:spacing w:after="40"/>
            </w:pPr>
            <w:r>
              <w:rPr>
                <w:rFonts w:ascii="Arial" w:hAnsi="Arial"/>
                <w:b/>
                <w:color w:val="D73454"/>
                <w:sz w:val="14"/>
              </w:rPr>
              <w:t>CHAIN 56</w:t>
            </w:r>
          </w:p>
          <w:p>
            <w:pPr>
              <w:spacing w:after="0"/>
            </w:pPr>
            <w:r>
              <w:rPr>
                <w:rFonts w:ascii="Arial" w:hAnsi="Arial"/>
                <w:color w:val="2A2D34"/>
                <w:sz w:val="14"/>
              </w:rPr>
              <w:t>245 passing</w:t>
            </w:r>
          </w:p>
        </w:tc>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CHAIN 97</w:t>
            </w:r>
          </w:p>
          <w:p>
            <w:pPr>
              <w:spacing w:after="0"/>
            </w:pPr>
            <w:r>
              <w:rPr>
                <w:rFonts w:ascii="Arial" w:hAnsi="Arial"/>
                <w:color w:val="2A2D34"/>
                <w:sz w:val="14"/>
              </w:rPr>
              <w:t>1 guard passing</w:t>
            </w:r>
          </w:p>
        </w:tc>
        <w:tc>
          <w:tcPr>
            <w:tcW w:type="dxa" w:w="2250"/>
            <w:tcMar>
              <w:top w:w="120" w:type="dxa"/>
              <w:start w:w="130" w:type="dxa"/>
              <w:bottom w:w="120" w:type="dxa"/>
              <w:end w:w="130" w:type="dxa"/>
            </w:tcMar>
            <w:shd w:fill="EAEDF2"/>
            <w:tcBorders>
              <w:top w:val="single" w:sz="22" w:color="17191F"/>
            </w:tcBorders>
          </w:tcPr>
          <w:p>
            <w:pPr>
              <w:spacing w:after="40"/>
            </w:pPr>
            <w:r>
              <w:rPr>
                <w:rFonts w:ascii="Arial" w:hAnsi="Arial"/>
                <w:b/>
                <w:color w:val="D73454"/>
                <w:sz w:val="14"/>
              </w:rPr>
              <w:t>PRODUCTION</w:t>
            </w:r>
          </w:p>
          <w:p>
            <w:pPr>
              <w:spacing w:after="0"/>
            </w:pPr>
            <w:r>
              <w:rPr>
                <w:rFonts w:ascii="Arial" w:hAnsi="Arial"/>
                <w:color w:val="2A2D34"/>
                <w:sz w:val="14"/>
              </w:rPr>
              <w:t>Unasserted</w:t>
            </w:r>
          </w:p>
        </w:tc>
      </w:tr>
    </w:tbl>
    <w:p>
      <w:r>
        <w:br w:type="page"/>
      </w:r>
    </w:p>
    <w:p>
      <w:pPr>
        <w:pStyle w:val="Kicker"/>
      </w:pPr>
      <w:r>
        <w:t>VERIFICATION</w:t>
      </w:r>
    </w:p>
    <w:p>
      <w:pPr>
        <w:pStyle w:val="Heading1"/>
      </w:pPr>
      <w:r>
        <w:t>Coverage and Evidence Quality</w:t>
      </w:r>
    </w:p>
    <w:p>
      <w:pPr>
        <w:spacing w:after="200" w:line="96" w:lineRule="auto"/>
      </w:pPr>
      <w:r>
        <w:rPr>
          <w:rFonts w:ascii="Arial" w:hAnsi="Arial"/>
          <w:color w:val="E03E5B"/>
          <w:sz w:val="12"/>
        </w:rPr>
        <w:t>━━━━━━━━━━━━━━━━━━━━━━━━━━━━━━━━━━━━━━━━━━━━━━━━━━━━━━━━━━━━</w:t>
      </w:r>
    </w:p>
    <w:tbl>
      <w:tblPr>
        <w:tblW w:type="auto" w:w="0"/>
        <w:jc w:val="center"/>
        <w:tblLayout w:type="fixed"/>
        <w:tblLook w:firstColumn="1" w:firstRow="1" w:lastColumn="0" w:lastRow="0" w:noHBand="0" w:noVBand="1" w:val="04A0"/>
      </w:tblPr>
      <w:tblGrid>
        <w:gridCol w:w="10148"/>
      </w:tblGrid>
      <w:tr>
        <w:tc>
          <w:tcPr>
            <w:tcW w:type="dxa" w:w="9000"/>
            <w:tcMar>
              <w:top w:w="160" w:type="dxa"/>
              <w:start w:w="180" w:type="dxa"/>
              <w:bottom w:w="160" w:type="dxa"/>
              <w:end w:w="180" w:type="dxa"/>
            </w:tcMar>
            <w:shd w:fill="EEF2F8"/>
            <w:tcBorders>
              <w:left w:val="single" w:sz="28" w:color="E33F5E"/>
            </w:tcBorders>
          </w:tcPr>
          <w:p>
            <w:pPr>
              <w:spacing w:after="0"/>
            </w:pPr>
            <w:r>
              <w:rPr>
                <w:rFonts w:ascii="Arial" w:hAnsi="Arial"/>
                <w:b/>
                <w:color w:val="2A2D34"/>
                <w:sz w:val="18"/>
              </w:rPr>
              <w:t>NO INSTRUMENTATION COVERAGE PERCENTAGE IS CLAIMED FOR THE FINAL FROZEN RUN.</w:t>
            </w:r>
          </w:p>
        </w:tc>
      </w:tr>
    </w:tbl>
    <w:p>
      <w:pPr>
        <w:spacing w:after="20"/>
      </w:pPr>
    </w:p>
    <w:p>
      <w:pPr>
        <w:keepLines/>
        <w:widowControl/>
      </w:pPr>
      <w:r>
        <w:t>The controlling evidence run is req223-20260731T134906328Z-c14331b422a13df5. It compiled 34 Solidity files and recorded 245 passing main-suite tests, one intentional exclusion, and 1 passing isolated wrong-chain guard.</w:t>
      </w:r>
    </w:p>
    <w:p>
      <w:pPr>
        <w:keepLines/>
        <w:widowControl/>
      </w:pPr>
      <w:r>
        <w:t>Instrumentation coverage was not collected in this final frozen run. No percentage from an earlier run is carried forward; any future coverage claim requires a new bound evidence run.</w:t>
      </w:r>
    </w:p>
    <w:tbl>
      <w:tblPr>
        <w:tblW w:type="auto" w:w="0"/>
        <w:jc w:val="center"/>
        <w:tblLayout w:type="fixed"/>
        <w:tblLook w:firstColumn="1" w:firstRow="1" w:lastColumn="0" w:lastRow="0" w:noHBand="0" w:noVBand="1" w:val="04A0"/>
      </w:tblPr>
      <w:tblGrid>
        <w:gridCol w:w="3383"/>
        <w:gridCol w:w="3383"/>
        <w:gridCol w:w="3383"/>
      </w:tblGrid>
      <w:tr>
        <w:trPr>
          <w:tblHeader w:val="true"/>
        </w:trPr>
        <w:tc>
          <w:tcPr>
            <w:tcW w:type="dxa" w:w="2100"/>
            <w:shd w:fill="17191F"/>
            <w:tcMar>
              <w:top w:w="100" w:type="dxa"/>
              <w:start w:w="120" w:type="dxa"/>
              <w:bottom w:w="100" w:type="dxa"/>
              <w:end w:w="120" w:type="dxa"/>
            </w:tcMar>
            <w:vAlign w:val="center"/>
          </w:tcPr>
          <w:p>
            <w:pPr>
              <w:spacing w:after="0"/>
            </w:pPr>
            <w:r>
              <w:rPr>
                <w:rFonts w:ascii="Arial" w:hAnsi="Arial"/>
                <w:b/>
                <w:color w:val="FFFFFF"/>
                <w:sz w:val="16"/>
              </w:rPr>
              <w:t>Metric</w:t>
            </w:r>
          </w:p>
        </w:tc>
        <w:tc>
          <w:tcPr>
            <w:tcW w:type="dxa" w:w="1800"/>
            <w:shd w:fill="17191F"/>
            <w:tcMar>
              <w:top w:w="100" w:type="dxa"/>
              <w:start w:w="120" w:type="dxa"/>
              <w:bottom w:w="100" w:type="dxa"/>
              <w:end w:w="120" w:type="dxa"/>
            </w:tcMar>
            <w:vAlign w:val="center"/>
          </w:tcPr>
          <w:p>
            <w:pPr>
              <w:spacing w:after="0"/>
            </w:pPr>
            <w:r>
              <w:rPr>
                <w:rFonts w:ascii="Arial" w:hAnsi="Arial"/>
                <w:b/>
                <w:color w:val="FFFFFF"/>
                <w:sz w:val="16"/>
              </w:rPr>
              <w:t>Covered / total</w:t>
            </w:r>
          </w:p>
        </w:tc>
        <w:tc>
          <w:tcPr>
            <w:tcW w:type="dxa" w:w="5100"/>
            <w:shd w:fill="17191F"/>
            <w:tcMar>
              <w:top w:w="100" w:type="dxa"/>
              <w:start w:w="120" w:type="dxa"/>
              <w:bottom w:w="100" w:type="dxa"/>
              <w:end w:w="120" w:type="dxa"/>
            </w:tcMar>
            <w:vAlign w:val="center"/>
          </w:tcPr>
          <w:p>
            <w:pPr>
              <w:spacing w:after="0"/>
            </w:pPr>
            <w:r>
              <w:rPr>
                <w:rFonts w:ascii="Arial" w:hAnsi="Arial"/>
                <w:b/>
                <w:color w:val="FFFFFF"/>
                <w:sz w:val="16"/>
              </w:rPr>
              <w:t>Result</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Main suite</w:t>
            </w:r>
          </w:p>
        </w:tc>
        <w:tc>
          <w:tcPr>
            <w:tcW w:type="dxa" w:w="1800"/>
            <w:tcMar>
              <w:top w:w="85" w:type="dxa"/>
              <w:start w:w="120" w:type="dxa"/>
              <w:bottom w:w="85" w:type="dxa"/>
              <w:end w:w="120" w:type="dxa"/>
            </w:tcMar>
            <w:vAlign w:val="center"/>
          </w:tcPr>
          <w:p>
            <w:pPr>
              <w:spacing w:after="0"/>
            </w:pPr>
            <w:r>
              <w:rPr>
                <w:rFonts w:ascii="Arial" w:hAnsi="Arial"/>
                <w:color w:val="2A2D34"/>
                <w:sz w:val="15"/>
              </w:rPr>
              <w:t>245 passing</w:t>
            </w:r>
          </w:p>
        </w:tc>
        <w:tc>
          <w:tcPr>
            <w:tcW w:type="dxa" w:w="5100"/>
            <w:tcMar>
              <w:top w:w="85" w:type="dxa"/>
              <w:start w:w="120" w:type="dxa"/>
              <w:bottom w:w="85" w:type="dxa"/>
              <w:end w:w="120" w:type="dxa"/>
            </w:tcMar>
            <w:vAlign w:val="center"/>
          </w:tcPr>
          <w:p>
            <w:pPr>
              <w:spacing w:after="0"/>
            </w:pPr>
            <w:r>
              <w:rPr>
                <w:rFonts w:ascii="Arial" w:hAnsi="Arial"/>
                <w:color w:val="2A2D34"/>
                <w:sz w:val="15"/>
              </w:rPr>
              <w:t>1 intentional exclusion</w:t>
            </w:r>
          </w:p>
        </w:tc>
      </w:tr>
      <w:tr>
        <w:tc>
          <w:tcPr>
            <w:tcW w:type="dxa" w:w="2100"/>
            <w:tcMar>
              <w:top w:w="85" w:type="dxa"/>
              <w:start w:w="120" w:type="dxa"/>
              <w:bottom w:w="85" w:type="dxa"/>
              <w:end w:w="120" w:type="dxa"/>
            </w:tcMar>
            <w:shd w:fill="F4F5F7"/>
            <w:vAlign w:val="center"/>
          </w:tcPr>
          <w:p>
            <w:pPr>
              <w:spacing w:after="0"/>
            </w:pPr>
            <w:r>
              <w:rPr>
                <w:rFonts w:ascii="Arial" w:hAnsi="Arial"/>
                <w:color w:val="2A2D34"/>
                <w:sz w:val="15"/>
              </w:rPr>
              <w:t>Wrong-chain suite</w:t>
            </w:r>
          </w:p>
        </w:tc>
        <w:tc>
          <w:tcPr>
            <w:tcW w:type="dxa" w:w="1800"/>
            <w:tcMar>
              <w:top w:w="85" w:type="dxa"/>
              <w:start w:w="120" w:type="dxa"/>
              <w:bottom w:w="85" w:type="dxa"/>
              <w:end w:w="120" w:type="dxa"/>
            </w:tcMar>
            <w:shd w:fill="F4F5F7"/>
            <w:vAlign w:val="center"/>
          </w:tcPr>
          <w:p>
            <w:pPr>
              <w:spacing w:after="0"/>
            </w:pPr>
            <w:r>
              <w:rPr>
                <w:rFonts w:ascii="Arial" w:hAnsi="Arial"/>
                <w:color w:val="2A2D34"/>
                <w:sz w:val="15"/>
              </w:rPr>
              <w:t>1 passing</w:t>
            </w:r>
          </w:p>
        </w:tc>
        <w:tc>
          <w:tcPr>
            <w:tcW w:type="dxa" w:w="5100"/>
            <w:tcMar>
              <w:top w:w="85" w:type="dxa"/>
              <w:start w:w="120" w:type="dxa"/>
              <w:bottom w:w="85" w:type="dxa"/>
              <w:end w:w="120" w:type="dxa"/>
            </w:tcMar>
            <w:shd w:fill="F4F5F7"/>
            <w:vAlign w:val="center"/>
          </w:tcPr>
          <w:p>
            <w:pPr>
              <w:spacing w:after="0"/>
            </w:pPr>
            <w:r>
              <w:rPr>
                <w:rFonts w:ascii="Arial" w:hAnsi="Arial"/>
                <w:color w:val="2A2D34"/>
                <w:sz w:val="15"/>
              </w:rPr>
              <w:t>Isolated chain-97 configuration</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Coverage</w:t>
            </w:r>
          </w:p>
        </w:tc>
        <w:tc>
          <w:tcPr>
            <w:tcW w:type="dxa" w:w="1800"/>
            <w:tcMar>
              <w:top w:w="85" w:type="dxa"/>
              <w:start w:w="120" w:type="dxa"/>
              <w:bottom w:w="85" w:type="dxa"/>
              <w:end w:w="120" w:type="dxa"/>
            </w:tcMar>
            <w:vAlign w:val="center"/>
          </w:tcPr>
          <w:p>
            <w:pPr>
              <w:spacing w:after="0"/>
            </w:pPr>
            <w:r>
              <w:rPr>
                <w:rFonts w:ascii="Arial" w:hAnsi="Arial"/>
                <w:color w:val="2A2D34"/>
                <w:sz w:val="15"/>
              </w:rPr>
              <w:t>Not collected</w:t>
            </w:r>
          </w:p>
        </w:tc>
        <w:tc>
          <w:tcPr>
            <w:tcW w:type="dxa" w:w="5100"/>
            <w:tcMar>
              <w:top w:w="85" w:type="dxa"/>
              <w:start w:w="120" w:type="dxa"/>
              <w:bottom w:w="85" w:type="dxa"/>
              <w:end w:w="120" w:type="dxa"/>
            </w:tcMar>
            <w:vAlign w:val="center"/>
          </w:tcPr>
          <w:p>
            <w:pPr>
              <w:spacing w:after="0"/>
            </w:pPr>
            <w:r>
              <w:rPr>
                <w:rFonts w:ascii="Arial" w:hAnsi="Arial"/>
                <w:color w:val="2A2D34"/>
                <w:sz w:val="15"/>
              </w:rPr>
              <w:t>No stale percentage reused</w:t>
            </w:r>
          </w:p>
        </w:tc>
      </w:tr>
      <w:tr>
        <w:tc>
          <w:tcPr>
            <w:tcW w:type="dxa" w:w="2100"/>
            <w:tcMar>
              <w:top w:w="85" w:type="dxa"/>
              <w:start w:w="120" w:type="dxa"/>
              <w:bottom w:w="85" w:type="dxa"/>
              <w:end w:w="120" w:type="dxa"/>
            </w:tcMar>
            <w:shd w:fill="F4F5F7"/>
            <w:vAlign w:val="center"/>
          </w:tcPr>
          <w:p>
            <w:pPr>
              <w:spacing w:after="0"/>
            </w:pPr>
            <w:r>
              <w:rPr>
                <w:rFonts w:ascii="Arial" w:hAnsi="Arial"/>
                <w:color w:val="2A2D34"/>
                <w:sz w:val="15"/>
              </w:rPr>
              <w:t>Compilation</w:t>
            </w:r>
          </w:p>
        </w:tc>
        <w:tc>
          <w:tcPr>
            <w:tcW w:type="dxa" w:w="1800"/>
            <w:tcMar>
              <w:top w:w="85" w:type="dxa"/>
              <w:start w:w="120" w:type="dxa"/>
              <w:bottom w:w="85" w:type="dxa"/>
              <w:end w:w="120" w:type="dxa"/>
            </w:tcMar>
            <w:shd w:fill="F4F5F7"/>
            <w:vAlign w:val="center"/>
          </w:tcPr>
          <w:p>
            <w:pPr>
              <w:spacing w:after="0"/>
            </w:pPr>
            <w:r>
              <w:rPr>
                <w:rFonts w:ascii="Arial" w:hAnsi="Arial"/>
                <w:color w:val="2A2D34"/>
                <w:sz w:val="15"/>
              </w:rPr>
              <w:t>34 files</w:t>
            </w:r>
          </w:p>
        </w:tc>
        <w:tc>
          <w:tcPr>
            <w:tcW w:type="dxa" w:w="5100"/>
            <w:tcMar>
              <w:top w:w="85" w:type="dxa"/>
              <w:start w:w="120" w:type="dxa"/>
              <w:bottom w:w="85" w:type="dxa"/>
              <w:end w:w="120" w:type="dxa"/>
            </w:tcMar>
            <w:shd w:fill="F4F5F7"/>
            <w:vAlign w:val="center"/>
          </w:tcPr>
          <w:p>
            <w:pPr>
              <w:spacing w:after="0"/>
            </w:pPr>
            <w:r>
              <w:rPr>
                <w:rFonts w:ascii="Arial" w:hAnsi="Arial"/>
                <w:color w:val="2A2D34"/>
                <w:sz w:val="15"/>
              </w:rPr>
              <w:t>Frozen build snapshot</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Wrong-chain guard</w:t>
            </w:r>
          </w:p>
        </w:tc>
        <w:tc>
          <w:tcPr>
            <w:tcW w:type="dxa" w:w="1800"/>
            <w:tcMar>
              <w:top w:w="85" w:type="dxa"/>
              <w:start w:w="120" w:type="dxa"/>
              <w:bottom w:w="85" w:type="dxa"/>
              <w:end w:w="120" w:type="dxa"/>
            </w:tcMar>
            <w:vAlign w:val="center"/>
          </w:tcPr>
          <w:p>
            <w:pPr>
              <w:spacing w:after="0"/>
            </w:pPr>
            <w:r>
              <w:rPr>
                <w:rFonts w:ascii="Arial" w:hAnsi="Arial"/>
                <w:color w:val="2A2D34"/>
                <w:sz w:val="15"/>
              </w:rPr>
              <w:t>1 passing / 0 excluded</w:t>
            </w:r>
          </w:p>
        </w:tc>
        <w:tc>
          <w:tcPr>
            <w:tcW w:type="dxa" w:w="5100"/>
            <w:tcMar>
              <w:top w:w="85" w:type="dxa"/>
              <w:start w:w="120" w:type="dxa"/>
              <w:bottom w:w="85" w:type="dxa"/>
              <w:end w:w="120" w:type="dxa"/>
            </w:tcMar>
            <w:vAlign w:val="center"/>
          </w:tcPr>
          <w:p>
            <w:pPr>
              <w:spacing w:after="0"/>
            </w:pPr>
            <w:r>
              <w:rPr>
                <w:rFonts w:ascii="Arial" w:hAnsi="Arial"/>
                <w:color w:val="2A2D34"/>
                <w:sz w:val="15"/>
              </w:rPr>
              <w:t>Separate configuration run</w:t>
            </w:r>
          </w:p>
        </w:tc>
      </w:tr>
    </w:tbl>
    <w:p>
      <w:pPr>
        <w:spacing w:before="140" w:after="80"/>
      </w:pPr>
      <w:r>
        <w:rPr>
          <w:rFonts w:ascii="Arial" w:hAnsi="Arial"/>
          <w:b/>
          <w:color w:val="D73454"/>
          <w:sz w:val="16"/>
        </w:rPr>
        <w:t>UNCOVERED-PATH CLASSIFICATION</w:t>
      </w:r>
    </w:p>
    <w:p>
      <w:pPr>
        <w:keepLines/>
        <w:widowControl/>
      </w:pPr>
      <w:r>
        <w:t>The final frozen run intentionally does not claim line, branch, statement or function coverage. Evidence quality is instead reported from the exact compilation, 245 passing main-suite tests, one intentional exclusion, the isolated wrong-chain guard, dependency audits and source-level analysis. Instrumentation coverage would require a separately frozen run.</w:t>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STATEMENTS</w:t>
            </w:r>
          </w:p>
          <w:p>
            <w:pPr>
              <w:spacing w:after="0"/>
            </w:pPr>
            <w:r>
              <w:rPr>
                <w:rFonts w:ascii="Arial" w:hAnsi="Arial"/>
                <w:color w:val="2A2D34"/>
                <w:sz w:val="14"/>
              </w:rPr>
              <w:t>Not collected</w:t>
            </w:r>
          </w:p>
        </w:tc>
        <w:tc>
          <w:tcPr>
            <w:tcW w:type="dxa" w:w="2250"/>
            <w:tcMar>
              <w:top w:w="120" w:type="dxa"/>
              <w:start w:w="130" w:type="dxa"/>
              <w:bottom w:w="120" w:type="dxa"/>
              <w:end w:w="130" w:type="dxa"/>
            </w:tcMar>
            <w:shd w:fill="EAEDF2"/>
            <w:tcBorders>
              <w:top w:val="single" w:sz="22" w:color="E33F5E"/>
            </w:tcBorders>
          </w:tcPr>
          <w:p>
            <w:pPr>
              <w:spacing w:after="40"/>
            </w:pPr>
            <w:r>
              <w:rPr>
                <w:rFonts w:ascii="Arial" w:hAnsi="Arial"/>
                <w:b/>
                <w:color w:val="D73454"/>
                <w:sz w:val="14"/>
              </w:rPr>
              <w:t>BRANCHES</w:t>
            </w:r>
          </w:p>
          <w:p>
            <w:pPr>
              <w:spacing w:after="0"/>
            </w:pPr>
            <w:r>
              <w:rPr>
                <w:rFonts w:ascii="Arial" w:hAnsi="Arial"/>
                <w:color w:val="2A2D34"/>
                <w:sz w:val="14"/>
              </w:rPr>
              <w:t>Not collected</w:t>
            </w:r>
          </w:p>
        </w:tc>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FUNCTIONS</w:t>
            </w:r>
          </w:p>
          <w:p>
            <w:pPr>
              <w:spacing w:after="0"/>
            </w:pPr>
            <w:r>
              <w:rPr>
                <w:rFonts w:ascii="Arial" w:hAnsi="Arial"/>
                <w:color w:val="2A2D34"/>
                <w:sz w:val="14"/>
              </w:rPr>
              <w:t>Not collected</w:t>
            </w:r>
          </w:p>
        </w:tc>
        <w:tc>
          <w:tcPr>
            <w:tcW w:type="dxa" w:w="2250"/>
            <w:tcMar>
              <w:top w:w="120" w:type="dxa"/>
              <w:start w:w="130" w:type="dxa"/>
              <w:bottom w:w="120" w:type="dxa"/>
              <w:end w:w="130" w:type="dxa"/>
            </w:tcMar>
            <w:shd w:fill="EAEDF2"/>
            <w:tcBorders>
              <w:top w:val="single" w:sz="22" w:color="17191F"/>
            </w:tcBorders>
          </w:tcPr>
          <w:p>
            <w:pPr>
              <w:spacing w:after="40"/>
            </w:pPr>
            <w:r>
              <w:rPr>
                <w:rFonts w:ascii="Arial" w:hAnsi="Arial"/>
                <w:b/>
                <w:color w:val="D73454"/>
                <w:sz w:val="14"/>
              </w:rPr>
              <w:t>LINES</w:t>
            </w:r>
          </w:p>
          <w:p>
            <w:pPr>
              <w:spacing w:after="0"/>
            </w:pPr>
            <w:r>
              <w:rPr>
                <w:rFonts w:ascii="Arial" w:hAnsi="Arial"/>
                <w:color w:val="2A2D34"/>
                <w:sz w:val="14"/>
              </w:rPr>
              <w:t>Not collected</w:t>
            </w:r>
          </w:p>
        </w:tc>
      </w:tr>
    </w:tbl>
    <w:p>
      <w:r>
        <w:br w:type="page"/>
      </w:r>
    </w:p>
    <w:p>
      <w:pPr>
        <w:pStyle w:val="Kicker"/>
      </w:pPr>
      <w:r>
        <w:t>VERIFICATION</w:t>
      </w:r>
    </w:p>
    <w:p>
      <w:pPr>
        <w:pStyle w:val="Heading1"/>
      </w:pPr>
      <w:r>
        <w:t>Static Analysis and Manual Triage</w:t>
      </w:r>
    </w:p>
    <w:p>
      <w:pPr>
        <w:spacing w:after="200" w:line="96" w:lineRule="auto"/>
      </w:pPr>
      <w:r>
        <w:rPr>
          <w:rFonts w:ascii="Arial" w:hAnsi="Arial"/>
          <w:color w:val="E03E5B"/>
          <w:sz w:val="12"/>
        </w:rPr>
        <w:t>━━━━━━━━━━━━━━━━━━━━━━━━━━━━━━━━━━━━━━━━━━━━━━━━━━━━━━━━━━━━</w:t>
      </w:r>
    </w:p>
    <w:tbl>
      <w:tblPr>
        <w:tblW w:type="auto" w:w="0"/>
        <w:jc w:val="center"/>
        <w:tblLayout w:type="fixed"/>
        <w:tblLook w:firstColumn="1" w:firstRow="1" w:lastColumn="0" w:lastRow="0" w:noHBand="0" w:noVBand="1" w:val="04A0"/>
      </w:tblPr>
      <w:tblGrid>
        <w:gridCol w:w="10148"/>
      </w:tblGrid>
      <w:tr>
        <w:tc>
          <w:tcPr>
            <w:tcW w:type="dxa" w:w="9000"/>
            <w:tcMar>
              <w:top w:w="160" w:type="dxa"/>
              <w:start w:w="180" w:type="dxa"/>
              <w:bottom w:w="160" w:type="dxa"/>
              <w:end w:w="180" w:type="dxa"/>
            </w:tcMar>
            <w:shd w:fill="EEF2F8"/>
            <w:tcBorders>
              <w:left w:val="single" w:sz="28" w:color="E33F5E"/>
            </w:tcBorders>
          </w:tcPr>
          <w:p>
            <w:pPr>
              <w:spacing w:after="0"/>
            </w:pPr>
            <w:r>
              <w:rPr>
                <w:rFonts w:ascii="Arial" w:hAnsi="Arial"/>
                <w:b/>
                <w:color w:val="2A2D34"/>
                <w:sz w:val="18"/>
              </w:rPr>
              <w:t>STATIC ANALYSIS IS ONE EVIDENCE LAYER; THE CONCLUSION REMAINS BOUND TO THE IDENTIFIED SOURCE AND TOOLCHAIN.</w:t>
            </w:r>
          </w:p>
        </w:tc>
      </w:tr>
    </w:tbl>
    <w:p>
      <w:pPr>
        <w:spacing w:after="20"/>
      </w:pPr>
    </w:p>
    <w:p>
      <w:pPr>
        <w:keepLines/>
        <w:widowControl/>
      </w:pPr>
      <w:r>
        <w:t>The final frozen run executed Solhint successfully and recorded 0 source findings.</w:t>
      </w:r>
    </w:p>
    <w:p>
      <w:pPr>
        <w:keepLines/>
        <w:widowControl/>
      </w:pPr>
      <w:r>
        <w:t>The production dependency audit recorded 0 advisories. The development-toolchain audit recorded 27 dev-only advisories, all triaged with no unresolved critical finding.</w:t>
      </w:r>
    </w:p>
    <w:p>
      <w:pPr>
        <w:keepLines/>
        <w:widowControl/>
      </w:pPr>
      <w:r>
        <w:t>The authoritative remediation-verification register records 9 historical items, all remediated and verified in the frozen source, with zero open findings. Release posture is NO OPEN FINDINGS IN CURRENT REGISTER.</w:t>
      </w:r>
    </w:p>
    <w:tbl>
      <w:tblPr>
        <w:tblW w:type="auto" w:w="0"/>
        <w:jc w:val="center"/>
        <w:tblLayout w:type="fixed"/>
        <w:tblLook w:firstColumn="1" w:firstRow="1" w:lastColumn="0" w:lastRow="0" w:noHBand="0" w:noVBand="1" w:val="04A0"/>
      </w:tblPr>
      <w:tblGrid>
        <w:gridCol w:w="3383"/>
        <w:gridCol w:w="3383"/>
        <w:gridCol w:w="3383"/>
      </w:tblGrid>
      <w:tr>
        <w:trPr>
          <w:tblHeader w:val="true"/>
        </w:trPr>
        <w:tc>
          <w:tcPr>
            <w:tcW w:type="dxa" w:w="2100"/>
            <w:shd w:fill="17191F"/>
            <w:tcMar>
              <w:top w:w="100" w:type="dxa"/>
              <w:start w:w="120" w:type="dxa"/>
              <w:bottom w:w="100" w:type="dxa"/>
              <w:end w:w="120" w:type="dxa"/>
            </w:tcMar>
            <w:vAlign w:val="center"/>
          </w:tcPr>
          <w:p>
            <w:pPr>
              <w:spacing w:after="0"/>
            </w:pPr>
            <w:r>
              <w:rPr>
                <w:rFonts w:ascii="Arial" w:hAnsi="Arial"/>
                <w:b/>
                <w:color w:val="FFFFFF"/>
                <w:sz w:val="16"/>
              </w:rPr>
              <w:t>Triage category</w:t>
            </w:r>
          </w:p>
        </w:tc>
        <w:tc>
          <w:tcPr>
            <w:tcW w:type="dxa" w:w="1800"/>
            <w:shd w:fill="17191F"/>
            <w:tcMar>
              <w:top w:w="100" w:type="dxa"/>
              <w:start w:w="120" w:type="dxa"/>
              <w:bottom w:w="100" w:type="dxa"/>
              <w:end w:w="120" w:type="dxa"/>
            </w:tcMar>
            <w:vAlign w:val="center"/>
          </w:tcPr>
          <w:p>
            <w:pPr>
              <w:spacing w:after="0"/>
            </w:pPr>
            <w:r>
              <w:rPr>
                <w:rFonts w:ascii="Arial" w:hAnsi="Arial"/>
                <w:b/>
                <w:color w:val="FFFFFF"/>
                <w:sz w:val="16"/>
              </w:rPr>
              <w:t>Count</w:t>
            </w:r>
          </w:p>
        </w:tc>
        <w:tc>
          <w:tcPr>
            <w:tcW w:type="dxa" w:w="5100"/>
            <w:shd w:fill="17191F"/>
            <w:tcMar>
              <w:top w:w="100" w:type="dxa"/>
              <w:start w:w="120" w:type="dxa"/>
              <w:bottom w:w="100" w:type="dxa"/>
              <w:end w:w="120" w:type="dxa"/>
            </w:tcMar>
            <w:vAlign w:val="center"/>
          </w:tcPr>
          <w:p>
            <w:pPr>
              <w:spacing w:after="0"/>
            </w:pPr>
            <w:r>
              <w:rPr>
                <w:rFonts w:ascii="Arial" w:hAnsi="Arial"/>
                <w:b/>
                <w:color w:val="FFFFFF"/>
                <w:sz w:val="16"/>
              </w:rPr>
              <w:t>Disposition</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Static-analysis tool</w:t>
            </w:r>
          </w:p>
        </w:tc>
        <w:tc>
          <w:tcPr>
            <w:tcW w:type="dxa" w:w="1800"/>
            <w:tcMar>
              <w:top w:w="85" w:type="dxa"/>
              <w:start w:w="120" w:type="dxa"/>
              <w:bottom w:w="85" w:type="dxa"/>
              <w:end w:w="120" w:type="dxa"/>
            </w:tcMar>
            <w:vAlign w:val="center"/>
          </w:tcPr>
          <w:p>
            <w:pPr>
              <w:spacing w:after="0"/>
            </w:pPr>
            <w:r>
              <w:rPr>
                <w:rFonts w:ascii="Arial" w:hAnsi="Arial"/>
                <w:color w:val="2A2D34"/>
                <w:sz w:val="15"/>
              </w:rPr>
              <w:t>Solhint</w:t>
            </w:r>
          </w:p>
        </w:tc>
        <w:tc>
          <w:tcPr>
            <w:tcW w:type="dxa" w:w="5100"/>
            <w:tcMar>
              <w:top w:w="85" w:type="dxa"/>
              <w:start w:w="120" w:type="dxa"/>
              <w:bottom w:w="85" w:type="dxa"/>
              <w:end w:w="120" w:type="dxa"/>
            </w:tcMar>
            <w:vAlign w:val="center"/>
          </w:tcPr>
          <w:p>
            <w:pPr>
              <w:spacing w:after="0"/>
            </w:pPr>
            <w:r>
              <w:rPr>
                <w:rFonts w:ascii="Arial" w:hAnsi="Arial"/>
                <w:color w:val="2A2D34"/>
                <w:sz w:val="15"/>
              </w:rPr>
              <w:t>Bound toolchain</w:t>
            </w:r>
          </w:p>
        </w:tc>
      </w:tr>
      <w:tr>
        <w:tc>
          <w:tcPr>
            <w:tcW w:type="dxa" w:w="2100"/>
            <w:tcMar>
              <w:top w:w="85" w:type="dxa"/>
              <w:start w:w="120" w:type="dxa"/>
              <w:bottom w:w="85" w:type="dxa"/>
              <w:end w:w="120" w:type="dxa"/>
            </w:tcMar>
            <w:shd w:fill="F4F5F7"/>
            <w:vAlign w:val="center"/>
          </w:tcPr>
          <w:p>
            <w:pPr>
              <w:spacing w:after="0"/>
            </w:pPr>
            <w:r>
              <w:rPr>
                <w:rFonts w:ascii="Arial" w:hAnsi="Arial"/>
                <w:color w:val="2A2D34"/>
                <w:sz w:val="15"/>
              </w:rPr>
              <w:t>Reported source findings</w:t>
            </w:r>
          </w:p>
        </w:tc>
        <w:tc>
          <w:tcPr>
            <w:tcW w:type="dxa" w:w="1800"/>
            <w:tcMar>
              <w:top w:w="85" w:type="dxa"/>
              <w:start w:w="120" w:type="dxa"/>
              <w:bottom w:w="85" w:type="dxa"/>
              <w:end w:w="120" w:type="dxa"/>
            </w:tcMar>
            <w:shd w:fill="F4F5F7"/>
            <w:vAlign w:val="center"/>
          </w:tcPr>
          <w:p>
            <w:pPr>
              <w:spacing w:after="0"/>
            </w:pPr>
            <w:r>
              <w:rPr>
                <w:rFonts w:ascii="Arial" w:hAnsi="Arial"/>
                <w:color w:val="2A2D34"/>
                <w:sz w:val="15"/>
              </w:rPr>
              <w:t>0</w:t>
            </w:r>
          </w:p>
        </w:tc>
        <w:tc>
          <w:tcPr>
            <w:tcW w:type="dxa" w:w="5100"/>
            <w:tcMar>
              <w:top w:w="85" w:type="dxa"/>
              <w:start w:w="120" w:type="dxa"/>
              <w:bottom w:w="85" w:type="dxa"/>
              <w:end w:w="120" w:type="dxa"/>
            </w:tcMar>
            <w:shd w:fill="F4F5F7"/>
            <w:vAlign w:val="center"/>
          </w:tcPr>
          <w:p>
            <w:pPr>
              <w:spacing w:after="0"/>
            </w:pPr>
            <w:r>
              <w:rPr>
                <w:rFonts w:ascii="Arial" w:hAnsi="Arial"/>
                <w:color w:val="2A2D34"/>
                <w:sz w:val="15"/>
              </w:rPr>
              <w:t>Frozen execution</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Dev-toolchain advisories</w:t>
            </w:r>
          </w:p>
        </w:tc>
        <w:tc>
          <w:tcPr>
            <w:tcW w:type="dxa" w:w="1800"/>
            <w:tcMar>
              <w:top w:w="85" w:type="dxa"/>
              <w:start w:w="120" w:type="dxa"/>
              <w:bottom w:w="85" w:type="dxa"/>
              <w:end w:w="120" w:type="dxa"/>
            </w:tcMar>
            <w:vAlign w:val="center"/>
          </w:tcPr>
          <w:p>
            <w:pPr>
              <w:spacing w:after="0"/>
            </w:pPr>
            <w:r>
              <w:rPr>
                <w:rFonts w:ascii="Arial" w:hAnsi="Arial"/>
                <w:color w:val="2A2D34"/>
                <w:sz w:val="15"/>
              </w:rPr>
              <w:t>27</w:t>
            </w:r>
          </w:p>
        </w:tc>
        <w:tc>
          <w:tcPr>
            <w:tcW w:type="dxa" w:w="5100"/>
            <w:tcMar>
              <w:top w:w="85" w:type="dxa"/>
              <w:start w:w="120" w:type="dxa"/>
              <w:bottom w:w="85" w:type="dxa"/>
              <w:end w:w="120" w:type="dxa"/>
            </w:tcMar>
            <w:vAlign w:val="center"/>
          </w:tcPr>
          <w:p>
            <w:pPr>
              <w:spacing w:after="0"/>
            </w:pPr>
            <w:r>
              <w:rPr>
                <w:rFonts w:ascii="Arial" w:hAnsi="Arial"/>
                <w:color w:val="2A2D34"/>
                <w:sz w:val="15"/>
              </w:rPr>
              <w:t>Dev-only triage complete</w:t>
            </w:r>
          </w:p>
        </w:tc>
      </w:tr>
      <w:tr>
        <w:tc>
          <w:tcPr>
            <w:tcW w:type="dxa" w:w="2100"/>
            <w:tcMar>
              <w:top w:w="85" w:type="dxa"/>
              <w:start w:w="120" w:type="dxa"/>
              <w:bottom w:w="85" w:type="dxa"/>
              <w:end w:w="120" w:type="dxa"/>
            </w:tcMar>
            <w:shd w:fill="F4F5F7"/>
            <w:vAlign w:val="center"/>
          </w:tcPr>
          <w:p>
            <w:pPr>
              <w:spacing w:after="0"/>
            </w:pPr>
            <w:r>
              <w:rPr>
                <w:rFonts w:ascii="Arial" w:hAnsi="Arial"/>
                <w:color w:val="2A2D34"/>
                <w:sz w:val="15"/>
              </w:rPr>
              <w:t>Release posture</w:t>
            </w:r>
          </w:p>
        </w:tc>
        <w:tc>
          <w:tcPr>
            <w:tcW w:type="dxa" w:w="1800"/>
            <w:tcMar>
              <w:top w:w="85" w:type="dxa"/>
              <w:start w:w="120" w:type="dxa"/>
              <w:bottom w:w="85" w:type="dxa"/>
              <w:end w:w="120" w:type="dxa"/>
            </w:tcMar>
            <w:shd w:fill="F4F5F7"/>
            <w:vAlign w:val="center"/>
          </w:tcPr>
          <w:p>
            <w:pPr>
              <w:spacing w:after="0"/>
            </w:pPr>
            <w:r>
              <w:rPr>
                <w:rFonts w:ascii="Arial" w:hAnsi="Arial"/>
                <w:color w:val="2A2D34"/>
                <w:sz w:val="15"/>
              </w:rPr>
              <w:t>NO OPEN FINDINGS IN CURRENT REGISTER</w:t>
            </w:r>
          </w:p>
        </w:tc>
        <w:tc>
          <w:tcPr>
            <w:tcW w:type="dxa" w:w="5100"/>
            <w:tcMar>
              <w:top w:w="85" w:type="dxa"/>
              <w:start w:w="120" w:type="dxa"/>
              <w:bottom w:w="85" w:type="dxa"/>
              <w:end w:w="120" w:type="dxa"/>
            </w:tcMar>
            <w:shd w:fill="F4F5F7"/>
            <w:vAlign w:val="center"/>
          </w:tcPr>
          <w:p>
            <w:pPr>
              <w:spacing w:after="0"/>
            </w:pPr>
            <w:r>
              <w:rPr>
                <w:rFonts w:ascii="Arial" w:hAnsi="Arial"/>
                <w:color w:val="2A2D34"/>
                <w:sz w:val="15"/>
              </w:rPr>
              <w:t>0 blocker(s)</w:t>
            </w:r>
          </w:p>
        </w:tc>
      </w:tr>
    </w:tbl>
    <w:p>
      <w:pPr>
        <w:spacing w:before="140" w:after="80"/>
      </w:pPr>
      <w:r>
        <w:rPr>
          <w:rFonts w:ascii="Arial" w:hAnsi="Arial"/>
          <w:b/>
          <w:color w:val="D73454"/>
          <w:sz w:val="16"/>
        </w:rPr>
        <w:t>DISPOSITION QUALITY CONTROLS</w:t>
      </w:r>
    </w:p>
    <w:p>
      <w:pPr>
        <w:keepLines/>
        <w:widowControl/>
      </w:pPr>
      <w:r>
        <w:t>The final frozen run executed Solhint successfully with 0 reported source findings. Production dependencies recorded zero advisories; 27 development-toolchain advisories were classified as dev-only and triaged without an unresolved critical finding.</w:t>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STATIC TOOL</w:t>
            </w:r>
          </w:p>
          <w:p>
            <w:pPr>
              <w:spacing w:after="0"/>
            </w:pPr>
            <w:r>
              <w:rPr>
                <w:rFonts w:ascii="Arial" w:hAnsi="Arial"/>
                <w:color w:val="2A2D34"/>
                <w:sz w:val="14"/>
              </w:rPr>
              <w:t>Solhint</w:t>
            </w:r>
          </w:p>
        </w:tc>
        <w:tc>
          <w:tcPr>
            <w:tcW w:type="dxa" w:w="2250"/>
            <w:tcMar>
              <w:top w:w="120" w:type="dxa"/>
              <w:start w:w="130" w:type="dxa"/>
              <w:bottom w:w="120" w:type="dxa"/>
              <w:end w:w="130" w:type="dxa"/>
            </w:tcMar>
            <w:shd w:fill="EAEDF2"/>
            <w:tcBorders>
              <w:top w:val="single" w:sz="22" w:color="E33F5E"/>
            </w:tcBorders>
          </w:tcPr>
          <w:p>
            <w:pPr>
              <w:spacing w:after="40"/>
            </w:pPr>
            <w:r>
              <w:rPr>
                <w:rFonts w:ascii="Arial" w:hAnsi="Arial"/>
                <w:b/>
                <w:color w:val="D73454"/>
                <w:sz w:val="14"/>
              </w:rPr>
              <w:t>SOURCE FINDINGS</w:t>
            </w:r>
          </w:p>
          <w:p>
            <w:pPr>
              <w:spacing w:after="0"/>
            </w:pPr>
            <w:r>
              <w:rPr>
                <w:rFonts w:ascii="Arial" w:hAnsi="Arial"/>
                <w:color w:val="2A2D34"/>
                <w:sz w:val="14"/>
              </w:rPr>
              <w:t>0</w:t>
            </w:r>
          </w:p>
        </w:tc>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PRODUCTION ADVISORIES</w:t>
            </w:r>
          </w:p>
          <w:p>
            <w:pPr>
              <w:spacing w:after="0"/>
            </w:pPr>
            <w:r>
              <w:rPr>
                <w:rFonts w:ascii="Arial" w:hAnsi="Arial"/>
                <w:color w:val="2A2D34"/>
                <w:sz w:val="14"/>
              </w:rPr>
              <w:t>0</w:t>
            </w:r>
          </w:p>
        </w:tc>
        <w:tc>
          <w:tcPr>
            <w:tcW w:type="dxa" w:w="2250"/>
            <w:tcMar>
              <w:top w:w="120" w:type="dxa"/>
              <w:start w:w="130" w:type="dxa"/>
              <w:bottom w:w="120" w:type="dxa"/>
              <w:end w:w="130" w:type="dxa"/>
            </w:tcMar>
            <w:shd w:fill="EAEDF2"/>
            <w:tcBorders>
              <w:top w:val="single" w:sz="22" w:color="17191F"/>
            </w:tcBorders>
          </w:tcPr>
          <w:p>
            <w:pPr>
              <w:spacing w:after="40"/>
            </w:pPr>
            <w:r>
              <w:rPr>
                <w:rFonts w:ascii="Arial" w:hAnsi="Arial"/>
                <w:b/>
                <w:color w:val="D73454"/>
                <w:sz w:val="14"/>
              </w:rPr>
              <w:t>DEV ADVISORIES</w:t>
            </w:r>
          </w:p>
          <w:p>
            <w:pPr>
              <w:spacing w:after="0"/>
            </w:pPr>
            <w:r>
              <w:rPr>
                <w:rFonts w:ascii="Arial" w:hAnsi="Arial"/>
                <w:color w:val="2A2D34"/>
                <w:sz w:val="14"/>
              </w:rPr>
              <w:t>27 triaged</w:t>
            </w:r>
          </w:p>
        </w:tc>
      </w:tr>
    </w:tbl>
    <w:p>
      <w:r>
        <w:br w:type="page"/>
      </w:r>
    </w:p>
    <w:p>
      <w:pPr>
        <w:pStyle w:val="Kicker"/>
      </w:pPr>
      <w:r>
        <w:t>VERIFICATION</w:t>
      </w:r>
    </w:p>
    <w:p>
      <w:pPr>
        <w:pStyle w:val="Heading1"/>
      </w:pPr>
      <w:r>
        <w:t>Dependencies and Supply-Chain Risk</w:t>
      </w:r>
    </w:p>
    <w:p>
      <w:pPr>
        <w:spacing w:after="200" w:line="96" w:lineRule="auto"/>
      </w:pPr>
      <w:r>
        <w:rPr>
          <w:rFonts w:ascii="Arial" w:hAnsi="Arial"/>
          <w:color w:val="E03E5B"/>
          <w:sz w:val="12"/>
        </w:rPr>
        <w:t>━━━━━━━━━━━━━━━━━━━━━━━━━━━━━━━━━━━━━━━━━━━━━━━━━━━━━━━━━━━━</w:t>
      </w:r>
    </w:p>
    <w:p>
      <w:pPr>
        <w:keepLines/>
        <w:widowControl/>
      </w:pPr>
      <w:r>
        <w:t>The production dependency surface is intentionally small. OpenZeppelin Contracts provides standard access, reentrancy and token-transfer components. Runtime behavior also depends on configured ERC-20 tokens and Chainlink-compatible feeds.</w:t>
      </w:r>
    </w:p>
    <w:p>
      <w:pPr>
        <w:keepLines/>
        <w:widowControl/>
      </w:pPr>
      <w:r>
        <w:t>The current evidence context records 0 known production npm advisories. The dependency inventory itself remains bound to the evidence manifest and is not duplicated as a fixed report total.</w:t>
      </w:r>
    </w:p>
    <w:tbl>
      <w:tblPr>
        <w:tblW w:type="auto" w:w="0"/>
        <w:jc w:val="center"/>
        <w:tblLayout w:type="fixed"/>
        <w:tblLook w:firstColumn="1" w:firstRow="1" w:lastColumn="0" w:lastRow="0" w:noHBand="0" w:noVBand="1" w:val="04A0"/>
      </w:tblPr>
      <w:tblGrid>
        <w:gridCol w:w="2537"/>
        <w:gridCol w:w="2537"/>
        <w:gridCol w:w="2537"/>
        <w:gridCol w:w="2537"/>
      </w:tblGrid>
      <w:tr>
        <w:trPr>
          <w:tblHeader w:val="true"/>
        </w:trPr>
        <w:tc>
          <w:tcPr>
            <w:tcW w:type="dxa" w:w="950"/>
            <w:shd w:fill="17191F"/>
            <w:tcMar>
              <w:top w:w="100" w:type="dxa"/>
              <w:start w:w="120" w:type="dxa"/>
              <w:bottom w:w="100" w:type="dxa"/>
              <w:end w:w="120" w:type="dxa"/>
            </w:tcMar>
            <w:vAlign w:val="center"/>
          </w:tcPr>
          <w:p>
            <w:pPr>
              <w:spacing w:after="0"/>
            </w:pPr>
            <w:r>
              <w:rPr>
                <w:rFonts w:ascii="Arial" w:hAnsi="Arial"/>
                <w:b/>
                <w:color w:val="FFFFFF"/>
                <w:sz w:val="16"/>
              </w:rPr>
              <w:t>Dependency</w:t>
            </w:r>
          </w:p>
        </w:tc>
        <w:tc>
          <w:tcPr>
            <w:tcW w:type="dxa" w:w="1050"/>
            <w:shd w:fill="17191F"/>
            <w:tcMar>
              <w:top w:w="100" w:type="dxa"/>
              <w:start w:w="120" w:type="dxa"/>
              <w:bottom w:w="100" w:type="dxa"/>
              <w:end w:w="120" w:type="dxa"/>
            </w:tcMar>
            <w:vAlign w:val="center"/>
          </w:tcPr>
          <w:p>
            <w:pPr>
              <w:spacing w:after="0"/>
            </w:pPr>
            <w:r>
              <w:rPr>
                <w:rFonts w:ascii="Arial" w:hAnsi="Arial"/>
                <w:b/>
                <w:color w:val="FFFFFF"/>
                <w:sz w:val="16"/>
              </w:rPr>
              <w:t>Version / binding</w:t>
            </w:r>
          </w:p>
        </w:tc>
        <w:tc>
          <w:tcPr>
            <w:tcW w:type="dxa" w:w="2050"/>
            <w:shd w:fill="17191F"/>
            <w:tcMar>
              <w:top w:w="100" w:type="dxa"/>
              <w:start w:w="120" w:type="dxa"/>
              <w:bottom w:w="100" w:type="dxa"/>
              <w:end w:w="120" w:type="dxa"/>
            </w:tcMar>
            <w:vAlign w:val="center"/>
          </w:tcPr>
          <w:p>
            <w:pPr>
              <w:spacing w:after="0"/>
            </w:pPr>
            <w:r>
              <w:rPr>
                <w:rFonts w:ascii="Arial" w:hAnsi="Arial"/>
                <w:b/>
                <w:color w:val="FFFFFF"/>
                <w:sz w:val="16"/>
              </w:rPr>
              <w:t>Class</w:t>
            </w:r>
          </w:p>
        </w:tc>
        <w:tc>
          <w:tcPr>
            <w:tcW w:type="dxa" w:w="4950"/>
            <w:shd w:fill="17191F"/>
            <w:tcMar>
              <w:top w:w="100" w:type="dxa"/>
              <w:start w:w="120" w:type="dxa"/>
              <w:bottom w:w="100" w:type="dxa"/>
              <w:end w:w="120" w:type="dxa"/>
            </w:tcMar>
            <w:vAlign w:val="center"/>
          </w:tcPr>
          <w:p>
            <w:pPr>
              <w:spacing w:after="0"/>
            </w:pPr>
            <w:r>
              <w:rPr>
                <w:rFonts w:ascii="Arial" w:hAnsi="Arial"/>
                <w:b/>
                <w:color w:val="FFFFFF"/>
                <w:sz w:val="16"/>
              </w:rPr>
              <w:t>Control</w:t>
            </w:r>
          </w:p>
        </w:tc>
      </w:tr>
      <w:tr>
        <w:tc>
          <w:tcPr>
            <w:tcW w:type="dxa" w:w="950"/>
            <w:tcMar>
              <w:top w:w="85" w:type="dxa"/>
              <w:start w:w="120" w:type="dxa"/>
              <w:bottom w:w="85" w:type="dxa"/>
              <w:end w:w="120" w:type="dxa"/>
            </w:tcMar>
            <w:vAlign w:val="center"/>
          </w:tcPr>
          <w:p>
            <w:pPr>
              <w:spacing w:after="0"/>
            </w:pPr>
            <w:r>
              <w:rPr>
                <w:rFonts w:ascii="Arial" w:hAnsi="Arial"/>
                <w:color w:val="2A2D34"/>
                <w:sz w:val="15"/>
              </w:rPr>
              <w:t>@openzeppelin/contracts</w:t>
            </w:r>
          </w:p>
        </w:tc>
        <w:tc>
          <w:tcPr>
            <w:tcW w:type="dxa" w:w="1050"/>
            <w:tcMar>
              <w:top w:w="85" w:type="dxa"/>
              <w:start w:w="120" w:type="dxa"/>
              <w:bottom w:w="85" w:type="dxa"/>
              <w:end w:w="120" w:type="dxa"/>
            </w:tcMar>
            <w:vAlign w:val="center"/>
          </w:tcPr>
          <w:p>
            <w:pPr>
              <w:spacing w:after="0"/>
            </w:pPr>
            <w:r>
              <w:rPr>
                <w:rFonts w:ascii="Arial" w:hAnsi="Arial"/>
                <w:color w:val="2A2D34"/>
                <w:sz w:val="15"/>
              </w:rPr>
              <w:t>Manifest-bound</w:t>
            </w:r>
          </w:p>
        </w:tc>
        <w:tc>
          <w:tcPr>
            <w:tcW w:type="dxa" w:w="2050"/>
            <w:tcMar>
              <w:top w:w="85" w:type="dxa"/>
              <w:start w:w="120" w:type="dxa"/>
              <w:bottom w:w="85" w:type="dxa"/>
              <w:end w:w="120" w:type="dxa"/>
            </w:tcMar>
            <w:vAlign w:val="center"/>
          </w:tcPr>
          <w:p>
            <w:pPr>
              <w:spacing w:after="0"/>
            </w:pPr>
            <w:r>
              <w:rPr>
                <w:rFonts w:ascii="Arial" w:hAnsi="Arial"/>
                <w:color w:val="2A2D34"/>
                <w:sz w:val="15"/>
              </w:rPr>
              <w:t>Production</w:t>
            </w:r>
          </w:p>
        </w:tc>
        <w:tc>
          <w:tcPr>
            <w:tcW w:type="dxa" w:w="4950"/>
            <w:tcMar>
              <w:top w:w="85" w:type="dxa"/>
              <w:start w:w="120" w:type="dxa"/>
              <w:bottom w:w="85" w:type="dxa"/>
              <w:end w:w="120" w:type="dxa"/>
            </w:tcMar>
            <w:vAlign w:val="center"/>
          </w:tcPr>
          <w:p>
            <w:pPr>
              <w:spacing w:after="0"/>
            </w:pPr>
            <w:r>
              <w:rPr>
                <w:rFonts w:ascii="Arial" w:hAnsi="Arial"/>
                <w:color w:val="2A2D34"/>
                <w:sz w:val="15"/>
              </w:rPr>
              <w:t>0 known advisories in current scan</w:t>
            </w:r>
          </w:p>
        </w:tc>
      </w:tr>
      <w:tr>
        <w:tc>
          <w:tcPr>
            <w:tcW w:type="dxa" w:w="950"/>
            <w:tcMar>
              <w:top w:w="85" w:type="dxa"/>
              <w:start w:w="120" w:type="dxa"/>
              <w:bottom w:w="85" w:type="dxa"/>
              <w:end w:w="120" w:type="dxa"/>
            </w:tcMar>
            <w:shd w:fill="F4F5F7"/>
            <w:vAlign w:val="center"/>
          </w:tcPr>
          <w:p>
            <w:pPr>
              <w:spacing w:after="0"/>
            </w:pPr>
            <w:r>
              <w:rPr>
                <w:rFonts w:ascii="Arial" w:hAnsi="Arial"/>
                <w:color w:val="2A2D34"/>
                <w:sz w:val="15"/>
              </w:rPr>
              <w:t>Hardhat</w:t>
            </w:r>
          </w:p>
        </w:tc>
        <w:tc>
          <w:tcPr>
            <w:tcW w:type="dxa" w:w="1050"/>
            <w:tcMar>
              <w:top w:w="85" w:type="dxa"/>
              <w:start w:w="120" w:type="dxa"/>
              <w:bottom w:w="85" w:type="dxa"/>
              <w:end w:w="120" w:type="dxa"/>
            </w:tcMar>
            <w:shd w:fill="F4F5F7"/>
            <w:vAlign w:val="center"/>
          </w:tcPr>
          <w:p>
            <w:pPr>
              <w:spacing w:after="0"/>
            </w:pPr>
            <w:r>
              <w:rPr>
                <w:rFonts w:ascii="Arial" w:hAnsi="Arial"/>
                <w:color w:val="2A2D34"/>
                <w:sz w:val="15"/>
              </w:rPr>
              <w:t>2.29.0</w:t>
            </w:r>
          </w:p>
        </w:tc>
        <w:tc>
          <w:tcPr>
            <w:tcW w:type="dxa" w:w="2050"/>
            <w:tcMar>
              <w:top w:w="85" w:type="dxa"/>
              <w:start w:w="120" w:type="dxa"/>
              <w:bottom w:w="85" w:type="dxa"/>
              <w:end w:w="120" w:type="dxa"/>
            </w:tcMar>
            <w:shd w:fill="F4F5F7"/>
            <w:vAlign w:val="center"/>
          </w:tcPr>
          <w:p>
            <w:pPr>
              <w:spacing w:after="0"/>
            </w:pPr>
            <w:r>
              <w:rPr>
                <w:rFonts w:ascii="Arial" w:hAnsi="Arial"/>
                <w:color w:val="2A2D34"/>
                <w:sz w:val="15"/>
              </w:rPr>
              <w:t>Development</w:t>
            </w:r>
          </w:p>
        </w:tc>
        <w:tc>
          <w:tcPr>
            <w:tcW w:type="dxa" w:w="4950"/>
            <w:tcMar>
              <w:top w:w="85" w:type="dxa"/>
              <w:start w:w="120" w:type="dxa"/>
              <w:bottom w:w="85" w:type="dxa"/>
              <w:end w:w="120" w:type="dxa"/>
            </w:tcMar>
            <w:shd w:fill="F4F5F7"/>
            <w:vAlign w:val="center"/>
          </w:tcPr>
          <w:p>
            <w:pPr>
              <w:spacing w:after="0"/>
            </w:pPr>
            <w:r>
              <w:rPr>
                <w:rFonts w:ascii="Arial" w:hAnsi="Arial"/>
                <w:color w:val="2A2D34"/>
                <w:sz w:val="15"/>
              </w:rPr>
              <w:t>Compilation and tests</w:t>
            </w:r>
          </w:p>
        </w:tc>
      </w:tr>
      <w:tr>
        <w:tc>
          <w:tcPr>
            <w:tcW w:type="dxa" w:w="950"/>
            <w:tcMar>
              <w:top w:w="85" w:type="dxa"/>
              <w:start w:w="120" w:type="dxa"/>
              <w:bottom w:w="85" w:type="dxa"/>
              <w:end w:w="120" w:type="dxa"/>
            </w:tcMar>
            <w:vAlign w:val="center"/>
          </w:tcPr>
          <w:p>
            <w:pPr>
              <w:spacing w:after="0"/>
            </w:pPr>
            <w:r>
              <w:rPr>
                <w:rFonts w:ascii="Arial" w:hAnsi="Arial"/>
                <w:color w:val="2A2D34"/>
                <w:sz w:val="15"/>
              </w:rPr>
              <w:t>ethers</w:t>
            </w:r>
          </w:p>
        </w:tc>
        <w:tc>
          <w:tcPr>
            <w:tcW w:type="dxa" w:w="1050"/>
            <w:tcMar>
              <w:top w:w="85" w:type="dxa"/>
              <w:start w:w="120" w:type="dxa"/>
              <w:bottom w:w="85" w:type="dxa"/>
              <w:end w:w="120" w:type="dxa"/>
            </w:tcMar>
            <w:vAlign w:val="center"/>
          </w:tcPr>
          <w:p>
            <w:pPr>
              <w:spacing w:after="0"/>
            </w:pPr>
            <w:r>
              <w:rPr>
                <w:rFonts w:ascii="Arial" w:hAnsi="Arial"/>
                <w:color w:val="2A2D34"/>
                <w:sz w:val="15"/>
              </w:rPr>
              <w:t>6.17.0</w:t>
            </w:r>
          </w:p>
        </w:tc>
        <w:tc>
          <w:tcPr>
            <w:tcW w:type="dxa" w:w="2050"/>
            <w:tcMar>
              <w:top w:w="85" w:type="dxa"/>
              <w:start w:w="120" w:type="dxa"/>
              <w:bottom w:w="85" w:type="dxa"/>
              <w:end w:w="120" w:type="dxa"/>
            </w:tcMar>
            <w:vAlign w:val="center"/>
          </w:tcPr>
          <w:p>
            <w:pPr>
              <w:spacing w:after="0"/>
            </w:pPr>
            <w:r>
              <w:rPr>
                <w:rFonts w:ascii="Arial" w:hAnsi="Arial"/>
                <w:color w:val="2A2D34"/>
                <w:sz w:val="15"/>
              </w:rPr>
              <w:t>Development / deployment</w:t>
            </w:r>
          </w:p>
        </w:tc>
        <w:tc>
          <w:tcPr>
            <w:tcW w:type="dxa" w:w="4950"/>
            <w:tcMar>
              <w:top w:w="85" w:type="dxa"/>
              <w:start w:w="120" w:type="dxa"/>
              <w:bottom w:w="85" w:type="dxa"/>
              <w:end w:w="120" w:type="dxa"/>
            </w:tcMar>
            <w:vAlign w:val="center"/>
          </w:tcPr>
          <w:p>
            <w:pPr>
              <w:spacing w:after="0"/>
            </w:pPr>
            <w:r>
              <w:rPr>
                <w:rFonts w:ascii="Arial" w:hAnsi="Arial"/>
                <w:color w:val="2A2D34"/>
                <w:sz w:val="15"/>
              </w:rPr>
              <w:t>Address and evidence checks</w:t>
            </w:r>
          </w:p>
        </w:tc>
      </w:tr>
      <w:tr>
        <w:tc>
          <w:tcPr>
            <w:tcW w:type="dxa" w:w="950"/>
            <w:tcMar>
              <w:top w:w="85" w:type="dxa"/>
              <w:start w:w="120" w:type="dxa"/>
              <w:bottom w:w="85" w:type="dxa"/>
              <w:end w:w="120" w:type="dxa"/>
            </w:tcMar>
            <w:shd w:fill="F4F5F7"/>
            <w:vAlign w:val="center"/>
          </w:tcPr>
          <w:p>
            <w:pPr>
              <w:spacing w:after="0"/>
            </w:pPr>
            <w:r>
              <w:rPr>
                <w:rFonts w:ascii="Arial" w:hAnsi="Arial"/>
                <w:color w:val="2A2D34"/>
                <w:sz w:val="15"/>
              </w:rPr>
              <w:t>External tokens</w:t>
            </w:r>
          </w:p>
        </w:tc>
        <w:tc>
          <w:tcPr>
            <w:tcW w:type="dxa" w:w="1050"/>
            <w:tcMar>
              <w:top w:w="85" w:type="dxa"/>
              <w:start w:w="120" w:type="dxa"/>
              <w:bottom w:w="85" w:type="dxa"/>
              <w:end w:w="120" w:type="dxa"/>
            </w:tcMar>
            <w:shd w:fill="F4F5F7"/>
            <w:vAlign w:val="center"/>
          </w:tcPr>
          <w:p>
            <w:pPr>
              <w:spacing w:after="0"/>
            </w:pPr>
            <w:r>
              <w:rPr>
                <w:rFonts w:ascii="Arial" w:hAnsi="Arial"/>
                <w:color w:val="2A2D34"/>
                <w:sz w:val="15"/>
              </w:rPr>
              <w:t>Address-bound</w:t>
            </w:r>
          </w:p>
        </w:tc>
        <w:tc>
          <w:tcPr>
            <w:tcW w:type="dxa" w:w="2050"/>
            <w:tcMar>
              <w:top w:w="85" w:type="dxa"/>
              <w:start w:w="120" w:type="dxa"/>
              <w:bottom w:w="85" w:type="dxa"/>
              <w:end w:w="120" w:type="dxa"/>
            </w:tcMar>
            <w:shd w:fill="F4F5F7"/>
            <w:vAlign w:val="center"/>
          </w:tcPr>
          <w:p>
            <w:pPr>
              <w:spacing w:after="0"/>
            </w:pPr>
            <w:r>
              <w:rPr>
                <w:rFonts w:ascii="Arial" w:hAnsi="Arial"/>
                <w:color w:val="2A2D34"/>
                <w:sz w:val="15"/>
              </w:rPr>
              <w:t>Out of source scope</w:t>
            </w:r>
          </w:p>
        </w:tc>
        <w:tc>
          <w:tcPr>
            <w:tcW w:type="dxa" w:w="4950"/>
            <w:tcMar>
              <w:top w:w="85" w:type="dxa"/>
              <w:start w:w="120" w:type="dxa"/>
              <w:bottom w:w="85" w:type="dxa"/>
              <w:end w:w="120" w:type="dxa"/>
            </w:tcMar>
            <w:shd w:fill="F4F5F7"/>
            <w:vAlign w:val="center"/>
          </w:tcPr>
          <w:p>
            <w:pPr>
              <w:spacing w:after="0"/>
            </w:pPr>
            <w:r>
              <w:rPr>
                <w:rFonts w:ascii="Arial" w:hAnsi="Arial"/>
                <w:color w:val="2A2D34"/>
                <w:sz w:val="15"/>
              </w:rPr>
              <w:t>Interface and transfer behavior checked</w:t>
            </w:r>
          </w:p>
        </w:tc>
      </w:tr>
      <w:tr>
        <w:tc>
          <w:tcPr>
            <w:tcW w:type="dxa" w:w="950"/>
            <w:tcMar>
              <w:top w:w="85" w:type="dxa"/>
              <w:start w:w="120" w:type="dxa"/>
              <w:bottom w:w="85" w:type="dxa"/>
              <w:end w:w="120" w:type="dxa"/>
            </w:tcMar>
            <w:vAlign w:val="center"/>
          </w:tcPr>
          <w:p>
            <w:pPr>
              <w:spacing w:after="0"/>
            </w:pPr>
            <w:r>
              <w:rPr>
                <w:rFonts w:ascii="Arial" w:hAnsi="Arial"/>
                <w:color w:val="2A2D34"/>
                <w:sz w:val="15"/>
              </w:rPr>
              <w:t>Oracle feeds</w:t>
            </w:r>
          </w:p>
        </w:tc>
        <w:tc>
          <w:tcPr>
            <w:tcW w:type="dxa" w:w="1050"/>
            <w:tcMar>
              <w:top w:w="85" w:type="dxa"/>
              <w:start w:w="120" w:type="dxa"/>
              <w:bottom w:w="85" w:type="dxa"/>
              <w:end w:w="120" w:type="dxa"/>
            </w:tcMar>
            <w:vAlign w:val="center"/>
          </w:tcPr>
          <w:p>
            <w:pPr>
              <w:spacing w:after="0"/>
            </w:pPr>
            <w:r>
              <w:rPr>
                <w:rFonts w:ascii="Arial" w:hAnsi="Arial"/>
                <w:color w:val="2A2D34"/>
                <w:sz w:val="15"/>
              </w:rPr>
              <w:t>Address-bound</w:t>
            </w:r>
          </w:p>
        </w:tc>
        <w:tc>
          <w:tcPr>
            <w:tcW w:type="dxa" w:w="2050"/>
            <w:tcMar>
              <w:top w:w="85" w:type="dxa"/>
              <w:start w:w="120" w:type="dxa"/>
              <w:bottom w:w="85" w:type="dxa"/>
              <w:end w:w="120" w:type="dxa"/>
            </w:tcMar>
            <w:vAlign w:val="center"/>
          </w:tcPr>
          <w:p>
            <w:pPr>
              <w:spacing w:after="0"/>
            </w:pPr>
            <w:r>
              <w:rPr>
                <w:rFonts w:ascii="Arial" w:hAnsi="Arial"/>
                <w:color w:val="2A2D34"/>
                <w:sz w:val="15"/>
              </w:rPr>
              <w:t>Out of source scope</w:t>
            </w:r>
          </w:p>
        </w:tc>
        <w:tc>
          <w:tcPr>
            <w:tcW w:type="dxa" w:w="4950"/>
            <w:tcMar>
              <w:top w:w="85" w:type="dxa"/>
              <w:start w:w="120" w:type="dxa"/>
              <w:bottom w:w="85" w:type="dxa"/>
              <w:end w:w="120" w:type="dxa"/>
            </w:tcMar>
            <w:vAlign w:val="center"/>
          </w:tcPr>
          <w:p>
            <w:pPr>
              <w:spacing w:after="0"/>
            </w:pPr>
            <w:r>
              <w:rPr>
                <w:rFonts w:ascii="Arial" w:hAnsi="Arial"/>
                <w:color w:val="2A2D34"/>
                <w:sz w:val="15"/>
              </w:rPr>
              <w:t>On-chain data-quality controls</w:t>
            </w:r>
          </w:p>
        </w:tc>
      </w:tr>
    </w:tbl>
    <w:p>
      <w:pPr>
        <w:spacing w:before="140" w:after="80"/>
      </w:pPr>
      <w:r>
        <w:rPr>
          <w:rFonts w:ascii="Arial" w:hAnsi="Arial"/>
          <w:b/>
          <w:color w:val="D73454"/>
          <w:sz w:val="16"/>
        </w:rPr>
        <w:t>SUPPLY-CHAIN GATE</w:t>
      </w:r>
    </w:p>
    <w:p>
      <w:pPr>
        <w:keepLines/>
        <w:widowControl/>
      </w:pPr>
      <w:r>
        <w:t>Release analysis pins package versions, inventories production and development dependencies separately, checks known advisories and records external address bindings. Package-manager cleanliness cannot validate an on-chain token or feed implementation, so deployment evidence must additionally verify chain, runtime code, decimals, feed metadata and approved endpoints. A changed lockfile or address binding requires a new dependency analysis.</w:t>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LOCKFILE</w:t>
            </w:r>
          </w:p>
          <w:p>
            <w:pPr>
              <w:spacing w:after="0"/>
            </w:pPr>
            <w:r>
              <w:rPr>
                <w:rFonts w:ascii="Arial" w:hAnsi="Arial"/>
                <w:color w:val="2A2D34"/>
                <w:sz w:val="14"/>
              </w:rPr>
              <w:t>Version integrity</w:t>
            </w:r>
          </w:p>
        </w:tc>
        <w:tc>
          <w:tcPr>
            <w:tcW w:type="dxa" w:w="2250"/>
            <w:tcMar>
              <w:top w:w="120" w:type="dxa"/>
              <w:start w:w="130" w:type="dxa"/>
              <w:bottom w:w="120" w:type="dxa"/>
              <w:end w:w="130" w:type="dxa"/>
            </w:tcMar>
            <w:shd w:fill="EAEDF2"/>
            <w:tcBorders>
              <w:top w:val="single" w:sz="22" w:color="E33F5E"/>
            </w:tcBorders>
          </w:tcPr>
          <w:p>
            <w:pPr>
              <w:spacing w:after="40"/>
            </w:pPr>
            <w:r>
              <w:rPr>
                <w:rFonts w:ascii="Arial" w:hAnsi="Arial"/>
                <w:b/>
                <w:color w:val="D73454"/>
                <w:sz w:val="14"/>
              </w:rPr>
              <w:t>ADVISORIES</w:t>
            </w:r>
          </w:p>
          <w:p>
            <w:pPr>
              <w:spacing w:after="0"/>
            </w:pPr>
            <w:r>
              <w:rPr>
                <w:rFonts w:ascii="Arial" w:hAnsi="Arial"/>
                <w:color w:val="2A2D34"/>
                <w:sz w:val="14"/>
              </w:rPr>
              <w:t>Production scan</w:t>
            </w:r>
          </w:p>
        </w:tc>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ON-CHAIN CODE</w:t>
            </w:r>
          </w:p>
          <w:p>
            <w:pPr>
              <w:spacing w:after="0"/>
            </w:pPr>
            <w:r>
              <w:rPr>
                <w:rFonts w:ascii="Arial" w:hAnsi="Arial"/>
                <w:color w:val="2A2D34"/>
                <w:sz w:val="14"/>
              </w:rPr>
              <w:t>Runtime verification</w:t>
            </w:r>
          </w:p>
        </w:tc>
        <w:tc>
          <w:tcPr>
            <w:tcW w:type="dxa" w:w="2250"/>
            <w:tcMar>
              <w:top w:w="120" w:type="dxa"/>
              <w:start w:w="130" w:type="dxa"/>
              <w:bottom w:w="120" w:type="dxa"/>
              <w:end w:w="130" w:type="dxa"/>
            </w:tcMar>
            <w:shd w:fill="EAEDF2"/>
            <w:tcBorders>
              <w:top w:val="single" w:sz="22" w:color="17191F"/>
            </w:tcBorders>
          </w:tcPr>
          <w:p>
            <w:pPr>
              <w:spacing w:after="40"/>
            </w:pPr>
            <w:r>
              <w:rPr>
                <w:rFonts w:ascii="Arial" w:hAnsi="Arial"/>
                <w:b/>
                <w:color w:val="D73454"/>
                <w:sz w:val="14"/>
              </w:rPr>
              <w:t>BINDINGS</w:t>
            </w:r>
          </w:p>
          <w:p>
            <w:pPr>
              <w:spacing w:after="0"/>
            </w:pPr>
            <w:r>
              <w:rPr>
                <w:rFonts w:ascii="Arial" w:hAnsi="Arial"/>
                <w:color w:val="2A2D34"/>
                <w:sz w:val="14"/>
              </w:rPr>
              <w:t>Approved addresses</w:t>
            </w:r>
          </w:p>
        </w:tc>
      </w:tr>
    </w:tbl>
    <w:p>
      <w:r>
        <w:br w:type="page"/>
      </w:r>
    </w:p>
    <w:p>
      <w:pPr>
        <w:pStyle w:val="Kicker"/>
      </w:pPr>
      <w:r>
        <w:t>OPERATIONS</w:t>
      </w:r>
    </w:p>
    <w:p>
      <w:pPr>
        <w:pStyle w:val="Heading1"/>
      </w:pPr>
      <w:r>
        <w:t>Deployment and Initialization Gates</w:t>
      </w:r>
    </w:p>
    <w:p>
      <w:pPr>
        <w:spacing w:after="200" w:line="96" w:lineRule="auto"/>
      </w:pPr>
      <w:r>
        <w:rPr>
          <w:rFonts w:ascii="Arial" w:hAnsi="Arial"/>
          <w:color w:val="E03E5B"/>
          <w:sz w:val="12"/>
        </w:rPr>
        <w:t>━━━━━━━━━━━━━━━━━━━━━━━━━━━━━━━━━━━━━━━━━━━━━━━━━━━━━━━━━━━━</w:t>
      </w:r>
    </w:p>
    <w:tbl>
      <w:tblPr>
        <w:tblW w:type="auto" w:w="0"/>
        <w:jc w:val="center"/>
        <w:tblLayout w:type="fixed"/>
        <w:tblLook w:firstColumn="1" w:firstRow="1" w:lastColumn="0" w:lastRow="0" w:noHBand="0" w:noVBand="1" w:val="04A0"/>
      </w:tblPr>
      <w:tblGrid>
        <w:gridCol w:w="10148"/>
      </w:tblGrid>
      <w:tr>
        <w:tc>
          <w:tcPr>
            <w:tcW w:type="dxa" w:w="9000"/>
            <w:tcMar>
              <w:top w:w="160" w:type="dxa"/>
              <w:start w:w="180" w:type="dxa"/>
              <w:bottom w:w="160" w:type="dxa"/>
              <w:end w:w="180" w:type="dxa"/>
            </w:tcMar>
            <w:shd w:fill="EEF2F8"/>
            <w:tcBorders>
              <w:left w:val="single" w:sz="28" w:color="E33F5E"/>
            </w:tcBorders>
          </w:tcPr>
          <w:p>
            <w:pPr>
              <w:spacing w:after="0"/>
            </w:pPr>
            <w:r>
              <w:rPr>
                <w:rFonts w:ascii="Arial" w:hAnsi="Arial"/>
                <w:b/>
                <w:color w:val="2A2D34"/>
                <w:sz w:val="18"/>
              </w:rPr>
              <w:t>NO OPEN FINDINGS IN CURRENT REGISTER: REPORT GENERATION DOES NOT CONVERT AN OPEN BLOCKER INTO CLOSURE.</w:t>
            </w:r>
          </w:p>
        </w:tc>
      </w:tr>
    </w:tbl>
    <w:p>
      <w:pPr>
        <w:spacing w:after="20"/>
      </w:pPr>
    </w:p>
    <w:p>
      <w:pPr>
        <w:keepLines/>
        <w:widowControl/>
      </w:pPr>
      <w:r>
        <w:t>The shared report context sets the current release posture to NO OPEN FINDINGS IN CURRENT REGISTER. This status overrides local pass counts and prevents the report from describing the package as release-ready.</w:t>
      </w:r>
    </w:p>
    <w:p>
      <w:pPr>
        <w:keepLines/>
        <w:widowControl/>
      </w:pPr>
      <w:r>
        <w:t>The open blockers below are rendered directly from the same context that supplies the evidence run, scope root, manifest, test totals and finding register. They require new evidence before closure. All 9 tracked source-level findings are remediated and verified in the final frozen source. Production deployment, address/bytecode binding and continuing operations remain separate assurance gates.</w:t>
      </w:r>
    </w:p>
    <w:tbl>
      <w:tblPr>
        <w:tblW w:type="auto" w:w="0"/>
        <w:jc w:val="center"/>
        <w:tblLayout w:type="fixed"/>
        <w:tblLook w:firstColumn="1" w:firstRow="1" w:lastColumn="0" w:lastRow="0" w:noHBand="0" w:noVBand="1" w:val="04A0"/>
      </w:tblPr>
      <w:tblGrid>
        <w:gridCol w:w="3383"/>
        <w:gridCol w:w="3383"/>
        <w:gridCol w:w="3383"/>
      </w:tblGrid>
      <w:tr>
        <w:trPr>
          <w:tblHeader w:val="true"/>
        </w:trPr>
        <w:tc>
          <w:tcPr>
            <w:tcW w:type="dxa" w:w="2100"/>
            <w:shd w:fill="17191F"/>
            <w:tcMar>
              <w:top w:w="100" w:type="dxa"/>
              <w:start w:w="120" w:type="dxa"/>
              <w:bottom w:w="100" w:type="dxa"/>
              <w:end w:w="120" w:type="dxa"/>
            </w:tcMar>
            <w:vAlign w:val="center"/>
          </w:tcPr>
          <w:p>
            <w:pPr>
              <w:spacing w:after="0"/>
            </w:pPr>
            <w:r>
              <w:rPr>
                <w:rFonts w:ascii="Arial" w:hAnsi="Arial"/>
                <w:b/>
                <w:color w:val="FFFFFF"/>
                <w:sz w:val="16"/>
              </w:rPr>
              <w:t>Blocker</w:t>
            </w:r>
          </w:p>
        </w:tc>
        <w:tc>
          <w:tcPr>
            <w:tcW w:type="dxa" w:w="1800"/>
            <w:shd w:fill="17191F"/>
            <w:tcMar>
              <w:top w:w="100" w:type="dxa"/>
              <w:start w:w="120" w:type="dxa"/>
              <w:bottom w:w="100" w:type="dxa"/>
              <w:end w:w="120" w:type="dxa"/>
            </w:tcMar>
            <w:vAlign w:val="center"/>
          </w:tcPr>
          <w:p>
            <w:pPr>
              <w:spacing w:after="0"/>
            </w:pPr>
            <w:r>
              <w:rPr>
                <w:rFonts w:ascii="Arial" w:hAnsi="Arial"/>
                <w:b/>
                <w:color w:val="FFFFFF"/>
                <w:sz w:val="16"/>
              </w:rPr>
              <w:t>Status</w:t>
            </w:r>
          </w:p>
        </w:tc>
        <w:tc>
          <w:tcPr>
            <w:tcW w:type="dxa" w:w="5100"/>
            <w:shd w:fill="17191F"/>
            <w:tcMar>
              <w:top w:w="100" w:type="dxa"/>
              <w:start w:w="120" w:type="dxa"/>
              <w:bottom w:w="100" w:type="dxa"/>
              <w:end w:w="120" w:type="dxa"/>
            </w:tcMar>
            <w:vAlign w:val="center"/>
          </w:tcPr>
          <w:p>
            <w:pPr>
              <w:spacing w:after="0"/>
            </w:pPr>
            <w:r>
              <w:rPr>
                <w:rFonts w:ascii="Arial" w:hAnsi="Arial"/>
                <w:b/>
                <w:color w:val="FFFFFF"/>
                <w:sz w:val="16"/>
              </w:rPr>
              <w:t>Current evidence gap</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REGISTER</w:t>
            </w:r>
          </w:p>
        </w:tc>
        <w:tc>
          <w:tcPr>
            <w:tcW w:type="dxa" w:w="1800"/>
            <w:tcMar>
              <w:top w:w="85" w:type="dxa"/>
              <w:start w:w="120" w:type="dxa"/>
              <w:bottom w:w="85" w:type="dxa"/>
              <w:end w:w="120" w:type="dxa"/>
            </w:tcMar>
            <w:vAlign w:val="center"/>
          </w:tcPr>
          <w:p>
            <w:pPr>
              <w:spacing w:after="0"/>
            </w:pPr>
            <w:r>
              <w:rPr>
                <w:rFonts w:ascii="Arial" w:hAnsi="Arial"/>
                <w:color w:val="2A2D34"/>
                <w:sz w:val="15"/>
              </w:rPr>
              <w:t>NO OPEN FINDINGS IN CURRENT REGISTER</w:t>
            </w:r>
          </w:p>
        </w:tc>
        <w:tc>
          <w:tcPr>
            <w:tcW w:type="dxa" w:w="5100"/>
            <w:tcMar>
              <w:top w:w="85" w:type="dxa"/>
              <w:start w:w="120" w:type="dxa"/>
              <w:bottom w:w="85" w:type="dxa"/>
              <w:end w:w="120" w:type="dxa"/>
            </w:tcMar>
            <w:vAlign w:val="center"/>
          </w:tcPr>
          <w:p>
            <w:pPr>
              <w:spacing w:after="0"/>
            </w:pPr>
            <w:r>
              <w:rPr>
                <w:rFonts w:ascii="Arial" w:hAnsi="Arial"/>
                <w:color w:val="2A2D34"/>
                <w:sz w:val="15"/>
              </w:rPr>
              <w:t>All 9 tracked source-level findings are remediated and verified in the final frozen source. Production deployment, address/bytecode binding and continuing operations remain separate assurance gates.</w:t>
            </w:r>
          </w:p>
        </w:tc>
      </w:tr>
    </w:tbl>
    <w:p>
      <w:pPr>
        <w:spacing w:before="140" w:after="80"/>
      </w:pPr>
      <w:r>
        <w:rPr>
          <w:rFonts w:ascii="Arial" w:hAnsi="Arial"/>
          <w:b/>
          <w:color w:val="D73454"/>
          <w:sz w:val="16"/>
        </w:rPr>
        <w:t>FAIL-CLOSED ACTIVATION SEQUENCE</w:t>
      </w:r>
    </w:p>
    <w:p>
      <w:pPr>
        <w:keepLines/>
        <w:widowControl/>
      </w:pPr>
      <w:r>
        <w:t>The activation sequence is deliberately asymmetric: pausing is immediate and risk-reducing, while opening requires all preflight and postflight evidence. Constructor events are reconciled with predicted values; runtime bytecode and ownership are read back from independent RPC responses; reserve and inventory balances are checked last. Any mismatch leaves purchase modes and staking intake closed.</w:t>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PREFLIGHT</w:t>
            </w:r>
          </w:p>
          <w:p>
            <w:pPr>
              <w:spacing w:after="0"/>
            </w:pPr>
            <w:r>
              <w:rPr>
                <w:rFonts w:ascii="Arial" w:hAnsi="Arial"/>
                <w:color w:val="2A2D34"/>
                <w:sz w:val="14"/>
              </w:rPr>
              <w:t>Inputs + chain</w:t>
            </w:r>
          </w:p>
        </w:tc>
        <w:tc>
          <w:tcPr>
            <w:tcW w:type="dxa" w:w="2250"/>
            <w:tcMar>
              <w:top w:w="120" w:type="dxa"/>
              <w:start w:w="130" w:type="dxa"/>
              <w:bottom w:w="120" w:type="dxa"/>
              <w:end w:w="130" w:type="dxa"/>
            </w:tcMar>
            <w:shd w:fill="EAEDF2"/>
            <w:tcBorders>
              <w:top w:val="single" w:sz="22" w:color="E33F5E"/>
            </w:tcBorders>
          </w:tcPr>
          <w:p>
            <w:pPr>
              <w:spacing w:after="40"/>
            </w:pPr>
            <w:r>
              <w:rPr>
                <w:rFonts w:ascii="Arial" w:hAnsi="Arial"/>
                <w:b/>
                <w:color w:val="D73454"/>
                <w:sz w:val="14"/>
              </w:rPr>
              <w:t>DEPLOY CLOSED</w:t>
            </w:r>
          </w:p>
          <w:p>
            <w:pPr>
              <w:spacing w:after="0"/>
            </w:pPr>
            <w:r>
              <w:rPr>
                <w:rFonts w:ascii="Arial" w:hAnsi="Arial"/>
                <w:color w:val="2A2D34"/>
                <w:sz w:val="14"/>
              </w:rPr>
              <w:t>No value intake</w:t>
            </w:r>
          </w:p>
        </w:tc>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POSTFLIGHT</w:t>
            </w:r>
          </w:p>
          <w:p>
            <w:pPr>
              <w:spacing w:after="0"/>
            </w:pPr>
            <w:r>
              <w:rPr>
                <w:rFonts w:ascii="Arial" w:hAnsi="Arial"/>
                <w:color w:val="2A2D34"/>
                <w:sz w:val="14"/>
              </w:rPr>
              <w:t>Code + topology</w:t>
            </w:r>
          </w:p>
        </w:tc>
        <w:tc>
          <w:tcPr>
            <w:tcW w:type="dxa" w:w="2250"/>
            <w:tcMar>
              <w:top w:w="120" w:type="dxa"/>
              <w:start w:w="130" w:type="dxa"/>
              <w:bottom w:w="120" w:type="dxa"/>
              <w:end w:w="130" w:type="dxa"/>
            </w:tcMar>
            <w:shd w:fill="EAEDF2"/>
            <w:tcBorders>
              <w:top w:val="single" w:sz="22" w:color="17191F"/>
            </w:tcBorders>
          </w:tcPr>
          <w:p>
            <w:pPr>
              <w:spacing w:after="40"/>
            </w:pPr>
            <w:r>
              <w:rPr>
                <w:rFonts w:ascii="Arial" w:hAnsi="Arial"/>
                <w:b/>
                <w:color w:val="D73454"/>
                <w:sz w:val="14"/>
              </w:rPr>
              <w:t>ACTIVATE</w:t>
            </w:r>
          </w:p>
          <w:p>
            <w:pPr>
              <w:spacing w:after="0"/>
            </w:pPr>
            <w:r>
              <w:rPr>
                <w:rFonts w:ascii="Arial" w:hAnsi="Arial"/>
                <w:color w:val="2A2D34"/>
                <w:sz w:val="14"/>
              </w:rPr>
              <w:t>Governed action</w:t>
            </w:r>
          </w:p>
        </w:tc>
      </w:tr>
    </w:tbl>
    <w:p>
      <w:r>
        <w:br w:type="page"/>
      </w:r>
    </w:p>
    <w:p>
      <w:pPr>
        <w:pStyle w:val="Kicker"/>
      </w:pPr>
      <w:r>
        <w:t>OPERATIONS</w:t>
      </w:r>
    </w:p>
    <w:p>
      <w:pPr>
        <w:pStyle w:val="Heading1"/>
      </w:pPr>
      <w:r>
        <w:t>Operational Monitoring and Keeper</w:t>
      </w:r>
    </w:p>
    <w:p>
      <w:pPr>
        <w:spacing w:after="200" w:line="96" w:lineRule="auto"/>
      </w:pPr>
      <w:r>
        <w:rPr>
          <w:rFonts w:ascii="Arial" w:hAnsi="Arial"/>
          <w:color w:val="E03E5B"/>
          <w:sz w:val="12"/>
        </w:rPr>
        <w:t>━━━━━━━━━━━━━━━━━━━━━━━━━━━━━━━━━━━━━━━━━━━━━━━━━━━━━━━━━━━━</w:t>
      </w:r>
    </w:p>
    <w:p>
      <w:pPr>
        <w:keepLines/>
        <w:widowControl/>
      </w:pPr>
      <w:r>
        <w:t>On-chain checks protect transaction correctness, while operations reduce time-to-detection. The oracle-breaker keeper reads configured feeds, checks contract health and submits the permissionless breaker only when the contract reports an unhealthy state.</w:t>
      </w:r>
    </w:p>
    <w:p>
      <w:pPr>
        <w:keepLines/>
        <w:widowControl/>
      </w:pPr>
      <w:r>
        <w:t>Keeper failure cannot make an unhealthy purchase valid because execution repeats validation. Keeper monitoring must cover RPC redundancy, gas balance, alert delivery, transaction finality and reconciliation between emitted breaker events and registry/deposit state.</w:t>
      </w:r>
    </w:p>
    <w:tbl>
      <w:tblPr>
        <w:tblW w:type="auto" w:w="0"/>
        <w:jc w:val="center"/>
        <w:tblLayout w:type="fixed"/>
        <w:tblLook w:firstColumn="1" w:firstRow="1" w:lastColumn="0" w:lastRow="0" w:noHBand="0" w:noVBand="1" w:val="04A0"/>
      </w:tblPr>
      <w:tblGrid>
        <w:gridCol w:w="3383"/>
        <w:gridCol w:w="3383"/>
        <w:gridCol w:w="3383"/>
      </w:tblGrid>
      <w:tr>
        <w:trPr>
          <w:tblHeader w:val="true"/>
        </w:trPr>
        <w:tc>
          <w:tcPr>
            <w:tcW w:type="dxa" w:w="2100"/>
            <w:shd w:fill="17191F"/>
            <w:tcMar>
              <w:top w:w="100" w:type="dxa"/>
              <w:start w:w="120" w:type="dxa"/>
              <w:bottom w:w="100" w:type="dxa"/>
              <w:end w:w="120" w:type="dxa"/>
            </w:tcMar>
            <w:vAlign w:val="center"/>
          </w:tcPr>
          <w:p>
            <w:pPr>
              <w:spacing w:after="0"/>
            </w:pPr>
            <w:r>
              <w:rPr>
                <w:rFonts w:ascii="Arial" w:hAnsi="Arial"/>
                <w:b/>
                <w:color w:val="FFFFFF"/>
                <w:sz w:val="16"/>
              </w:rPr>
              <w:t>Monitor</w:t>
            </w:r>
          </w:p>
        </w:tc>
        <w:tc>
          <w:tcPr>
            <w:tcW w:type="dxa" w:w="1800"/>
            <w:shd w:fill="17191F"/>
            <w:tcMar>
              <w:top w:w="100" w:type="dxa"/>
              <w:start w:w="120" w:type="dxa"/>
              <w:bottom w:w="100" w:type="dxa"/>
              <w:end w:w="120" w:type="dxa"/>
            </w:tcMar>
            <w:vAlign w:val="center"/>
          </w:tcPr>
          <w:p>
            <w:pPr>
              <w:spacing w:after="0"/>
            </w:pPr>
            <w:r>
              <w:rPr>
                <w:rFonts w:ascii="Arial" w:hAnsi="Arial"/>
                <w:b/>
                <w:color w:val="FFFFFF"/>
                <w:sz w:val="16"/>
              </w:rPr>
              <w:t>Signal</w:t>
            </w:r>
          </w:p>
        </w:tc>
        <w:tc>
          <w:tcPr>
            <w:tcW w:type="dxa" w:w="5100"/>
            <w:shd w:fill="17191F"/>
            <w:tcMar>
              <w:top w:w="100" w:type="dxa"/>
              <w:start w:w="120" w:type="dxa"/>
              <w:bottom w:w="100" w:type="dxa"/>
              <w:end w:w="120" w:type="dxa"/>
            </w:tcMar>
            <w:vAlign w:val="center"/>
          </w:tcPr>
          <w:p>
            <w:pPr>
              <w:spacing w:after="0"/>
            </w:pPr>
            <w:r>
              <w:rPr>
                <w:rFonts w:ascii="Arial" w:hAnsi="Arial"/>
                <w:b/>
                <w:color w:val="FFFFFF"/>
                <w:sz w:val="16"/>
              </w:rPr>
              <w:t>Response</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RPC health</w:t>
            </w:r>
          </w:p>
        </w:tc>
        <w:tc>
          <w:tcPr>
            <w:tcW w:type="dxa" w:w="1800"/>
            <w:tcMar>
              <w:top w:w="85" w:type="dxa"/>
              <w:start w:w="120" w:type="dxa"/>
              <w:bottom w:w="85" w:type="dxa"/>
              <w:end w:w="120" w:type="dxa"/>
            </w:tcMar>
            <w:vAlign w:val="center"/>
          </w:tcPr>
          <w:p>
            <w:pPr>
              <w:spacing w:after="0"/>
            </w:pPr>
            <w:r>
              <w:rPr>
                <w:rFonts w:ascii="Arial" w:hAnsi="Arial"/>
                <w:color w:val="2A2D34"/>
                <w:sz w:val="15"/>
              </w:rPr>
              <w:t>latency, chainId, head age</w:t>
            </w:r>
          </w:p>
        </w:tc>
        <w:tc>
          <w:tcPr>
            <w:tcW w:type="dxa" w:w="5100"/>
            <w:tcMar>
              <w:top w:w="85" w:type="dxa"/>
              <w:start w:w="120" w:type="dxa"/>
              <w:bottom w:w="85" w:type="dxa"/>
              <w:end w:w="120" w:type="dxa"/>
            </w:tcMar>
            <w:vAlign w:val="center"/>
          </w:tcPr>
          <w:p>
            <w:pPr>
              <w:spacing w:after="0"/>
            </w:pPr>
            <w:r>
              <w:rPr>
                <w:rFonts w:ascii="Arial" w:hAnsi="Arial"/>
                <w:color w:val="2A2D34"/>
                <w:sz w:val="15"/>
              </w:rPr>
              <w:t>Fail over / alert</w:t>
            </w:r>
          </w:p>
        </w:tc>
      </w:tr>
      <w:tr>
        <w:tc>
          <w:tcPr>
            <w:tcW w:type="dxa" w:w="2100"/>
            <w:tcMar>
              <w:top w:w="85" w:type="dxa"/>
              <w:start w:w="120" w:type="dxa"/>
              <w:bottom w:w="85" w:type="dxa"/>
              <w:end w:w="120" w:type="dxa"/>
            </w:tcMar>
            <w:shd w:fill="F4F5F7"/>
            <w:vAlign w:val="center"/>
          </w:tcPr>
          <w:p>
            <w:pPr>
              <w:spacing w:after="0"/>
            </w:pPr>
            <w:r>
              <w:rPr>
                <w:rFonts w:ascii="Arial" w:hAnsi="Arial"/>
                <w:color w:val="2A2D34"/>
                <w:sz w:val="15"/>
              </w:rPr>
              <w:t>Feed health</w:t>
            </w:r>
          </w:p>
        </w:tc>
        <w:tc>
          <w:tcPr>
            <w:tcW w:type="dxa" w:w="1800"/>
            <w:tcMar>
              <w:top w:w="85" w:type="dxa"/>
              <w:start w:w="120" w:type="dxa"/>
              <w:bottom w:w="85" w:type="dxa"/>
              <w:end w:w="120" w:type="dxa"/>
            </w:tcMar>
            <w:shd w:fill="F4F5F7"/>
            <w:vAlign w:val="center"/>
          </w:tcPr>
          <w:p>
            <w:pPr>
              <w:spacing w:after="0"/>
            </w:pPr>
            <w:r>
              <w:rPr>
                <w:rFonts w:ascii="Arial" w:hAnsi="Arial"/>
                <w:color w:val="2A2D34"/>
                <w:sz w:val="15"/>
              </w:rPr>
              <w:t>age, bounds, deviation</w:t>
            </w:r>
          </w:p>
        </w:tc>
        <w:tc>
          <w:tcPr>
            <w:tcW w:type="dxa" w:w="5100"/>
            <w:tcMar>
              <w:top w:w="85" w:type="dxa"/>
              <w:start w:w="120" w:type="dxa"/>
              <w:bottom w:w="85" w:type="dxa"/>
              <w:end w:w="120" w:type="dxa"/>
            </w:tcMar>
            <w:shd w:fill="F4F5F7"/>
            <w:vAlign w:val="center"/>
          </w:tcPr>
          <w:p>
            <w:pPr>
              <w:spacing w:after="0"/>
            </w:pPr>
            <w:r>
              <w:rPr>
                <w:rFonts w:ascii="Arial" w:hAnsi="Arial"/>
                <w:color w:val="2A2D34"/>
                <w:sz w:val="15"/>
              </w:rPr>
              <w:t>Trip breaker</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Transaction</w:t>
            </w:r>
          </w:p>
        </w:tc>
        <w:tc>
          <w:tcPr>
            <w:tcW w:type="dxa" w:w="1800"/>
            <w:tcMar>
              <w:top w:w="85" w:type="dxa"/>
              <w:start w:w="120" w:type="dxa"/>
              <w:bottom w:w="85" w:type="dxa"/>
              <w:end w:w="120" w:type="dxa"/>
            </w:tcMar>
            <w:vAlign w:val="center"/>
          </w:tcPr>
          <w:p>
            <w:pPr>
              <w:spacing w:after="0"/>
            </w:pPr>
            <w:r>
              <w:rPr>
                <w:rFonts w:ascii="Arial" w:hAnsi="Arial"/>
                <w:color w:val="2A2D34"/>
                <w:sz w:val="15"/>
              </w:rPr>
              <w:t>submitted, mined, confirmations</w:t>
            </w:r>
          </w:p>
        </w:tc>
        <w:tc>
          <w:tcPr>
            <w:tcW w:type="dxa" w:w="5100"/>
            <w:tcMar>
              <w:top w:w="85" w:type="dxa"/>
              <w:start w:w="120" w:type="dxa"/>
              <w:bottom w:w="85" w:type="dxa"/>
              <w:end w:w="120" w:type="dxa"/>
            </w:tcMar>
            <w:vAlign w:val="center"/>
          </w:tcPr>
          <w:p>
            <w:pPr>
              <w:spacing w:after="0"/>
            </w:pPr>
            <w:r>
              <w:rPr>
                <w:rFonts w:ascii="Arial" w:hAnsi="Arial"/>
                <w:color w:val="2A2D34"/>
                <w:sz w:val="15"/>
              </w:rPr>
              <w:t>Retry safely</w:t>
            </w:r>
          </w:p>
        </w:tc>
      </w:tr>
      <w:tr>
        <w:tc>
          <w:tcPr>
            <w:tcW w:type="dxa" w:w="2100"/>
            <w:tcMar>
              <w:top w:w="85" w:type="dxa"/>
              <w:start w:w="120" w:type="dxa"/>
              <w:bottom w:w="85" w:type="dxa"/>
              <w:end w:w="120" w:type="dxa"/>
            </w:tcMar>
            <w:shd w:fill="F4F5F7"/>
            <w:vAlign w:val="center"/>
          </w:tcPr>
          <w:p>
            <w:pPr>
              <w:spacing w:after="0"/>
            </w:pPr>
            <w:r>
              <w:rPr>
                <w:rFonts w:ascii="Arial" w:hAnsi="Arial"/>
                <w:color w:val="2A2D34"/>
                <w:sz w:val="15"/>
              </w:rPr>
              <w:t>Reserves</w:t>
            </w:r>
          </w:p>
        </w:tc>
        <w:tc>
          <w:tcPr>
            <w:tcW w:type="dxa" w:w="1800"/>
            <w:tcMar>
              <w:top w:w="85" w:type="dxa"/>
              <w:start w:w="120" w:type="dxa"/>
              <w:bottom w:w="85" w:type="dxa"/>
              <w:end w:w="120" w:type="dxa"/>
            </w:tcMar>
            <w:shd w:fill="F4F5F7"/>
            <w:vAlign w:val="center"/>
          </w:tcPr>
          <w:p>
            <w:pPr>
              <w:spacing w:after="0"/>
            </w:pPr>
            <w:r>
              <w:rPr>
                <w:rFonts w:ascii="Arial" w:hAnsi="Arial"/>
                <w:color w:val="2A2D34"/>
                <w:sz w:val="15"/>
              </w:rPr>
              <w:t>balance vs locked/projected liability</w:t>
            </w:r>
          </w:p>
        </w:tc>
        <w:tc>
          <w:tcPr>
            <w:tcW w:type="dxa" w:w="5100"/>
            <w:tcMar>
              <w:top w:w="85" w:type="dxa"/>
              <w:start w:w="120" w:type="dxa"/>
              <w:bottom w:w="85" w:type="dxa"/>
              <w:end w:w="120" w:type="dxa"/>
            </w:tcMar>
            <w:shd w:fill="F4F5F7"/>
            <w:vAlign w:val="center"/>
          </w:tcPr>
          <w:p>
            <w:pPr>
              <w:spacing w:after="0"/>
            </w:pPr>
            <w:r>
              <w:rPr>
                <w:rFonts w:ascii="Arial" w:hAnsi="Arial"/>
                <w:color w:val="2A2D34"/>
                <w:sz w:val="15"/>
              </w:rPr>
              <w:t>Block activation / alert</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Inventory</w:t>
            </w:r>
          </w:p>
        </w:tc>
        <w:tc>
          <w:tcPr>
            <w:tcW w:type="dxa" w:w="1800"/>
            <w:tcMar>
              <w:top w:w="85" w:type="dxa"/>
              <w:start w:w="120" w:type="dxa"/>
              <w:bottom w:w="85" w:type="dxa"/>
              <w:end w:w="120" w:type="dxa"/>
            </w:tcMar>
            <w:vAlign w:val="center"/>
          </w:tcPr>
          <w:p>
            <w:pPr>
              <w:spacing w:after="0"/>
            </w:pPr>
            <w:r>
              <w:rPr>
                <w:rFonts w:ascii="Arial" w:hAnsi="Arial"/>
                <w:color w:val="2A2D34"/>
                <w:sz w:val="15"/>
              </w:rPr>
              <w:t>AGNT balance vs entitlement</w:t>
            </w:r>
          </w:p>
        </w:tc>
        <w:tc>
          <w:tcPr>
            <w:tcW w:type="dxa" w:w="5100"/>
            <w:tcMar>
              <w:top w:w="85" w:type="dxa"/>
              <w:start w:w="120" w:type="dxa"/>
              <w:bottom w:w="85" w:type="dxa"/>
              <w:end w:w="120" w:type="dxa"/>
            </w:tcMar>
            <w:vAlign w:val="center"/>
          </w:tcPr>
          <w:p>
            <w:pPr>
              <w:spacing w:after="0"/>
            </w:pPr>
            <w:r>
              <w:rPr>
                <w:rFonts w:ascii="Arial" w:hAnsi="Arial"/>
                <w:color w:val="2A2D34"/>
                <w:sz w:val="15"/>
              </w:rPr>
              <w:t>Close deposits / alert</w:t>
            </w:r>
          </w:p>
        </w:tc>
      </w:tr>
    </w:tbl>
    <w:p>
      <w:pPr>
        <w:spacing w:before="140" w:after="80"/>
      </w:pPr>
      <w:r>
        <w:rPr>
          <w:rFonts w:ascii="Arial" w:hAnsi="Arial"/>
          <w:b/>
          <w:color w:val="D73454"/>
          <w:sz w:val="16"/>
        </w:rPr>
        <w:t>MONITORING RESPONSIBILITY MODEL</w:t>
      </w:r>
    </w:p>
    <w:p>
      <w:pPr>
        <w:keepLines/>
        <w:widowControl/>
      </w:pPr>
      <w:r>
        <w:t>Monitoring distinguishes detection from authority. The watcher reads RPC and contract state, the keeper may submit only the permissionless breaker, governance owns configuration recovery, and treasury operations own reserve and inventory funding. Alerts must include chain ID, block number, feed timestamps and the observed configuration so an operator can reproduce the decision from a second endpoint.</w:t>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WATCHER</w:t>
            </w:r>
          </w:p>
          <w:p>
            <w:pPr>
              <w:spacing w:after="0"/>
            </w:pPr>
            <w:r>
              <w:rPr>
                <w:rFonts w:ascii="Arial" w:hAnsi="Arial"/>
                <w:color w:val="2A2D34"/>
                <w:sz w:val="14"/>
              </w:rPr>
              <w:t>Detect + evidence</w:t>
            </w:r>
          </w:p>
        </w:tc>
        <w:tc>
          <w:tcPr>
            <w:tcW w:type="dxa" w:w="2250"/>
            <w:tcMar>
              <w:top w:w="120" w:type="dxa"/>
              <w:start w:w="130" w:type="dxa"/>
              <w:bottom w:w="120" w:type="dxa"/>
              <w:end w:w="130" w:type="dxa"/>
            </w:tcMar>
            <w:shd w:fill="EAEDF2"/>
            <w:tcBorders>
              <w:top w:val="single" w:sz="22" w:color="E33F5E"/>
            </w:tcBorders>
          </w:tcPr>
          <w:p>
            <w:pPr>
              <w:spacing w:after="40"/>
            </w:pPr>
            <w:r>
              <w:rPr>
                <w:rFonts w:ascii="Arial" w:hAnsi="Arial"/>
                <w:b/>
                <w:color w:val="D73454"/>
                <w:sz w:val="14"/>
              </w:rPr>
              <w:t>KEEPER</w:t>
            </w:r>
          </w:p>
          <w:p>
            <w:pPr>
              <w:spacing w:after="0"/>
            </w:pPr>
            <w:r>
              <w:rPr>
                <w:rFonts w:ascii="Arial" w:hAnsi="Arial"/>
                <w:color w:val="2A2D34"/>
                <w:sz w:val="14"/>
              </w:rPr>
              <w:t>Trip breaker only</w:t>
            </w:r>
          </w:p>
        </w:tc>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GOVERNANCE</w:t>
            </w:r>
          </w:p>
          <w:p>
            <w:pPr>
              <w:spacing w:after="0"/>
            </w:pPr>
            <w:r>
              <w:rPr>
                <w:rFonts w:ascii="Arial" w:hAnsi="Arial"/>
                <w:color w:val="2A2D34"/>
                <w:sz w:val="14"/>
              </w:rPr>
              <w:t>Diagnose + recover</w:t>
            </w:r>
          </w:p>
        </w:tc>
        <w:tc>
          <w:tcPr>
            <w:tcW w:type="dxa" w:w="2250"/>
            <w:tcMar>
              <w:top w:w="120" w:type="dxa"/>
              <w:start w:w="130" w:type="dxa"/>
              <w:bottom w:w="120" w:type="dxa"/>
              <w:end w:w="130" w:type="dxa"/>
            </w:tcMar>
            <w:shd w:fill="EAEDF2"/>
            <w:tcBorders>
              <w:top w:val="single" w:sz="22" w:color="17191F"/>
            </w:tcBorders>
          </w:tcPr>
          <w:p>
            <w:pPr>
              <w:spacing w:after="40"/>
            </w:pPr>
            <w:r>
              <w:rPr>
                <w:rFonts w:ascii="Arial" w:hAnsi="Arial"/>
                <w:b/>
                <w:color w:val="D73454"/>
                <w:sz w:val="14"/>
              </w:rPr>
              <w:t>TREASURY</w:t>
            </w:r>
          </w:p>
          <w:p>
            <w:pPr>
              <w:spacing w:after="0"/>
            </w:pPr>
            <w:r>
              <w:rPr>
                <w:rFonts w:ascii="Arial" w:hAnsi="Arial"/>
                <w:color w:val="2A2D34"/>
                <w:sz w:val="14"/>
              </w:rPr>
              <w:t>Fund obligations</w:t>
            </w:r>
          </w:p>
        </w:tc>
      </w:tr>
    </w:tbl>
    <w:p>
      <w:r>
        <w:br w:type="page"/>
      </w:r>
    </w:p>
    <w:p>
      <w:pPr>
        <w:pStyle w:val="Kicker"/>
      </w:pPr>
      <w:r>
        <w:t>OPERATIONS</w:t>
      </w:r>
    </w:p>
    <w:p>
      <w:pPr>
        <w:pStyle w:val="Heading1"/>
      </w:pPr>
      <w:r>
        <w:t>Incident Response Playbook</w:t>
      </w:r>
    </w:p>
    <w:p>
      <w:pPr>
        <w:spacing w:after="200" w:line="96" w:lineRule="auto"/>
      </w:pPr>
      <w:r>
        <w:rPr>
          <w:rFonts w:ascii="Arial" w:hAnsi="Arial"/>
          <w:color w:val="E03E5B"/>
          <w:sz w:val="12"/>
        </w:rPr>
        <w:t>━━━━━━━━━━━━━━━━━━━━━━━━━━━━━━━━━━━━━━━━━━━━━━━━━━━━━━━━━━━━</w:t>
      </w:r>
    </w:p>
    <w:p>
      <w:pPr>
        <w:keepLines/>
        <w:widowControl/>
      </w:pPr>
      <w:r>
        <w:t>The first objective is to stop new liability while preserving user claims. Operators should persistently pause purchase-capable registry modes and close staking deposits, confirm the state from an independent RPC, preserve transaction and configuration evidence, and avoid withdrawing locked reserves or entitlement inventory.</w:t>
      </w:r>
    </w:p>
    <w:p>
      <w:pPr>
        <w:keepLines/>
        <w:widowControl/>
      </w:pPr>
      <w:r>
        <w:t>Recovery requires root-cause analysis, corrected configuration or source, a complete test rerun, bytecode/address verification and governed reactivation after the timelock delay. Communication should distinguish detected impact from precautionary containment.</w:t>
      </w:r>
    </w:p>
    <w:tbl>
      <w:tblPr>
        <w:tblW w:type="auto" w:w="0"/>
        <w:jc w:val="center"/>
        <w:tblLayout w:type="fixed"/>
        <w:tblLook w:firstColumn="1" w:firstRow="1" w:lastColumn="0" w:lastRow="0" w:noHBand="0" w:noVBand="1" w:val="04A0"/>
      </w:tblPr>
      <w:tblGrid>
        <w:gridCol w:w="5074"/>
        <w:gridCol w:w="5074"/>
      </w:tblGrid>
      <w:tr>
        <w:trPr>
          <w:tblHeader w:val="true"/>
        </w:trPr>
        <w:tc>
          <w:tcPr>
            <w:tcW w:type="dxa" w:w="2500"/>
            <w:shd w:fill="17191F"/>
            <w:tcMar>
              <w:top w:w="100" w:type="dxa"/>
              <w:start w:w="120" w:type="dxa"/>
              <w:bottom w:w="100" w:type="dxa"/>
              <w:end w:w="120" w:type="dxa"/>
            </w:tcMar>
            <w:vAlign w:val="center"/>
          </w:tcPr>
          <w:p>
            <w:pPr>
              <w:spacing w:after="0"/>
            </w:pPr>
            <w:r>
              <w:rPr>
                <w:rFonts w:ascii="Arial" w:hAnsi="Arial"/>
                <w:b/>
                <w:color w:val="FFFFFF"/>
                <w:sz w:val="16"/>
              </w:rPr>
              <w:t>Phase</w:t>
            </w:r>
          </w:p>
        </w:tc>
        <w:tc>
          <w:tcPr>
            <w:tcW w:type="dxa" w:w="6500"/>
            <w:shd w:fill="17191F"/>
            <w:tcMar>
              <w:top w:w="100" w:type="dxa"/>
              <w:start w:w="120" w:type="dxa"/>
              <w:bottom w:w="100" w:type="dxa"/>
              <w:end w:w="120" w:type="dxa"/>
            </w:tcMar>
            <w:vAlign w:val="center"/>
          </w:tcPr>
          <w:p>
            <w:pPr>
              <w:spacing w:after="0"/>
            </w:pPr>
            <w:r>
              <w:rPr>
                <w:rFonts w:ascii="Arial" w:hAnsi="Arial"/>
                <w:b/>
                <w:color w:val="FFFFFF"/>
                <w:sz w:val="16"/>
              </w:rPr>
              <w:t>Required action</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1 Detect</w:t>
            </w:r>
          </w:p>
        </w:tc>
        <w:tc>
          <w:tcPr>
            <w:tcW w:type="dxa" w:w="6500"/>
            <w:tcMar>
              <w:top w:w="85" w:type="dxa"/>
              <w:start w:w="120" w:type="dxa"/>
              <w:bottom w:w="85" w:type="dxa"/>
              <w:end w:w="120" w:type="dxa"/>
            </w:tcMar>
            <w:vAlign w:val="center"/>
          </w:tcPr>
          <w:p>
            <w:pPr>
              <w:spacing w:after="0"/>
            </w:pPr>
            <w:r>
              <w:rPr>
                <w:rFonts w:ascii="Arial" w:hAnsi="Arial"/>
                <w:color w:val="2A2D34"/>
                <w:sz w:val="15"/>
              </w:rPr>
              <w:t>Alert + independent RPC confirmation</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2 Contain</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Pause purchase / close deposits</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3 Preserve</w:t>
            </w:r>
          </w:p>
        </w:tc>
        <w:tc>
          <w:tcPr>
            <w:tcW w:type="dxa" w:w="6500"/>
            <w:tcMar>
              <w:top w:w="85" w:type="dxa"/>
              <w:start w:w="120" w:type="dxa"/>
              <w:bottom w:w="85" w:type="dxa"/>
              <w:end w:w="120" w:type="dxa"/>
            </w:tcMar>
            <w:vAlign w:val="center"/>
          </w:tcPr>
          <w:p>
            <w:pPr>
              <w:spacing w:after="0"/>
            </w:pPr>
            <w:r>
              <w:rPr>
                <w:rFonts w:ascii="Arial" w:hAnsi="Arial"/>
                <w:color w:val="2A2D34"/>
                <w:sz w:val="15"/>
              </w:rPr>
              <w:t>Logs, block numbers, config, code hashes</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4 Assess</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Affected transactions and liabilities</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5 Remediate</w:t>
            </w:r>
          </w:p>
        </w:tc>
        <w:tc>
          <w:tcPr>
            <w:tcW w:type="dxa" w:w="6500"/>
            <w:tcMar>
              <w:top w:w="85" w:type="dxa"/>
              <w:start w:w="120" w:type="dxa"/>
              <w:bottom w:w="85" w:type="dxa"/>
              <w:end w:w="120" w:type="dxa"/>
            </w:tcMar>
            <w:vAlign w:val="center"/>
          </w:tcPr>
          <w:p>
            <w:pPr>
              <w:spacing w:after="0"/>
            </w:pPr>
            <w:r>
              <w:rPr>
                <w:rFonts w:ascii="Arial" w:hAnsi="Arial"/>
                <w:color w:val="2A2D34"/>
                <w:sz w:val="15"/>
              </w:rPr>
              <w:t>Config/source change + regression</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6 Recover</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Governed delayed activation + monitoring</w:t>
            </w:r>
          </w:p>
        </w:tc>
      </w:tr>
    </w:tbl>
    <w:p>
      <w:pPr>
        <w:spacing w:before="140" w:after="80"/>
      </w:pPr>
      <w:r>
        <w:rPr>
          <w:rFonts w:ascii="Arial" w:hAnsi="Arial"/>
          <w:b/>
          <w:color w:val="D73454"/>
          <w:sz w:val="16"/>
        </w:rPr>
        <w:t>RESPONSE TIMELINE AND DECISION LOG</w:t>
      </w:r>
    </w:p>
    <w:p>
      <w:pPr>
        <w:keepLines/>
        <w:widowControl/>
      </w:pPr>
      <w:r>
        <w:t>Containment begins with an independently confirmed observation and a transaction that reduces exposure. The incident lead records who approved each action, the canonical block hash and the state reread after confirmation. Recovery is prohibited until affected liabilities are reconciled, corrective tests pass, monitoring is restored and the Timelock delay completes. User communication separates confirmed impact from precautionary measures.</w:t>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0–15 MIN</w:t>
            </w:r>
          </w:p>
          <w:p>
            <w:pPr>
              <w:spacing w:after="0"/>
            </w:pPr>
            <w:r>
              <w:rPr>
                <w:rFonts w:ascii="Arial" w:hAnsi="Arial"/>
                <w:color w:val="2A2D34"/>
                <w:sz w:val="14"/>
              </w:rPr>
              <w:t>Confirm + contain</w:t>
            </w:r>
          </w:p>
        </w:tc>
        <w:tc>
          <w:tcPr>
            <w:tcW w:type="dxa" w:w="2250"/>
            <w:tcMar>
              <w:top w:w="120" w:type="dxa"/>
              <w:start w:w="130" w:type="dxa"/>
              <w:bottom w:w="120" w:type="dxa"/>
              <w:end w:w="130" w:type="dxa"/>
            </w:tcMar>
            <w:shd w:fill="EAEDF2"/>
            <w:tcBorders>
              <w:top w:val="single" w:sz="22" w:color="E33F5E"/>
            </w:tcBorders>
          </w:tcPr>
          <w:p>
            <w:pPr>
              <w:spacing w:after="40"/>
            </w:pPr>
            <w:r>
              <w:rPr>
                <w:rFonts w:ascii="Arial" w:hAnsi="Arial"/>
                <w:b/>
                <w:color w:val="D73454"/>
                <w:sz w:val="14"/>
              </w:rPr>
              <w:t>15–60 MIN</w:t>
            </w:r>
          </w:p>
          <w:p>
            <w:pPr>
              <w:spacing w:after="0"/>
            </w:pPr>
            <w:r>
              <w:rPr>
                <w:rFonts w:ascii="Arial" w:hAnsi="Arial"/>
                <w:color w:val="2A2D34"/>
                <w:sz w:val="14"/>
              </w:rPr>
              <w:t>Preserve + scope</w:t>
            </w:r>
          </w:p>
        </w:tc>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REMEDIATE</w:t>
            </w:r>
          </w:p>
          <w:p>
            <w:pPr>
              <w:spacing w:after="0"/>
            </w:pPr>
            <w:r>
              <w:rPr>
                <w:rFonts w:ascii="Arial" w:hAnsi="Arial"/>
                <w:color w:val="2A2D34"/>
                <w:sz w:val="14"/>
              </w:rPr>
              <w:t>Fix + full regression</w:t>
            </w:r>
          </w:p>
        </w:tc>
        <w:tc>
          <w:tcPr>
            <w:tcW w:type="dxa" w:w="2250"/>
            <w:tcMar>
              <w:top w:w="120" w:type="dxa"/>
              <w:start w:w="130" w:type="dxa"/>
              <w:bottom w:w="120" w:type="dxa"/>
              <w:end w:w="130" w:type="dxa"/>
            </w:tcMar>
            <w:shd w:fill="EAEDF2"/>
            <w:tcBorders>
              <w:top w:val="single" w:sz="22" w:color="17191F"/>
            </w:tcBorders>
          </w:tcPr>
          <w:p>
            <w:pPr>
              <w:spacing w:after="40"/>
            </w:pPr>
            <w:r>
              <w:rPr>
                <w:rFonts w:ascii="Arial" w:hAnsi="Arial"/>
                <w:b/>
                <w:color w:val="D73454"/>
                <w:sz w:val="14"/>
              </w:rPr>
              <w:t>RECOVER</w:t>
            </w:r>
          </w:p>
          <w:p>
            <w:pPr>
              <w:spacing w:after="0"/>
            </w:pPr>
            <w:r>
              <w:rPr>
                <w:rFonts w:ascii="Arial" w:hAnsi="Arial"/>
                <w:color w:val="2A2D34"/>
                <w:sz w:val="14"/>
              </w:rPr>
              <w:t>Delay + monitored reopen</w:t>
            </w:r>
          </w:p>
        </w:tc>
      </w:tr>
    </w:tbl>
    <w:p>
      <w:r>
        <w:br w:type="page"/>
      </w:r>
    </w:p>
    <w:p>
      <w:pPr>
        <w:pStyle w:val="Kicker"/>
      </w:pPr>
      <w:r>
        <w:t>OPERATIONS</w:t>
      </w:r>
    </w:p>
    <w:p>
      <w:pPr>
        <w:pStyle w:val="Heading1"/>
      </w:pPr>
      <w:r>
        <w:t>Residual Risk and Assumptions</w:t>
      </w:r>
    </w:p>
    <w:p>
      <w:pPr>
        <w:spacing w:after="200" w:line="96" w:lineRule="auto"/>
      </w:pPr>
      <w:r>
        <w:rPr>
          <w:rFonts w:ascii="Arial" w:hAnsi="Arial"/>
          <w:color w:val="E03E5B"/>
          <w:sz w:val="12"/>
        </w:rPr>
        <w:t>━━━━━━━━━━━━━━━━━━━━━━━━━━━━━━━━━━━━━━━━━━━━━━━━━━━━━━━━━━━━</w:t>
      </w:r>
    </w:p>
    <w:p>
      <w:pPr>
        <w:keepLines/>
        <w:widowControl/>
      </w:pPr>
      <w:r>
        <w:t>Security controls reduce but do not eliminate external dependency, governance and operational risk. A feed can fail within configured bounds; a quorum can collude; an RPC can censor or lag; a token can exhibit non-standard behavior; economic conditions can make a technically solvent policy commercially undesirable.</w:t>
      </w:r>
    </w:p>
    <w:p>
      <w:pPr>
        <w:keepLines/>
        <w:widowControl/>
      </w:pPr>
      <w:r>
        <w:t>The report therefore separates code conclusions from deployment and operations. Mainnet safety depends on exact addresses, verified code, funded reserves and inventory, governed configuration, resilient monitoring and documented incident ownership.</w:t>
      </w:r>
    </w:p>
    <w:tbl>
      <w:tblPr>
        <w:tblW w:type="auto" w:w="0"/>
        <w:jc w:val="center"/>
        <w:tblLayout w:type="fixed"/>
        <w:tblLook w:firstColumn="1" w:firstRow="1" w:lastColumn="0" w:lastRow="0" w:noHBand="0" w:noVBand="1" w:val="04A0"/>
      </w:tblPr>
      <w:tblGrid>
        <w:gridCol w:w="5074"/>
        <w:gridCol w:w="5074"/>
      </w:tblGrid>
      <w:tr>
        <w:trPr>
          <w:tblHeader w:val="true"/>
        </w:trPr>
        <w:tc>
          <w:tcPr>
            <w:tcW w:type="dxa" w:w="2500"/>
            <w:shd w:fill="17191F"/>
            <w:tcMar>
              <w:top w:w="100" w:type="dxa"/>
              <w:start w:w="120" w:type="dxa"/>
              <w:bottom w:w="100" w:type="dxa"/>
              <w:end w:w="120" w:type="dxa"/>
            </w:tcMar>
            <w:vAlign w:val="center"/>
          </w:tcPr>
          <w:p>
            <w:pPr>
              <w:spacing w:after="0"/>
            </w:pPr>
            <w:r>
              <w:rPr>
                <w:rFonts w:ascii="Arial" w:hAnsi="Arial"/>
                <w:b/>
                <w:color w:val="FFFFFF"/>
                <w:sz w:val="16"/>
              </w:rPr>
              <w:t>Assumption</w:t>
            </w:r>
          </w:p>
        </w:tc>
        <w:tc>
          <w:tcPr>
            <w:tcW w:type="dxa" w:w="6500"/>
            <w:shd w:fill="17191F"/>
            <w:tcMar>
              <w:top w:w="100" w:type="dxa"/>
              <w:start w:w="120" w:type="dxa"/>
              <w:bottom w:w="100" w:type="dxa"/>
              <w:end w:w="120" w:type="dxa"/>
            </w:tcMar>
            <w:vAlign w:val="center"/>
          </w:tcPr>
          <w:p>
            <w:pPr>
              <w:spacing w:after="0"/>
            </w:pPr>
            <w:r>
              <w:rPr>
                <w:rFonts w:ascii="Arial" w:hAnsi="Arial"/>
                <w:b/>
                <w:color w:val="FFFFFF"/>
                <w:sz w:val="16"/>
              </w:rPr>
              <w:t>Residual exposure</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Oracle source</w:t>
            </w:r>
          </w:p>
        </w:tc>
        <w:tc>
          <w:tcPr>
            <w:tcW w:type="dxa" w:w="6500"/>
            <w:tcMar>
              <w:top w:w="85" w:type="dxa"/>
              <w:start w:w="120" w:type="dxa"/>
              <w:bottom w:w="85" w:type="dxa"/>
              <w:end w:w="120" w:type="dxa"/>
            </w:tcMar>
            <w:vAlign w:val="center"/>
          </w:tcPr>
          <w:p>
            <w:pPr>
              <w:spacing w:after="0"/>
            </w:pPr>
            <w:r>
              <w:rPr>
                <w:rFonts w:ascii="Arial" w:hAnsi="Arial"/>
                <w:color w:val="2A2D34"/>
                <w:sz w:val="15"/>
              </w:rPr>
              <w:t>Correct-enough data inside configured policy</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Governance</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Safe owners remain independent and available</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RPC</w:t>
            </w:r>
          </w:p>
        </w:tc>
        <w:tc>
          <w:tcPr>
            <w:tcW w:type="dxa" w:w="6500"/>
            <w:tcMar>
              <w:top w:w="85" w:type="dxa"/>
              <w:start w:w="120" w:type="dxa"/>
              <w:bottom w:w="85" w:type="dxa"/>
              <w:end w:w="120" w:type="dxa"/>
            </w:tcMar>
            <w:vAlign w:val="center"/>
          </w:tcPr>
          <w:p>
            <w:pPr>
              <w:spacing w:after="0"/>
            </w:pPr>
            <w:r>
              <w:rPr>
                <w:rFonts w:ascii="Arial" w:hAnsi="Arial"/>
                <w:color w:val="2A2D34"/>
                <w:sz w:val="15"/>
              </w:rPr>
              <w:t>At least one trustworthy BSC endpoint available</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Token contracts</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Configured decimals and transfer semantics remain stable</w:t>
            </w:r>
          </w:p>
        </w:tc>
      </w:tr>
      <w:tr>
        <w:tc>
          <w:tcPr>
            <w:tcW w:type="dxa" w:w="2500"/>
            <w:tcMar>
              <w:top w:w="85" w:type="dxa"/>
              <w:start w:w="120" w:type="dxa"/>
              <w:bottom w:w="85" w:type="dxa"/>
              <w:end w:w="120" w:type="dxa"/>
            </w:tcMar>
            <w:vAlign w:val="center"/>
          </w:tcPr>
          <w:p>
            <w:pPr>
              <w:spacing w:after="0"/>
            </w:pPr>
            <w:r>
              <w:rPr>
                <w:rFonts w:ascii="Arial" w:hAnsi="Arial"/>
                <w:color w:val="2A2D34"/>
                <w:sz w:val="15"/>
              </w:rPr>
              <w:t>Treasury</w:t>
            </w:r>
          </w:p>
        </w:tc>
        <w:tc>
          <w:tcPr>
            <w:tcW w:type="dxa" w:w="6500"/>
            <w:tcMar>
              <w:top w:w="85" w:type="dxa"/>
              <w:start w:w="120" w:type="dxa"/>
              <w:bottom w:w="85" w:type="dxa"/>
              <w:end w:w="120" w:type="dxa"/>
            </w:tcMar>
            <w:vAlign w:val="center"/>
          </w:tcPr>
          <w:p>
            <w:pPr>
              <w:spacing w:after="0"/>
            </w:pPr>
            <w:r>
              <w:rPr>
                <w:rFonts w:ascii="Arial" w:hAnsi="Arial"/>
                <w:color w:val="2A2D34"/>
                <w:sz w:val="15"/>
              </w:rPr>
              <w:t>Reserves and inventory funded before activation</w:t>
            </w:r>
          </w:p>
        </w:tc>
      </w:tr>
      <w:tr>
        <w:tc>
          <w:tcPr>
            <w:tcW w:type="dxa" w:w="2500"/>
            <w:tcMar>
              <w:top w:w="85" w:type="dxa"/>
              <w:start w:w="120" w:type="dxa"/>
              <w:bottom w:w="85" w:type="dxa"/>
              <w:end w:w="120" w:type="dxa"/>
            </w:tcMar>
            <w:shd w:fill="F4F5F7"/>
            <w:vAlign w:val="center"/>
          </w:tcPr>
          <w:p>
            <w:pPr>
              <w:spacing w:after="0"/>
            </w:pPr>
            <w:r>
              <w:rPr>
                <w:rFonts w:ascii="Arial" w:hAnsi="Arial"/>
                <w:color w:val="2A2D34"/>
                <w:sz w:val="15"/>
              </w:rPr>
              <w:t>Operations</w:t>
            </w:r>
          </w:p>
        </w:tc>
        <w:tc>
          <w:tcPr>
            <w:tcW w:type="dxa" w:w="6500"/>
            <w:tcMar>
              <w:top w:w="85" w:type="dxa"/>
              <w:start w:w="120" w:type="dxa"/>
              <w:bottom w:w="85" w:type="dxa"/>
              <w:end w:w="120" w:type="dxa"/>
            </w:tcMar>
            <w:shd w:fill="F4F5F7"/>
            <w:vAlign w:val="center"/>
          </w:tcPr>
          <w:p>
            <w:pPr>
              <w:spacing w:after="0"/>
            </w:pPr>
            <w:r>
              <w:rPr>
                <w:rFonts w:ascii="Arial" w:hAnsi="Arial"/>
                <w:color w:val="2A2D34"/>
                <w:sz w:val="15"/>
              </w:rPr>
              <w:t>Alerts, gas and response runbooks remain active</w:t>
            </w:r>
          </w:p>
        </w:tc>
      </w:tr>
    </w:tbl>
    <w:p>
      <w:pPr>
        <w:spacing w:before="140" w:after="80"/>
      </w:pPr>
      <w:r>
        <w:rPr>
          <w:rFonts w:ascii="Arial" w:hAnsi="Arial"/>
          <w:b/>
          <w:color w:val="D73454"/>
          <w:sz w:val="16"/>
        </w:rPr>
        <w:t>RESIDUAL-RISK OWNERSHIP</w:t>
      </w:r>
    </w:p>
    <w:p>
      <w:pPr>
        <w:keepLines/>
        <w:widowControl/>
      </w:pPr>
      <w:r>
        <w:t>Residual risk is accepted only with a named control owner and observable trigger. Oracle risk is shared by feed configuration and monitoring; governance risk is shared by Safe signers and Timelock policy; treasury risk is owned through funded-balance checks; dependency and RPC risk require redundancy and change detection. None of these assumptions is converted into a code-level guarantee.</w:t>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ORACLE</w:t>
            </w:r>
          </w:p>
          <w:p>
            <w:pPr>
              <w:spacing w:after="0"/>
            </w:pPr>
            <w:r>
              <w:rPr>
                <w:rFonts w:ascii="Arial" w:hAnsi="Arial"/>
                <w:color w:val="2A2D34"/>
                <w:sz w:val="14"/>
              </w:rPr>
              <w:t>Config + monitoring</w:t>
            </w:r>
          </w:p>
        </w:tc>
        <w:tc>
          <w:tcPr>
            <w:tcW w:type="dxa" w:w="2250"/>
            <w:tcMar>
              <w:top w:w="120" w:type="dxa"/>
              <w:start w:w="130" w:type="dxa"/>
              <w:bottom w:w="120" w:type="dxa"/>
              <w:end w:w="130" w:type="dxa"/>
            </w:tcMar>
            <w:shd w:fill="EAEDF2"/>
            <w:tcBorders>
              <w:top w:val="single" w:sz="22" w:color="E33F5E"/>
            </w:tcBorders>
          </w:tcPr>
          <w:p>
            <w:pPr>
              <w:spacing w:after="40"/>
            </w:pPr>
            <w:r>
              <w:rPr>
                <w:rFonts w:ascii="Arial" w:hAnsi="Arial"/>
                <w:b/>
                <w:color w:val="D73454"/>
                <w:sz w:val="14"/>
              </w:rPr>
              <w:t>GOVERNANCE</w:t>
            </w:r>
          </w:p>
          <w:p>
            <w:pPr>
              <w:spacing w:after="0"/>
            </w:pPr>
            <w:r>
              <w:rPr>
                <w:rFonts w:ascii="Arial" w:hAnsi="Arial"/>
                <w:color w:val="2A2D34"/>
                <w:sz w:val="14"/>
              </w:rPr>
              <w:t>Safe + Timelock</w:t>
            </w:r>
          </w:p>
        </w:tc>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TREASURY</w:t>
            </w:r>
          </w:p>
          <w:p>
            <w:pPr>
              <w:spacing w:after="0"/>
            </w:pPr>
            <w:r>
              <w:rPr>
                <w:rFonts w:ascii="Arial" w:hAnsi="Arial"/>
                <w:color w:val="2A2D34"/>
                <w:sz w:val="14"/>
              </w:rPr>
              <w:t>Coverage checks</w:t>
            </w:r>
          </w:p>
        </w:tc>
        <w:tc>
          <w:tcPr>
            <w:tcW w:type="dxa" w:w="2250"/>
            <w:tcMar>
              <w:top w:w="120" w:type="dxa"/>
              <w:start w:w="130" w:type="dxa"/>
              <w:bottom w:w="120" w:type="dxa"/>
              <w:end w:w="130" w:type="dxa"/>
            </w:tcMar>
            <w:shd w:fill="EAEDF2"/>
            <w:tcBorders>
              <w:top w:val="single" w:sz="22" w:color="17191F"/>
            </w:tcBorders>
          </w:tcPr>
          <w:p>
            <w:pPr>
              <w:spacing w:after="40"/>
            </w:pPr>
            <w:r>
              <w:rPr>
                <w:rFonts w:ascii="Arial" w:hAnsi="Arial"/>
                <w:b/>
                <w:color w:val="D73454"/>
                <w:sz w:val="14"/>
              </w:rPr>
              <w:t>INFRASTRUCTURE</w:t>
            </w:r>
          </w:p>
          <w:p>
            <w:pPr>
              <w:spacing w:after="0"/>
            </w:pPr>
            <w:r>
              <w:rPr>
                <w:rFonts w:ascii="Arial" w:hAnsi="Arial"/>
                <w:color w:val="2A2D34"/>
                <w:sz w:val="14"/>
              </w:rPr>
              <w:t>Redundancy + alerts</w:t>
            </w:r>
          </w:p>
        </w:tc>
      </w:tr>
    </w:tbl>
    <w:p>
      <w:r>
        <w:br w:type="page"/>
      </w:r>
    </w:p>
    <w:p>
      <w:pPr>
        <w:pStyle w:val="Kicker"/>
      </w:pPr>
      <w:r>
        <w:t>APPENDIX</w:t>
      </w:r>
    </w:p>
    <w:p>
      <w:pPr>
        <w:pStyle w:val="Heading1"/>
      </w:pPr>
      <w:r>
        <w:t>Verification Matrix</w:t>
      </w:r>
    </w:p>
    <w:p>
      <w:pPr>
        <w:spacing w:after="200" w:line="96" w:lineRule="auto"/>
      </w:pPr>
      <w:r>
        <w:rPr>
          <w:rFonts w:ascii="Arial" w:hAnsi="Arial"/>
          <w:color w:val="E03E5B"/>
          <w:sz w:val="12"/>
        </w:rPr>
        <w:t>━━━━━━━━━━━━━━━━━━━━━━━━━━━━━━━━━━━━━━━━━━━━━━━━━━━━━━━━━━━━</w:t>
      </w:r>
    </w:p>
    <w:p>
      <w:pPr>
        <w:keepLines/>
        <w:widowControl/>
      </w:pPr>
      <w:r>
        <w:t>The matrix maps each security objective to implementation and current evidence. A production evidence cell is intentionally not converted to PASS without live addresses and state. The source uses checked Solidity arithmetic, SafeERC20, ReentrancyGuard, Ownable2Step, Math.mulDiv, custom errors, explicit validation and indexed lifecycle events.</w:t>
      </w:r>
    </w:p>
    <w:tbl>
      <w:tblPr>
        <w:tblW w:type="auto" w:w="0"/>
        <w:jc w:val="center"/>
        <w:tblLayout w:type="fixed"/>
        <w:tblLook w:firstColumn="1" w:firstRow="1" w:lastColumn="0" w:lastRow="0" w:noHBand="0" w:noVBand="1" w:val="04A0"/>
      </w:tblPr>
      <w:tblGrid>
        <w:gridCol w:w="2537"/>
        <w:gridCol w:w="2537"/>
        <w:gridCol w:w="2537"/>
        <w:gridCol w:w="2537"/>
      </w:tblGrid>
      <w:tr>
        <w:trPr>
          <w:tblHeader w:val="true"/>
        </w:trPr>
        <w:tc>
          <w:tcPr>
            <w:tcW w:type="dxa" w:w="950"/>
            <w:shd w:fill="17191F"/>
            <w:tcMar>
              <w:top w:w="100" w:type="dxa"/>
              <w:start w:w="120" w:type="dxa"/>
              <w:bottom w:w="100" w:type="dxa"/>
              <w:end w:w="120" w:type="dxa"/>
            </w:tcMar>
            <w:vAlign w:val="center"/>
          </w:tcPr>
          <w:p>
            <w:pPr>
              <w:spacing w:after="0"/>
            </w:pPr>
            <w:r>
              <w:rPr>
                <w:rFonts w:ascii="Arial" w:hAnsi="Arial"/>
                <w:b/>
                <w:color w:val="FFFFFF"/>
                <w:sz w:val="16"/>
              </w:rPr>
              <w:t>Objective</w:t>
            </w:r>
          </w:p>
        </w:tc>
        <w:tc>
          <w:tcPr>
            <w:tcW w:type="dxa" w:w="1050"/>
            <w:shd w:fill="17191F"/>
            <w:tcMar>
              <w:top w:w="100" w:type="dxa"/>
              <w:start w:w="120" w:type="dxa"/>
              <w:bottom w:w="100" w:type="dxa"/>
              <w:end w:w="120" w:type="dxa"/>
            </w:tcMar>
            <w:vAlign w:val="center"/>
          </w:tcPr>
          <w:p>
            <w:pPr>
              <w:spacing w:after="0"/>
            </w:pPr>
            <w:r>
              <w:rPr>
                <w:rFonts w:ascii="Arial" w:hAnsi="Arial"/>
                <w:b/>
                <w:color w:val="FFFFFF"/>
                <w:sz w:val="16"/>
              </w:rPr>
              <w:t>Control</w:t>
            </w:r>
          </w:p>
        </w:tc>
        <w:tc>
          <w:tcPr>
            <w:tcW w:type="dxa" w:w="2050"/>
            <w:shd w:fill="17191F"/>
            <w:tcMar>
              <w:top w:w="100" w:type="dxa"/>
              <w:start w:w="120" w:type="dxa"/>
              <w:bottom w:w="100" w:type="dxa"/>
              <w:end w:w="120" w:type="dxa"/>
            </w:tcMar>
            <w:vAlign w:val="center"/>
          </w:tcPr>
          <w:p>
            <w:pPr>
              <w:spacing w:after="0"/>
            </w:pPr>
            <w:r>
              <w:rPr>
                <w:rFonts w:ascii="Arial" w:hAnsi="Arial"/>
                <w:b/>
                <w:color w:val="FFFFFF"/>
                <w:sz w:val="16"/>
              </w:rPr>
              <w:t>Local evidence</w:t>
            </w:r>
          </w:p>
        </w:tc>
        <w:tc>
          <w:tcPr>
            <w:tcW w:type="dxa" w:w="4950"/>
            <w:shd w:fill="17191F"/>
            <w:tcMar>
              <w:top w:w="100" w:type="dxa"/>
              <w:start w:w="120" w:type="dxa"/>
              <w:bottom w:w="100" w:type="dxa"/>
              <w:end w:w="120" w:type="dxa"/>
            </w:tcMar>
            <w:vAlign w:val="center"/>
          </w:tcPr>
          <w:p>
            <w:pPr>
              <w:spacing w:after="0"/>
            </w:pPr>
            <w:r>
              <w:rPr>
                <w:rFonts w:ascii="Arial" w:hAnsi="Arial"/>
                <w:b/>
                <w:color w:val="FFFFFF"/>
                <w:sz w:val="16"/>
              </w:rPr>
              <w:t>Live evidence</w:t>
            </w:r>
          </w:p>
        </w:tc>
      </w:tr>
      <w:tr>
        <w:tc>
          <w:tcPr>
            <w:tcW w:type="dxa" w:w="950"/>
            <w:tcMar>
              <w:top w:w="85" w:type="dxa"/>
              <w:start w:w="120" w:type="dxa"/>
              <w:bottom w:w="85" w:type="dxa"/>
              <w:end w:w="120" w:type="dxa"/>
            </w:tcMar>
            <w:vAlign w:val="center"/>
          </w:tcPr>
          <w:p>
            <w:pPr>
              <w:spacing w:after="0"/>
            </w:pPr>
            <w:r>
              <w:rPr>
                <w:rFonts w:ascii="Arial" w:hAnsi="Arial"/>
                <w:color w:val="2A2D34"/>
                <w:sz w:val="15"/>
              </w:rPr>
              <w:t>Only eligible users redeem</w:t>
            </w:r>
          </w:p>
        </w:tc>
        <w:tc>
          <w:tcPr>
            <w:tcW w:type="dxa" w:w="1050"/>
            <w:tcMar>
              <w:top w:w="85" w:type="dxa"/>
              <w:start w:w="120" w:type="dxa"/>
              <w:bottom w:w="85" w:type="dxa"/>
              <w:end w:w="120" w:type="dxa"/>
            </w:tcMar>
            <w:vAlign w:val="center"/>
          </w:tcPr>
          <w:p>
            <w:pPr>
              <w:spacing w:after="0"/>
            </w:pPr>
            <w:r>
              <w:rPr>
                <w:rFonts w:ascii="Arial" w:hAnsi="Arial"/>
                <w:color w:val="2A2D34"/>
                <w:sz w:val="15"/>
              </w:rPr>
              <w:t>receipt + remaining entitlement</w:t>
            </w:r>
          </w:p>
        </w:tc>
        <w:tc>
          <w:tcPr>
            <w:tcW w:type="dxa" w:w="2050"/>
            <w:tcMar>
              <w:top w:w="85" w:type="dxa"/>
              <w:start w:w="120" w:type="dxa"/>
              <w:bottom w:w="85" w:type="dxa"/>
              <w:end w:w="120" w:type="dxa"/>
            </w:tcMar>
            <w:vAlign w:val="center"/>
          </w:tcPr>
          <w:p>
            <w:pPr>
              <w:spacing w:after="0"/>
            </w:pPr>
            <w:r>
              <w:rPr>
                <w:rFonts w:ascii="Arial" w:hAnsi="Arial"/>
                <w:color w:val="2A2D34"/>
                <w:sz w:val="15"/>
              </w:rPr>
              <w:t>chain-56 tests</w:t>
            </w:r>
          </w:p>
        </w:tc>
        <w:tc>
          <w:tcPr>
            <w:tcW w:type="dxa" w:w="4950"/>
            <w:tcMar>
              <w:top w:w="85" w:type="dxa"/>
              <w:start w:w="120" w:type="dxa"/>
              <w:bottom w:w="85" w:type="dxa"/>
              <w:end w:w="120" w:type="dxa"/>
            </w:tcMar>
            <w:vAlign w:val="center"/>
          </w:tcPr>
          <w:p>
            <w:pPr>
              <w:spacing w:after="0"/>
            </w:pPr>
            <w:r>
              <w:rPr>
                <w:rFonts w:ascii="Arial" w:hAnsi="Arial"/>
                <w:color w:val="2A2D34"/>
                <w:sz w:val="15"/>
              </w:rPr>
              <w:t>OPEN</w:t>
            </w:r>
          </w:p>
        </w:tc>
      </w:tr>
      <w:tr>
        <w:tc>
          <w:tcPr>
            <w:tcW w:type="dxa" w:w="950"/>
            <w:tcMar>
              <w:top w:w="85" w:type="dxa"/>
              <w:start w:w="120" w:type="dxa"/>
              <w:bottom w:w="85" w:type="dxa"/>
              <w:end w:w="120" w:type="dxa"/>
            </w:tcMar>
            <w:shd w:fill="F4F5F7"/>
            <w:vAlign w:val="center"/>
          </w:tcPr>
          <w:p>
            <w:pPr>
              <w:spacing w:after="0"/>
            </w:pPr>
            <w:r>
              <w:rPr>
                <w:rFonts w:ascii="Arial" w:hAnsi="Arial"/>
                <w:color w:val="2A2D34"/>
                <w:sz w:val="15"/>
              </w:rPr>
              <w:t>Liability remains reserve-backed</w:t>
            </w:r>
          </w:p>
        </w:tc>
        <w:tc>
          <w:tcPr>
            <w:tcW w:type="dxa" w:w="1050"/>
            <w:tcMar>
              <w:top w:w="85" w:type="dxa"/>
              <w:start w:w="120" w:type="dxa"/>
              <w:bottom w:w="85" w:type="dxa"/>
              <w:end w:w="120" w:type="dxa"/>
            </w:tcMar>
            <w:shd w:fill="F4F5F7"/>
            <w:vAlign w:val="center"/>
          </w:tcPr>
          <w:p>
            <w:pPr>
              <w:spacing w:after="0"/>
            </w:pPr>
            <w:r>
              <w:rPr>
                <w:rFonts w:ascii="Arial" w:hAnsi="Arial"/>
                <w:color w:val="2A2D34"/>
                <w:sz w:val="15"/>
              </w:rPr>
              <w:t>projected reserve check</w:t>
            </w:r>
          </w:p>
        </w:tc>
        <w:tc>
          <w:tcPr>
            <w:tcW w:type="dxa" w:w="2050"/>
            <w:tcMar>
              <w:top w:w="85" w:type="dxa"/>
              <w:start w:w="120" w:type="dxa"/>
              <w:bottom w:w="85" w:type="dxa"/>
              <w:end w:w="120" w:type="dxa"/>
            </w:tcMar>
            <w:shd w:fill="F4F5F7"/>
            <w:vAlign w:val="center"/>
          </w:tcPr>
          <w:p>
            <w:pPr>
              <w:spacing w:after="0"/>
            </w:pPr>
            <w:r>
              <w:rPr>
                <w:rFonts w:ascii="Arial" w:hAnsi="Arial"/>
                <w:color w:val="2A2D34"/>
                <w:sz w:val="15"/>
              </w:rPr>
              <w:t>chain-56 tests</w:t>
            </w:r>
          </w:p>
        </w:tc>
        <w:tc>
          <w:tcPr>
            <w:tcW w:type="dxa" w:w="4950"/>
            <w:tcMar>
              <w:top w:w="85" w:type="dxa"/>
              <w:start w:w="120" w:type="dxa"/>
              <w:bottom w:w="85" w:type="dxa"/>
              <w:end w:w="120" w:type="dxa"/>
            </w:tcMar>
            <w:shd w:fill="F4F5F7"/>
            <w:vAlign w:val="center"/>
          </w:tcPr>
          <w:p>
            <w:pPr>
              <w:spacing w:after="0"/>
            </w:pPr>
            <w:r>
              <w:rPr>
                <w:rFonts w:ascii="Arial" w:hAnsi="Arial"/>
                <w:color w:val="2A2D34"/>
                <w:sz w:val="15"/>
              </w:rPr>
              <w:t>OPEN</w:t>
            </w:r>
          </w:p>
        </w:tc>
      </w:tr>
      <w:tr>
        <w:tc>
          <w:tcPr>
            <w:tcW w:type="dxa" w:w="950"/>
            <w:tcMar>
              <w:top w:w="85" w:type="dxa"/>
              <w:start w:w="120" w:type="dxa"/>
              <w:bottom w:w="85" w:type="dxa"/>
              <w:end w:w="120" w:type="dxa"/>
            </w:tcMar>
            <w:vAlign w:val="center"/>
          </w:tcPr>
          <w:p>
            <w:pPr>
              <w:spacing w:after="0"/>
            </w:pPr>
            <w:r>
              <w:rPr>
                <w:rFonts w:ascii="Arial" w:hAnsi="Arial"/>
                <w:color w:val="2A2D34"/>
                <w:sz w:val="15"/>
              </w:rPr>
              <w:t>Oracle anomalies fail closed</w:t>
            </w:r>
          </w:p>
        </w:tc>
        <w:tc>
          <w:tcPr>
            <w:tcW w:type="dxa" w:w="1050"/>
            <w:tcMar>
              <w:top w:w="85" w:type="dxa"/>
              <w:start w:w="120" w:type="dxa"/>
              <w:bottom w:w="85" w:type="dxa"/>
              <w:end w:w="120" w:type="dxa"/>
            </w:tcMar>
            <w:vAlign w:val="center"/>
          </w:tcPr>
          <w:p>
            <w:pPr>
              <w:spacing w:after="0"/>
            </w:pPr>
            <w:r>
              <w:rPr>
                <w:rFonts w:ascii="Arial" w:hAnsi="Arial"/>
                <w:color w:val="2A2D34"/>
                <w:sz w:val="15"/>
              </w:rPr>
              <w:t>bounds/deviation/breaker</w:t>
            </w:r>
          </w:p>
        </w:tc>
        <w:tc>
          <w:tcPr>
            <w:tcW w:type="dxa" w:w="2050"/>
            <w:tcMar>
              <w:top w:w="85" w:type="dxa"/>
              <w:start w:w="120" w:type="dxa"/>
              <w:bottom w:w="85" w:type="dxa"/>
              <w:end w:w="120" w:type="dxa"/>
            </w:tcMar>
            <w:vAlign w:val="center"/>
          </w:tcPr>
          <w:p>
            <w:pPr>
              <w:spacing w:after="0"/>
            </w:pPr>
            <w:r>
              <w:rPr>
                <w:rFonts w:ascii="Arial" w:hAnsi="Arial"/>
                <w:color w:val="2A2D34"/>
                <w:sz w:val="15"/>
              </w:rPr>
              <w:t>chain-56 tests</w:t>
            </w:r>
          </w:p>
        </w:tc>
        <w:tc>
          <w:tcPr>
            <w:tcW w:type="dxa" w:w="4950"/>
            <w:tcMar>
              <w:top w:w="85" w:type="dxa"/>
              <w:start w:w="120" w:type="dxa"/>
              <w:bottom w:w="85" w:type="dxa"/>
              <w:end w:w="120" w:type="dxa"/>
            </w:tcMar>
            <w:vAlign w:val="center"/>
          </w:tcPr>
          <w:p>
            <w:pPr>
              <w:spacing w:after="0"/>
            </w:pPr>
            <w:r>
              <w:rPr>
                <w:rFonts w:ascii="Arial" w:hAnsi="Arial"/>
                <w:color w:val="2A2D34"/>
                <w:sz w:val="15"/>
              </w:rPr>
              <w:t>OPEN</w:t>
            </w:r>
          </w:p>
        </w:tc>
      </w:tr>
      <w:tr>
        <w:tc>
          <w:tcPr>
            <w:tcW w:type="dxa" w:w="950"/>
            <w:tcMar>
              <w:top w:w="85" w:type="dxa"/>
              <w:start w:w="120" w:type="dxa"/>
              <w:bottom w:w="85" w:type="dxa"/>
              <w:end w:w="120" w:type="dxa"/>
            </w:tcMar>
            <w:shd w:fill="F4F5F7"/>
            <w:vAlign w:val="center"/>
          </w:tcPr>
          <w:p>
            <w:pPr>
              <w:spacing w:after="0"/>
            </w:pPr>
            <w:r>
              <w:rPr>
                <w:rFonts w:ascii="Arial" w:hAnsi="Arial"/>
                <w:color w:val="2A2D34"/>
                <w:sz w:val="15"/>
              </w:rPr>
              <w:t>Staking remains inventory-backed</w:t>
            </w:r>
          </w:p>
        </w:tc>
        <w:tc>
          <w:tcPr>
            <w:tcW w:type="dxa" w:w="1050"/>
            <w:tcMar>
              <w:top w:w="85" w:type="dxa"/>
              <w:start w:w="120" w:type="dxa"/>
              <w:bottom w:w="85" w:type="dxa"/>
              <w:end w:w="120" w:type="dxa"/>
            </w:tcMar>
            <w:shd w:fill="F4F5F7"/>
            <w:vAlign w:val="center"/>
          </w:tcPr>
          <w:p>
            <w:pPr>
              <w:spacing w:after="0"/>
            </w:pPr>
            <w:r>
              <w:rPr>
                <w:rFonts w:ascii="Arial" w:hAnsi="Arial"/>
                <w:color w:val="2A2D34"/>
                <w:sz w:val="15"/>
              </w:rPr>
              <w:t>aggregate entitlement</w:t>
            </w:r>
          </w:p>
        </w:tc>
        <w:tc>
          <w:tcPr>
            <w:tcW w:type="dxa" w:w="2050"/>
            <w:tcMar>
              <w:top w:w="85" w:type="dxa"/>
              <w:start w:w="120" w:type="dxa"/>
              <w:bottom w:w="85" w:type="dxa"/>
              <w:end w:w="120" w:type="dxa"/>
            </w:tcMar>
            <w:shd w:fill="F4F5F7"/>
            <w:vAlign w:val="center"/>
          </w:tcPr>
          <w:p>
            <w:pPr>
              <w:spacing w:after="0"/>
            </w:pPr>
            <w:r>
              <w:rPr>
                <w:rFonts w:ascii="Arial" w:hAnsi="Arial"/>
                <w:color w:val="2A2D34"/>
                <w:sz w:val="15"/>
              </w:rPr>
              <w:t>chain-56 tests</w:t>
            </w:r>
          </w:p>
        </w:tc>
        <w:tc>
          <w:tcPr>
            <w:tcW w:type="dxa" w:w="4950"/>
            <w:tcMar>
              <w:top w:w="85" w:type="dxa"/>
              <w:start w:w="120" w:type="dxa"/>
              <w:bottom w:w="85" w:type="dxa"/>
              <w:end w:w="120" w:type="dxa"/>
            </w:tcMar>
            <w:shd w:fill="F4F5F7"/>
            <w:vAlign w:val="center"/>
          </w:tcPr>
          <w:p>
            <w:pPr>
              <w:spacing w:after="0"/>
            </w:pPr>
            <w:r>
              <w:rPr>
                <w:rFonts w:ascii="Arial" w:hAnsi="Arial"/>
                <w:color w:val="2A2D34"/>
                <w:sz w:val="15"/>
              </w:rPr>
              <w:t>OPEN</w:t>
            </w:r>
          </w:p>
        </w:tc>
      </w:tr>
      <w:tr>
        <w:tc>
          <w:tcPr>
            <w:tcW w:type="dxa" w:w="950"/>
            <w:tcMar>
              <w:top w:w="85" w:type="dxa"/>
              <w:start w:w="120" w:type="dxa"/>
              <w:bottom w:w="85" w:type="dxa"/>
              <w:end w:w="120" w:type="dxa"/>
            </w:tcMar>
            <w:vAlign w:val="center"/>
          </w:tcPr>
          <w:p>
            <w:pPr>
              <w:spacing w:after="0"/>
            </w:pPr>
            <w:r>
              <w:rPr>
                <w:rFonts w:ascii="Arial" w:hAnsi="Arial"/>
                <w:color w:val="2A2D34"/>
                <w:sz w:val="15"/>
              </w:rPr>
              <w:t>Wrong chain rejected</w:t>
            </w:r>
          </w:p>
        </w:tc>
        <w:tc>
          <w:tcPr>
            <w:tcW w:type="dxa" w:w="1050"/>
            <w:tcMar>
              <w:top w:w="85" w:type="dxa"/>
              <w:start w:w="120" w:type="dxa"/>
              <w:bottom w:w="85" w:type="dxa"/>
              <w:end w:w="120" w:type="dxa"/>
            </w:tcMar>
            <w:vAlign w:val="center"/>
          </w:tcPr>
          <w:p>
            <w:pPr>
              <w:spacing w:after="0"/>
            </w:pPr>
            <w:r>
              <w:rPr>
                <w:rFonts w:ascii="Arial" w:hAnsi="Arial"/>
                <w:color w:val="2A2D34"/>
                <w:sz w:val="15"/>
              </w:rPr>
              <w:t>chainId configuration guard</w:t>
            </w:r>
          </w:p>
        </w:tc>
        <w:tc>
          <w:tcPr>
            <w:tcW w:type="dxa" w:w="2050"/>
            <w:tcMar>
              <w:top w:w="85" w:type="dxa"/>
              <w:start w:w="120" w:type="dxa"/>
              <w:bottom w:w="85" w:type="dxa"/>
              <w:end w:w="120" w:type="dxa"/>
            </w:tcMar>
            <w:vAlign w:val="center"/>
          </w:tcPr>
          <w:p>
            <w:pPr>
              <w:spacing w:after="0"/>
            </w:pPr>
            <w:r>
              <w:rPr>
                <w:rFonts w:ascii="Arial" w:hAnsi="Arial"/>
                <w:color w:val="2A2D34"/>
                <w:sz w:val="15"/>
              </w:rPr>
              <w:t>1 passing / 0 excluded</w:t>
            </w:r>
          </w:p>
        </w:tc>
        <w:tc>
          <w:tcPr>
            <w:tcW w:type="dxa" w:w="4950"/>
            <w:tcMar>
              <w:top w:w="85" w:type="dxa"/>
              <w:start w:w="120" w:type="dxa"/>
              <w:bottom w:w="85" w:type="dxa"/>
              <w:end w:w="120" w:type="dxa"/>
            </w:tcMar>
            <w:vAlign w:val="center"/>
          </w:tcPr>
          <w:p>
            <w:pPr>
              <w:spacing w:after="0"/>
            </w:pPr>
            <w:r>
              <w:rPr>
                <w:rFonts w:ascii="Arial" w:hAnsi="Arial"/>
                <w:color w:val="2A2D34"/>
                <w:sz w:val="15"/>
              </w:rPr>
              <w:t>N/A</w:t>
            </w:r>
          </w:p>
        </w:tc>
      </w:tr>
      <w:tr>
        <w:tc>
          <w:tcPr>
            <w:tcW w:type="dxa" w:w="950"/>
            <w:tcMar>
              <w:top w:w="85" w:type="dxa"/>
              <w:start w:w="120" w:type="dxa"/>
              <w:bottom w:w="85" w:type="dxa"/>
              <w:end w:w="120" w:type="dxa"/>
            </w:tcMar>
            <w:shd w:fill="F4F5F7"/>
            <w:vAlign w:val="center"/>
          </w:tcPr>
          <w:p>
            <w:pPr>
              <w:spacing w:after="0"/>
            </w:pPr>
            <w:r>
              <w:rPr>
                <w:rFonts w:ascii="Arial" w:hAnsi="Arial"/>
                <w:color w:val="2A2D34"/>
                <w:sz w:val="15"/>
              </w:rPr>
              <w:t>Admin changes delayed</w:t>
            </w:r>
          </w:p>
        </w:tc>
        <w:tc>
          <w:tcPr>
            <w:tcW w:type="dxa" w:w="1050"/>
            <w:tcMar>
              <w:top w:w="85" w:type="dxa"/>
              <w:start w:w="120" w:type="dxa"/>
              <w:bottom w:w="85" w:type="dxa"/>
              <w:end w:w="120" w:type="dxa"/>
            </w:tcMar>
            <w:shd w:fill="F4F5F7"/>
            <w:vAlign w:val="center"/>
          </w:tcPr>
          <w:p>
            <w:pPr>
              <w:spacing w:after="0"/>
            </w:pPr>
            <w:r>
              <w:rPr>
                <w:rFonts w:ascii="Arial" w:hAnsi="Arial"/>
                <w:color w:val="2A2D34"/>
                <w:sz w:val="15"/>
              </w:rPr>
              <w:t>deployment Timelock gate</w:t>
            </w:r>
          </w:p>
        </w:tc>
        <w:tc>
          <w:tcPr>
            <w:tcW w:type="dxa" w:w="2050"/>
            <w:tcMar>
              <w:top w:w="85" w:type="dxa"/>
              <w:start w:w="120" w:type="dxa"/>
              <w:bottom w:w="85" w:type="dxa"/>
              <w:end w:w="120" w:type="dxa"/>
            </w:tcMar>
            <w:shd w:fill="F4F5F7"/>
            <w:vAlign w:val="center"/>
          </w:tcPr>
          <w:p>
            <w:pPr>
              <w:spacing w:after="0"/>
            </w:pPr>
            <w:r>
              <w:rPr>
                <w:rFonts w:ascii="Arial" w:hAnsi="Arial"/>
                <w:color w:val="2A2D34"/>
                <w:sz w:val="15"/>
              </w:rPr>
              <w:t>deployment unit tests</w:t>
            </w:r>
          </w:p>
        </w:tc>
        <w:tc>
          <w:tcPr>
            <w:tcW w:type="dxa" w:w="4950"/>
            <w:tcMar>
              <w:top w:w="85" w:type="dxa"/>
              <w:start w:w="120" w:type="dxa"/>
              <w:bottom w:w="85" w:type="dxa"/>
              <w:end w:w="120" w:type="dxa"/>
            </w:tcMar>
            <w:shd w:fill="F4F5F7"/>
            <w:vAlign w:val="center"/>
          </w:tcPr>
          <w:p>
            <w:pPr>
              <w:spacing w:after="0"/>
            </w:pPr>
            <w:r>
              <w:rPr>
                <w:rFonts w:ascii="Arial" w:hAnsi="Arial"/>
                <w:color w:val="2A2D34"/>
                <w:sz w:val="15"/>
              </w:rPr>
              <w:t>OPEN</w:t>
            </w:r>
          </w:p>
        </w:tc>
      </w:tr>
    </w:tbl>
    <w:p>
      <w:pPr>
        <w:spacing w:before="140" w:after="80"/>
      </w:pPr>
      <w:r>
        <w:rPr>
          <w:rFonts w:ascii="Arial" w:hAnsi="Arial"/>
          <w:b/>
          <w:color w:val="D73454"/>
          <w:sz w:val="16"/>
        </w:rPr>
        <w:t>EVIDENCE-STATE LEGEND</w:t>
      </w:r>
    </w:p>
    <w:p>
      <w:pPr>
        <w:keepLines/>
        <w:widowControl/>
      </w:pPr>
      <w:r>
        <w:t>Local PASS means the current source and named test evidence agree. RELEASE GATE means the control exists but depends on address, balance or governance evidence. OPEN means the live property still requires evidence. This vocabulary prevents a strong unit test from being presented as proof of production configuration or operational availability.</w:t>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PASS</w:t>
            </w:r>
          </w:p>
          <w:p>
            <w:pPr>
              <w:spacing w:after="0"/>
            </w:pPr>
            <w:r>
              <w:rPr>
                <w:rFonts w:ascii="Arial" w:hAnsi="Arial"/>
                <w:color w:val="2A2D34"/>
                <w:sz w:val="14"/>
              </w:rPr>
              <w:t>Local evidence complete</w:t>
            </w:r>
          </w:p>
        </w:tc>
        <w:tc>
          <w:tcPr>
            <w:tcW w:type="dxa" w:w="2250"/>
            <w:tcMar>
              <w:top w:w="120" w:type="dxa"/>
              <w:start w:w="130" w:type="dxa"/>
              <w:bottom w:w="120" w:type="dxa"/>
              <w:end w:w="130" w:type="dxa"/>
            </w:tcMar>
            <w:shd w:fill="EAEDF2"/>
            <w:tcBorders>
              <w:top w:val="single" w:sz="22" w:color="E33F5E"/>
            </w:tcBorders>
          </w:tcPr>
          <w:p>
            <w:pPr>
              <w:spacing w:after="40"/>
            </w:pPr>
            <w:r>
              <w:rPr>
                <w:rFonts w:ascii="Arial" w:hAnsi="Arial"/>
                <w:b/>
                <w:color w:val="D73454"/>
                <w:sz w:val="14"/>
              </w:rPr>
              <w:t>GATE</w:t>
            </w:r>
          </w:p>
          <w:p>
            <w:pPr>
              <w:spacing w:after="0"/>
            </w:pPr>
            <w:r>
              <w:rPr>
                <w:rFonts w:ascii="Arial" w:hAnsi="Arial"/>
                <w:color w:val="2A2D34"/>
                <w:sz w:val="14"/>
              </w:rPr>
              <w:t>Needs deployment proof</w:t>
            </w:r>
          </w:p>
        </w:tc>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OPEN</w:t>
            </w:r>
          </w:p>
          <w:p>
            <w:pPr>
              <w:spacing w:after="0"/>
            </w:pPr>
            <w:r>
              <w:rPr>
                <w:rFonts w:ascii="Arial" w:hAnsi="Arial"/>
                <w:color w:val="2A2D34"/>
                <w:sz w:val="14"/>
              </w:rPr>
              <w:t>Live evidence required</w:t>
            </w:r>
          </w:p>
        </w:tc>
        <w:tc>
          <w:tcPr>
            <w:tcW w:type="dxa" w:w="2250"/>
            <w:tcMar>
              <w:top w:w="120" w:type="dxa"/>
              <w:start w:w="130" w:type="dxa"/>
              <w:bottom w:w="120" w:type="dxa"/>
              <w:end w:w="130" w:type="dxa"/>
            </w:tcMar>
            <w:shd w:fill="EAEDF2"/>
            <w:tcBorders>
              <w:top w:val="single" w:sz="22" w:color="17191F"/>
            </w:tcBorders>
          </w:tcPr>
          <w:p>
            <w:pPr>
              <w:spacing w:after="40"/>
            </w:pPr>
            <w:r>
              <w:rPr>
                <w:rFonts w:ascii="Arial" w:hAnsi="Arial"/>
                <w:b/>
                <w:color w:val="D73454"/>
                <w:sz w:val="14"/>
              </w:rPr>
              <w:t>N/A</w:t>
            </w:r>
          </w:p>
          <w:p>
            <w:pPr>
              <w:spacing w:after="0"/>
            </w:pPr>
            <w:r>
              <w:rPr>
                <w:rFonts w:ascii="Arial" w:hAnsi="Arial"/>
                <w:color w:val="2A2D34"/>
                <w:sz w:val="14"/>
              </w:rPr>
              <w:t>Not deployment-bound</w:t>
            </w:r>
          </w:p>
        </w:tc>
      </w:tr>
    </w:tbl>
    <w:p>
      <w:r>
        <w:br w:type="page"/>
      </w:r>
    </w:p>
    <w:p>
      <w:pPr>
        <w:pStyle w:val="Kicker"/>
      </w:pPr>
      <w:r>
        <w:t>APPENDIX A</w:t>
      </w:r>
    </w:p>
    <w:p>
      <w:pPr>
        <w:pStyle w:val="Heading1"/>
      </w:pPr>
      <w:r>
        <w:t>Source Register and Scope Hashes</w:t>
      </w:r>
    </w:p>
    <w:p>
      <w:pPr>
        <w:spacing w:after="200" w:line="96" w:lineRule="auto"/>
      </w:pPr>
      <w:r>
        <w:rPr>
          <w:rFonts w:ascii="Arial" w:hAnsi="Arial"/>
          <w:color w:val="E03E5B"/>
          <w:sz w:val="12"/>
        </w:rPr>
        <w:t>━━━━━━━━━━━━━━━━━━━━━━━━━━━━━━━━━━━━━━━━━━━━━━━━━━━━━━━━━━━━</w:t>
      </w:r>
    </w:p>
    <w:p>
      <w:pPr>
        <w:keepLines/>
        <w:widowControl/>
      </w:pPr>
      <w:r>
        <w:t>Ordered current production Solidity identity. Scope root: cff85cbfc727272ccf234a69745299a4f73de007ee6ac7b6f9c6d6b9a31651e1. The scope root is retained as the release comparison key; any mismatch blocks bytecode/configuration claims.</w:t>
      </w:r>
    </w:p>
    <w:tbl>
      <w:tblPr>
        <w:tblW w:type="auto" w:w="0"/>
        <w:jc w:val="center"/>
        <w:tblLayout w:type="fixed"/>
        <w:tblLook w:firstColumn="1" w:firstRow="1" w:lastColumn="0" w:lastRow="0" w:noHBand="0" w:noVBand="1" w:val="04A0"/>
      </w:tblPr>
      <w:tblGrid>
        <w:gridCol w:w="3383"/>
        <w:gridCol w:w="3383"/>
        <w:gridCol w:w="3383"/>
      </w:tblGrid>
      <w:tr>
        <w:trPr>
          <w:tblHeader w:val="true"/>
        </w:trPr>
        <w:tc>
          <w:tcPr>
            <w:tcW w:type="dxa" w:w="2100"/>
            <w:shd w:fill="17191F"/>
            <w:tcMar>
              <w:top w:w="100" w:type="dxa"/>
              <w:start w:w="120" w:type="dxa"/>
              <w:bottom w:w="100" w:type="dxa"/>
              <w:end w:w="120" w:type="dxa"/>
            </w:tcMar>
            <w:vAlign w:val="center"/>
          </w:tcPr>
          <w:p>
            <w:pPr>
              <w:spacing w:after="0"/>
            </w:pPr>
            <w:r>
              <w:rPr>
                <w:rFonts w:ascii="Arial" w:hAnsi="Arial"/>
                <w:b/>
                <w:color w:val="FFFFFF"/>
                <w:sz w:val="16"/>
              </w:rPr>
              <w:t>Relative path</w:t>
            </w:r>
          </w:p>
        </w:tc>
        <w:tc>
          <w:tcPr>
            <w:tcW w:type="dxa" w:w="1800"/>
            <w:shd w:fill="17191F"/>
            <w:tcMar>
              <w:top w:w="100" w:type="dxa"/>
              <w:start w:w="120" w:type="dxa"/>
              <w:bottom w:w="100" w:type="dxa"/>
              <w:end w:w="120" w:type="dxa"/>
            </w:tcMar>
            <w:vAlign w:val="center"/>
          </w:tcPr>
          <w:p>
            <w:pPr>
              <w:spacing w:after="0"/>
            </w:pPr>
            <w:r>
              <w:rPr>
                <w:rFonts w:ascii="Arial" w:hAnsi="Arial"/>
                <w:b/>
                <w:color w:val="FFFFFF"/>
                <w:sz w:val="16"/>
              </w:rPr>
              <w:t>LOC</w:t>
            </w:r>
          </w:p>
        </w:tc>
        <w:tc>
          <w:tcPr>
            <w:tcW w:type="dxa" w:w="5100"/>
            <w:shd w:fill="17191F"/>
            <w:tcMar>
              <w:top w:w="100" w:type="dxa"/>
              <w:start w:w="120" w:type="dxa"/>
              <w:bottom w:w="100" w:type="dxa"/>
              <w:end w:w="120" w:type="dxa"/>
            </w:tcMar>
            <w:vAlign w:val="center"/>
          </w:tcPr>
          <w:p>
            <w:pPr>
              <w:spacing w:after="0"/>
            </w:pPr>
            <w:r>
              <w:rPr>
                <w:rFonts w:ascii="Arial" w:hAnsi="Arial"/>
                <w:b/>
                <w:color w:val="FFFFFF"/>
                <w:sz w:val="16"/>
              </w:rPr>
              <w:t>SHA-256</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contracts/AegentMarketRegistry.sol</w:t>
            </w:r>
          </w:p>
        </w:tc>
        <w:tc>
          <w:tcPr>
            <w:tcW w:type="dxa" w:w="1800"/>
            <w:tcMar>
              <w:top w:w="85" w:type="dxa"/>
              <w:start w:w="120" w:type="dxa"/>
              <w:bottom w:w="85" w:type="dxa"/>
              <w:end w:w="120" w:type="dxa"/>
            </w:tcMar>
            <w:vAlign w:val="center"/>
          </w:tcPr>
          <w:p>
            <w:pPr>
              <w:spacing w:after="0"/>
            </w:pPr>
            <w:r>
              <w:rPr>
                <w:rFonts w:ascii="Arial" w:hAnsi="Arial"/>
                <w:color w:val="2A2D34"/>
                <w:sz w:val="15"/>
              </w:rPr>
              <w:t>482</w:t>
            </w:r>
          </w:p>
        </w:tc>
        <w:tc>
          <w:tcPr>
            <w:tcW w:type="dxa" w:w="5100"/>
            <w:tcMar>
              <w:top w:w="85" w:type="dxa"/>
              <w:start w:w="120" w:type="dxa"/>
              <w:bottom w:w="85" w:type="dxa"/>
              <w:end w:w="120" w:type="dxa"/>
            </w:tcMar>
            <w:vAlign w:val="center"/>
          </w:tcPr>
          <w:p>
            <w:pPr>
              <w:spacing w:after="0"/>
            </w:pPr>
            <w:r>
              <w:rPr>
                <w:rFonts w:ascii="Arial" w:hAnsi="Arial"/>
                <w:color w:val="2A2D34"/>
                <w:sz w:val="15"/>
              </w:rPr>
              <w:t>d0f5e1e1414973c834c63cd2d6c0ea82b3c81868937673a17a99d9c681681f15</w:t>
            </w:r>
          </w:p>
        </w:tc>
      </w:tr>
      <w:tr>
        <w:tc>
          <w:tcPr>
            <w:tcW w:type="dxa" w:w="2100"/>
            <w:tcMar>
              <w:top w:w="85" w:type="dxa"/>
              <w:start w:w="120" w:type="dxa"/>
              <w:bottom w:w="85" w:type="dxa"/>
              <w:end w:w="120" w:type="dxa"/>
            </w:tcMar>
            <w:shd w:fill="F4F5F7"/>
            <w:vAlign w:val="center"/>
          </w:tcPr>
          <w:p>
            <w:pPr>
              <w:spacing w:after="0"/>
            </w:pPr>
            <w:r>
              <w:rPr>
                <w:rFonts w:ascii="Arial" w:hAnsi="Arial"/>
                <w:color w:val="2A2D34"/>
                <w:sz w:val="15"/>
              </w:rPr>
              <w:t>contracts/AegentRedemptionV2.sol</w:t>
            </w:r>
          </w:p>
        </w:tc>
        <w:tc>
          <w:tcPr>
            <w:tcW w:type="dxa" w:w="1800"/>
            <w:tcMar>
              <w:top w:w="85" w:type="dxa"/>
              <w:start w:w="120" w:type="dxa"/>
              <w:bottom w:w="85" w:type="dxa"/>
              <w:end w:w="120" w:type="dxa"/>
            </w:tcMar>
            <w:shd w:fill="F4F5F7"/>
            <w:vAlign w:val="center"/>
          </w:tcPr>
          <w:p>
            <w:pPr>
              <w:spacing w:after="0"/>
            </w:pPr>
            <w:r>
              <w:rPr>
                <w:rFonts w:ascii="Arial" w:hAnsi="Arial"/>
                <w:color w:val="2A2D34"/>
                <w:sz w:val="15"/>
              </w:rPr>
              <w:t>1055</w:t>
            </w:r>
          </w:p>
        </w:tc>
        <w:tc>
          <w:tcPr>
            <w:tcW w:type="dxa" w:w="5100"/>
            <w:tcMar>
              <w:top w:w="85" w:type="dxa"/>
              <w:start w:w="120" w:type="dxa"/>
              <w:bottom w:w="85" w:type="dxa"/>
              <w:end w:w="120" w:type="dxa"/>
            </w:tcMar>
            <w:shd w:fill="F4F5F7"/>
            <w:vAlign w:val="center"/>
          </w:tcPr>
          <w:p>
            <w:pPr>
              <w:spacing w:after="0"/>
            </w:pPr>
            <w:r>
              <w:rPr>
                <w:rFonts w:ascii="Arial" w:hAnsi="Arial"/>
                <w:color w:val="2A2D34"/>
                <w:sz w:val="15"/>
              </w:rPr>
              <w:t>8c56661ffb368b80a53252c7404565a33c9801d487505d113a86e2617c67b629</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contracts/AegentSaleProceedsVault.sol</w:t>
            </w:r>
          </w:p>
        </w:tc>
        <w:tc>
          <w:tcPr>
            <w:tcW w:type="dxa" w:w="1800"/>
            <w:tcMar>
              <w:top w:w="85" w:type="dxa"/>
              <w:start w:w="120" w:type="dxa"/>
              <w:bottom w:w="85" w:type="dxa"/>
              <w:end w:w="120" w:type="dxa"/>
            </w:tcMar>
            <w:vAlign w:val="center"/>
          </w:tcPr>
          <w:p>
            <w:pPr>
              <w:spacing w:after="0"/>
            </w:pPr>
            <w:r>
              <w:rPr>
                <w:rFonts w:ascii="Arial" w:hAnsi="Arial"/>
                <w:color w:val="2A2D34"/>
                <w:sz w:val="15"/>
              </w:rPr>
              <w:t>254</w:t>
            </w:r>
          </w:p>
        </w:tc>
        <w:tc>
          <w:tcPr>
            <w:tcW w:type="dxa" w:w="5100"/>
            <w:tcMar>
              <w:top w:w="85" w:type="dxa"/>
              <w:start w:w="120" w:type="dxa"/>
              <w:bottom w:w="85" w:type="dxa"/>
              <w:end w:w="120" w:type="dxa"/>
            </w:tcMar>
            <w:vAlign w:val="center"/>
          </w:tcPr>
          <w:p>
            <w:pPr>
              <w:spacing w:after="0"/>
            </w:pPr>
            <w:r>
              <w:rPr>
                <w:rFonts w:ascii="Arial" w:hAnsi="Arial"/>
                <w:color w:val="2A2D34"/>
                <w:sz w:val="15"/>
              </w:rPr>
              <w:t>f957dff5842c987fed9bcc80c2bd509857505fe87a7b692778a82da8b6c5e7d7</w:t>
            </w:r>
          </w:p>
        </w:tc>
      </w:tr>
      <w:tr>
        <w:tc>
          <w:tcPr>
            <w:tcW w:type="dxa" w:w="2100"/>
            <w:tcMar>
              <w:top w:w="85" w:type="dxa"/>
              <w:start w:w="120" w:type="dxa"/>
              <w:bottom w:w="85" w:type="dxa"/>
              <w:end w:w="120" w:type="dxa"/>
            </w:tcMar>
            <w:shd w:fill="F4F5F7"/>
            <w:vAlign w:val="center"/>
          </w:tcPr>
          <w:p>
            <w:pPr>
              <w:spacing w:after="0"/>
            </w:pPr>
            <w:r>
              <w:rPr>
                <w:rFonts w:ascii="Arial" w:hAnsi="Arial"/>
                <w:color w:val="2A2D34"/>
                <w:sz w:val="15"/>
              </w:rPr>
              <w:t>contracts/AegentStakingV1.sol</w:t>
            </w:r>
          </w:p>
        </w:tc>
        <w:tc>
          <w:tcPr>
            <w:tcW w:type="dxa" w:w="1800"/>
            <w:tcMar>
              <w:top w:w="85" w:type="dxa"/>
              <w:start w:w="120" w:type="dxa"/>
              <w:bottom w:w="85" w:type="dxa"/>
              <w:end w:w="120" w:type="dxa"/>
            </w:tcMar>
            <w:shd w:fill="F4F5F7"/>
            <w:vAlign w:val="center"/>
          </w:tcPr>
          <w:p>
            <w:pPr>
              <w:spacing w:after="0"/>
            </w:pPr>
            <w:r>
              <w:rPr>
                <w:rFonts w:ascii="Arial" w:hAnsi="Arial"/>
                <w:color w:val="2A2D34"/>
                <w:sz w:val="15"/>
              </w:rPr>
              <w:t>1013</w:t>
            </w:r>
          </w:p>
        </w:tc>
        <w:tc>
          <w:tcPr>
            <w:tcW w:type="dxa" w:w="5100"/>
            <w:tcMar>
              <w:top w:w="85" w:type="dxa"/>
              <w:start w:w="120" w:type="dxa"/>
              <w:bottom w:w="85" w:type="dxa"/>
              <w:end w:w="120" w:type="dxa"/>
            </w:tcMar>
            <w:shd w:fill="F4F5F7"/>
            <w:vAlign w:val="center"/>
          </w:tcPr>
          <w:p>
            <w:pPr>
              <w:spacing w:after="0"/>
            </w:pPr>
            <w:r>
              <w:rPr>
                <w:rFonts w:ascii="Arial" w:hAnsi="Arial"/>
                <w:color w:val="2A2D34"/>
                <w:sz w:val="15"/>
              </w:rPr>
              <w:t>7f2da9495e739c90d8a39b9cec8385679c0f04b0e090a4a18e38230cc3aabd55</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contracts/AegentSwapV2.sol</w:t>
            </w:r>
          </w:p>
        </w:tc>
        <w:tc>
          <w:tcPr>
            <w:tcW w:type="dxa" w:w="1800"/>
            <w:tcMar>
              <w:top w:w="85" w:type="dxa"/>
              <w:start w:w="120" w:type="dxa"/>
              <w:bottom w:w="85" w:type="dxa"/>
              <w:end w:w="120" w:type="dxa"/>
            </w:tcMar>
            <w:vAlign w:val="center"/>
          </w:tcPr>
          <w:p>
            <w:pPr>
              <w:spacing w:after="0"/>
            </w:pPr>
            <w:r>
              <w:rPr>
                <w:rFonts w:ascii="Arial" w:hAnsi="Arial"/>
                <w:color w:val="2A2D34"/>
                <w:sz w:val="15"/>
              </w:rPr>
              <w:t>1151</w:t>
            </w:r>
          </w:p>
        </w:tc>
        <w:tc>
          <w:tcPr>
            <w:tcW w:type="dxa" w:w="5100"/>
            <w:tcMar>
              <w:top w:w="85" w:type="dxa"/>
              <w:start w:w="120" w:type="dxa"/>
              <w:bottom w:w="85" w:type="dxa"/>
              <w:end w:w="120" w:type="dxa"/>
            </w:tcMar>
            <w:vAlign w:val="center"/>
          </w:tcPr>
          <w:p>
            <w:pPr>
              <w:spacing w:after="0"/>
            </w:pPr>
            <w:r>
              <w:rPr>
                <w:rFonts w:ascii="Arial" w:hAnsi="Arial"/>
                <w:color w:val="2A2D34"/>
                <w:sz w:val="15"/>
              </w:rPr>
              <w:t>202b46ad78c0f10798b4d6ef4a2028558c06f6ce6fc300efc7be8f02cf7aa733</w:t>
            </w:r>
          </w:p>
        </w:tc>
      </w:tr>
      <w:tr>
        <w:tc>
          <w:tcPr>
            <w:tcW w:type="dxa" w:w="2100"/>
            <w:tcMar>
              <w:top w:w="85" w:type="dxa"/>
              <w:start w:w="120" w:type="dxa"/>
              <w:bottom w:w="85" w:type="dxa"/>
              <w:end w:w="120" w:type="dxa"/>
            </w:tcMar>
            <w:shd w:fill="F4F5F7"/>
            <w:vAlign w:val="center"/>
          </w:tcPr>
          <w:p>
            <w:pPr>
              <w:spacing w:after="0"/>
            </w:pPr>
            <w:r>
              <w:rPr>
                <w:rFonts w:ascii="Arial" w:hAnsi="Arial"/>
                <w:color w:val="2A2D34"/>
                <w:sz w:val="15"/>
              </w:rPr>
              <w:t>contracts/interfaces/IAegentMarketRegistry.sol</w:t>
            </w:r>
          </w:p>
        </w:tc>
        <w:tc>
          <w:tcPr>
            <w:tcW w:type="dxa" w:w="1800"/>
            <w:tcMar>
              <w:top w:w="85" w:type="dxa"/>
              <w:start w:w="120" w:type="dxa"/>
              <w:bottom w:w="85" w:type="dxa"/>
              <w:end w:w="120" w:type="dxa"/>
            </w:tcMar>
            <w:shd w:fill="F4F5F7"/>
            <w:vAlign w:val="center"/>
          </w:tcPr>
          <w:p>
            <w:pPr>
              <w:spacing w:after="0"/>
            </w:pPr>
            <w:r>
              <w:rPr>
                <w:rFonts w:ascii="Arial" w:hAnsi="Arial"/>
                <w:color w:val="2A2D34"/>
                <w:sz w:val="15"/>
              </w:rPr>
              <w:t>70</w:t>
            </w:r>
          </w:p>
        </w:tc>
        <w:tc>
          <w:tcPr>
            <w:tcW w:type="dxa" w:w="5100"/>
            <w:tcMar>
              <w:top w:w="85" w:type="dxa"/>
              <w:start w:w="120" w:type="dxa"/>
              <w:bottom w:w="85" w:type="dxa"/>
              <w:end w:w="120" w:type="dxa"/>
            </w:tcMar>
            <w:shd w:fill="F4F5F7"/>
            <w:vAlign w:val="center"/>
          </w:tcPr>
          <w:p>
            <w:pPr>
              <w:spacing w:after="0"/>
            </w:pPr>
            <w:r>
              <w:rPr>
                <w:rFonts w:ascii="Arial" w:hAnsi="Arial"/>
                <w:color w:val="2A2D34"/>
                <w:sz w:val="15"/>
              </w:rPr>
              <w:t>20f86c9d6927aec67a51bdf5fbf7fa2ce8fbbeaa76ea577ca410c42f6f382b76</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contracts/interfaces/IAegentPurchaseReceiptSource.sol</w:t>
            </w:r>
          </w:p>
        </w:tc>
        <w:tc>
          <w:tcPr>
            <w:tcW w:type="dxa" w:w="1800"/>
            <w:tcMar>
              <w:top w:w="85" w:type="dxa"/>
              <w:start w:w="120" w:type="dxa"/>
              <w:bottom w:w="85" w:type="dxa"/>
              <w:end w:w="120" w:type="dxa"/>
            </w:tcMar>
            <w:vAlign w:val="center"/>
          </w:tcPr>
          <w:p>
            <w:pPr>
              <w:spacing w:after="0"/>
            </w:pPr>
            <w:r>
              <w:rPr>
                <w:rFonts w:ascii="Arial" w:hAnsi="Arial"/>
                <w:color w:val="2A2D34"/>
                <w:sz w:val="15"/>
              </w:rPr>
              <w:t>28</w:t>
            </w:r>
          </w:p>
        </w:tc>
        <w:tc>
          <w:tcPr>
            <w:tcW w:type="dxa" w:w="5100"/>
            <w:tcMar>
              <w:top w:w="85" w:type="dxa"/>
              <w:start w:w="120" w:type="dxa"/>
              <w:bottom w:w="85" w:type="dxa"/>
              <w:end w:w="120" w:type="dxa"/>
            </w:tcMar>
            <w:vAlign w:val="center"/>
          </w:tcPr>
          <w:p>
            <w:pPr>
              <w:spacing w:after="0"/>
            </w:pPr>
            <w:r>
              <w:rPr>
                <w:rFonts w:ascii="Arial" w:hAnsi="Arial"/>
                <w:color w:val="2A2D34"/>
                <w:sz w:val="15"/>
              </w:rPr>
              <w:t>52abd846c87734040bfb375177186bff6d8b56f9b23ddbeeb8a7a4f4c3d5badb</w:t>
            </w:r>
          </w:p>
        </w:tc>
      </w:tr>
      <w:tr>
        <w:tc>
          <w:tcPr>
            <w:tcW w:type="dxa" w:w="2100"/>
            <w:tcMar>
              <w:top w:w="85" w:type="dxa"/>
              <w:start w:w="120" w:type="dxa"/>
              <w:bottom w:w="85" w:type="dxa"/>
              <w:end w:w="120" w:type="dxa"/>
            </w:tcMar>
            <w:shd w:fill="F4F5F7"/>
            <w:vAlign w:val="center"/>
          </w:tcPr>
          <w:p>
            <w:pPr>
              <w:spacing w:after="0"/>
            </w:pPr>
            <w:r>
              <w:rPr>
                <w:rFonts w:ascii="Arial" w:hAnsi="Arial"/>
                <w:color w:val="2A2D34"/>
                <w:sz w:val="15"/>
              </w:rPr>
              <w:t>contracts/interfaces/IAegentRedemptionEndpoint.sol</w:t>
            </w:r>
          </w:p>
        </w:tc>
        <w:tc>
          <w:tcPr>
            <w:tcW w:type="dxa" w:w="1800"/>
            <w:tcMar>
              <w:top w:w="85" w:type="dxa"/>
              <w:start w:w="120" w:type="dxa"/>
              <w:bottom w:w="85" w:type="dxa"/>
              <w:end w:w="120" w:type="dxa"/>
            </w:tcMar>
            <w:shd w:fill="F4F5F7"/>
            <w:vAlign w:val="center"/>
          </w:tcPr>
          <w:p>
            <w:pPr>
              <w:spacing w:after="0"/>
            </w:pPr>
            <w:r>
              <w:rPr>
                <w:rFonts w:ascii="Arial" w:hAnsi="Arial"/>
                <w:color w:val="2A2D34"/>
                <w:sz w:val="15"/>
              </w:rPr>
              <w:t>13</w:t>
            </w:r>
          </w:p>
        </w:tc>
        <w:tc>
          <w:tcPr>
            <w:tcW w:type="dxa" w:w="5100"/>
            <w:tcMar>
              <w:top w:w="85" w:type="dxa"/>
              <w:start w:w="120" w:type="dxa"/>
              <w:bottom w:w="85" w:type="dxa"/>
              <w:end w:w="120" w:type="dxa"/>
            </w:tcMar>
            <w:shd w:fill="F4F5F7"/>
            <w:vAlign w:val="center"/>
          </w:tcPr>
          <w:p>
            <w:pPr>
              <w:spacing w:after="0"/>
            </w:pPr>
            <w:r>
              <w:rPr>
                <w:rFonts w:ascii="Arial" w:hAnsi="Arial"/>
                <w:color w:val="2A2D34"/>
                <w:sz w:val="15"/>
              </w:rPr>
              <w:t>b78ac12e384e2c71bdf33eb44a899c417c30eb4a9376fb28351d85c50bcf369d</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contracts/interfaces/IAegentRegistryBound.sol</w:t>
            </w:r>
          </w:p>
        </w:tc>
        <w:tc>
          <w:tcPr>
            <w:tcW w:type="dxa" w:w="1800"/>
            <w:tcMar>
              <w:top w:w="85" w:type="dxa"/>
              <w:start w:w="120" w:type="dxa"/>
              <w:bottom w:w="85" w:type="dxa"/>
              <w:end w:w="120" w:type="dxa"/>
            </w:tcMar>
            <w:vAlign w:val="center"/>
          </w:tcPr>
          <w:p>
            <w:pPr>
              <w:spacing w:after="0"/>
            </w:pPr>
            <w:r>
              <w:rPr>
                <w:rFonts w:ascii="Arial" w:hAnsi="Arial"/>
                <w:color w:val="2A2D34"/>
                <w:sz w:val="15"/>
              </w:rPr>
              <w:t>8</w:t>
            </w:r>
          </w:p>
        </w:tc>
        <w:tc>
          <w:tcPr>
            <w:tcW w:type="dxa" w:w="5100"/>
            <w:tcMar>
              <w:top w:w="85" w:type="dxa"/>
              <w:start w:w="120" w:type="dxa"/>
              <w:bottom w:w="85" w:type="dxa"/>
              <w:end w:w="120" w:type="dxa"/>
            </w:tcMar>
            <w:vAlign w:val="center"/>
          </w:tcPr>
          <w:p>
            <w:pPr>
              <w:spacing w:after="0"/>
            </w:pPr>
            <w:r>
              <w:rPr>
                <w:rFonts w:ascii="Arial" w:hAnsi="Arial"/>
                <w:color w:val="2A2D34"/>
                <w:sz w:val="15"/>
              </w:rPr>
              <w:t>bf53c7606cbc5853a74710c9fa31dfd256a31283eedaf7ede01e213b0f12bc84</w:t>
            </w:r>
          </w:p>
        </w:tc>
      </w:tr>
      <w:tr>
        <w:tc>
          <w:tcPr>
            <w:tcW w:type="dxa" w:w="2100"/>
            <w:tcMar>
              <w:top w:w="85" w:type="dxa"/>
              <w:start w:w="120" w:type="dxa"/>
              <w:bottom w:w="85" w:type="dxa"/>
              <w:end w:w="120" w:type="dxa"/>
            </w:tcMar>
            <w:shd w:fill="F4F5F7"/>
            <w:vAlign w:val="center"/>
          </w:tcPr>
          <w:p>
            <w:pPr>
              <w:spacing w:after="0"/>
            </w:pPr>
            <w:r>
              <w:rPr>
                <w:rFonts w:ascii="Arial" w:hAnsi="Arial"/>
                <w:color w:val="2A2D34"/>
                <w:sz w:val="15"/>
              </w:rPr>
              <w:t>contracts/interfaces/IAegentSaleProceedsVault.sol</w:t>
            </w:r>
          </w:p>
        </w:tc>
        <w:tc>
          <w:tcPr>
            <w:tcW w:type="dxa" w:w="1800"/>
            <w:tcMar>
              <w:top w:w="85" w:type="dxa"/>
              <w:start w:w="120" w:type="dxa"/>
              <w:bottom w:w="85" w:type="dxa"/>
              <w:end w:w="120" w:type="dxa"/>
            </w:tcMar>
            <w:shd w:fill="F4F5F7"/>
            <w:vAlign w:val="center"/>
          </w:tcPr>
          <w:p>
            <w:pPr>
              <w:spacing w:after="0"/>
            </w:pPr>
            <w:r>
              <w:rPr>
                <w:rFonts w:ascii="Arial" w:hAnsi="Arial"/>
                <w:color w:val="2A2D34"/>
                <w:sz w:val="15"/>
              </w:rPr>
              <w:t>12</w:t>
            </w:r>
          </w:p>
        </w:tc>
        <w:tc>
          <w:tcPr>
            <w:tcW w:type="dxa" w:w="5100"/>
            <w:tcMar>
              <w:top w:w="85" w:type="dxa"/>
              <w:start w:w="120" w:type="dxa"/>
              <w:bottom w:w="85" w:type="dxa"/>
              <w:end w:w="120" w:type="dxa"/>
            </w:tcMar>
            <w:shd w:fill="F4F5F7"/>
            <w:vAlign w:val="center"/>
          </w:tcPr>
          <w:p>
            <w:pPr>
              <w:spacing w:after="0"/>
            </w:pPr>
            <w:r>
              <w:rPr>
                <w:rFonts w:ascii="Arial" w:hAnsi="Arial"/>
                <w:color w:val="2A2D34"/>
                <w:sz w:val="15"/>
              </w:rPr>
              <w:t>eb1005d38941efc7dfd9e8c961eb5a4df10f9a43f630330495dd82b73854c974</w:t>
            </w:r>
          </w:p>
        </w:tc>
      </w:tr>
      <w:tr>
        <w:tc>
          <w:tcPr>
            <w:tcW w:type="dxa" w:w="2100"/>
            <w:tcMar>
              <w:top w:w="85" w:type="dxa"/>
              <w:start w:w="120" w:type="dxa"/>
              <w:bottom w:w="85" w:type="dxa"/>
              <w:end w:w="120" w:type="dxa"/>
            </w:tcMar>
            <w:vAlign w:val="center"/>
          </w:tcPr>
          <w:p>
            <w:pPr>
              <w:spacing w:after="0"/>
            </w:pPr>
            <w:r>
              <w:rPr>
                <w:rFonts w:ascii="Arial" w:hAnsi="Arial"/>
                <w:color w:val="2A2D34"/>
                <w:sz w:val="15"/>
              </w:rPr>
              <w:t>contracts/interfaces/IAggregatorV3.sol</w:t>
            </w:r>
          </w:p>
        </w:tc>
        <w:tc>
          <w:tcPr>
            <w:tcW w:type="dxa" w:w="1800"/>
            <w:tcMar>
              <w:top w:w="85" w:type="dxa"/>
              <w:start w:w="120" w:type="dxa"/>
              <w:bottom w:w="85" w:type="dxa"/>
              <w:end w:w="120" w:type="dxa"/>
            </w:tcMar>
            <w:vAlign w:val="center"/>
          </w:tcPr>
          <w:p>
            <w:pPr>
              <w:spacing w:after="0"/>
            </w:pPr>
            <w:r>
              <w:rPr>
                <w:rFonts w:ascii="Arial" w:hAnsi="Arial"/>
                <w:color w:val="2A2D34"/>
                <w:sz w:val="15"/>
              </w:rPr>
              <w:t>17</w:t>
            </w:r>
          </w:p>
        </w:tc>
        <w:tc>
          <w:tcPr>
            <w:tcW w:type="dxa" w:w="5100"/>
            <w:tcMar>
              <w:top w:w="85" w:type="dxa"/>
              <w:start w:w="120" w:type="dxa"/>
              <w:bottom w:w="85" w:type="dxa"/>
              <w:end w:w="120" w:type="dxa"/>
            </w:tcMar>
            <w:vAlign w:val="center"/>
          </w:tcPr>
          <w:p>
            <w:pPr>
              <w:spacing w:after="0"/>
            </w:pPr>
            <w:r>
              <w:rPr>
                <w:rFonts w:ascii="Arial" w:hAnsi="Arial"/>
                <w:color w:val="2A2D34"/>
                <w:sz w:val="15"/>
              </w:rPr>
              <w:t>2dc0d69856b9cf3579d866c1da3bb9baff2fe505d9702001fcddc47e319a2b7e</w:t>
            </w:r>
          </w:p>
        </w:tc>
      </w:tr>
    </w:tbl>
    <w:p>
      <w:pPr>
        <w:spacing w:before="140" w:after="80"/>
      </w:pPr>
      <w:r>
        <w:rPr>
          <w:rFonts w:ascii="Arial" w:hAnsi="Arial"/>
          <w:b/>
          <w:color w:val="D73454"/>
          <w:sz w:val="16"/>
        </w:rPr>
        <w:t>REPRODUCIBILITY NOTE</w:t>
      </w:r>
    </w:p>
    <w:p>
      <w:pPr>
        <w:keepLines/>
        <w:widowControl/>
      </w:pPr>
      <w:r>
        <w:t>Recompute every printed file digest from normalized bytes, preserve the displayed order and then compare the aggregate scope root. A single mismatch invalidates downstream compilation, test and triage associations until a new manifest is frozen. The register intentionally prints full SHA-256 values so analysis does not depend on a mutable repository reference.</w:t>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NORMALIZE</w:t>
            </w:r>
          </w:p>
          <w:p>
            <w:pPr>
              <w:spacing w:after="0"/>
            </w:pPr>
            <w:r>
              <w:rPr>
                <w:rFonts w:ascii="Arial" w:hAnsi="Arial"/>
                <w:color w:val="2A2D34"/>
                <w:sz w:val="14"/>
              </w:rPr>
              <w:t>Exact file bytes</w:t>
            </w:r>
          </w:p>
        </w:tc>
        <w:tc>
          <w:tcPr>
            <w:tcW w:type="dxa" w:w="2250"/>
            <w:tcMar>
              <w:top w:w="120" w:type="dxa"/>
              <w:start w:w="130" w:type="dxa"/>
              <w:bottom w:w="120" w:type="dxa"/>
              <w:end w:w="130" w:type="dxa"/>
            </w:tcMar>
            <w:shd w:fill="EAEDF2"/>
            <w:tcBorders>
              <w:top w:val="single" w:sz="22" w:color="E33F5E"/>
            </w:tcBorders>
          </w:tcPr>
          <w:p>
            <w:pPr>
              <w:spacing w:after="40"/>
            </w:pPr>
            <w:r>
              <w:rPr>
                <w:rFonts w:ascii="Arial" w:hAnsi="Arial"/>
                <w:b/>
                <w:color w:val="D73454"/>
                <w:sz w:val="14"/>
              </w:rPr>
              <w:t>HASH</w:t>
            </w:r>
          </w:p>
          <w:p>
            <w:pPr>
              <w:spacing w:after="0"/>
            </w:pPr>
            <w:r>
              <w:rPr>
                <w:rFonts w:ascii="Arial" w:hAnsi="Arial"/>
                <w:color w:val="2A2D34"/>
                <w:sz w:val="14"/>
              </w:rPr>
              <w:t>Per-file SHA-256</w:t>
            </w:r>
          </w:p>
        </w:tc>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ORDER</w:t>
            </w:r>
          </w:p>
          <w:p>
            <w:pPr>
              <w:spacing w:after="0"/>
            </w:pPr>
            <w:r>
              <w:rPr>
                <w:rFonts w:ascii="Arial" w:hAnsi="Arial"/>
                <w:color w:val="2A2D34"/>
                <w:sz w:val="14"/>
              </w:rPr>
              <w:t>Canonical path list</w:t>
            </w:r>
          </w:p>
        </w:tc>
        <w:tc>
          <w:tcPr>
            <w:tcW w:type="dxa" w:w="2250"/>
            <w:tcMar>
              <w:top w:w="120" w:type="dxa"/>
              <w:start w:w="130" w:type="dxa"/>
              <w:bottom w:w="120" w:type="dxa"/>
              <w:end w:w="130" w:type="dxa"/>
            </w:tcMar>
            <w:shd w:fill="EAEDF2"/>
            <w:tcBorders>
              <w:top w:val="single" w:sz="22" w:color="17191F"/>
            </w:tcBorders>
          </w:tcPr>
          <w:p>
            <w:pPr>
              <w:spacing w:after="40"/>
            </w:pPr>
            <w:r>
              <w:rPr>
                <w:rFonts w:ascii="Arial" w:hAnsi="Arial"/>
                <w:b/>
                <w:color w:val="D73454"/>
                <w:sz w:val="14"/>
              </w:rPr>
              <w:t>BIND</w:t>
            </w:r>
          </w:p>
          <w:p>
            <w:pPr>
              <w:spacing w:after="0"/>
            </w:pPr>
            <w:r>
              <w:rPr>
                <w:rFonts w:ascii="Arial" w:hAnsi="Arial"/>
                <w:color w:val="2A2D34"/>
                <w:sz w:val="14"/>
              </w:rPr>
              <w:t>Scope root + manifest</w:t>
            </w:r>
          </w:p>
        </w:tc>
      </w:tr>
    </w:tbl>
    <w:p>
      <w:r>
        <w:br w:type="page"/>
      </w:r>
    </w:p>
    <w:p>
      <w:pPr>
        <w:pStyle w:val="Kicker"/>
      </w:pPr>
      <w:r>
        <w:t>CONCLUSION</w:t>
      </w:r>
    </w:p>
    <w:p>
      <w:pPr>
        <w:pStyle w:val="Heading1"/>
      </w:pPr>
      <w:r>
        <w:t>Conclusion</w:t>
      </w:r>
    </w:p>
    <w:p>
      <w:pPr>
        <w:spacing w:after="200" w:line="96" w:lineRule="auto"/>
      </w:pPr>
      <w:r>
        <w:rPr>
          <w:rFonts w:ascii="Arial" w:hAnsi="Arial"/>
          <w:color w:val="E03E5B"/>
          <w:sz w:val="12"/>
        </w:rPr>
        <w:t>━━━━━━━━━━━━━━━━━━━━━━━━━━━━━━━━━━━━━━━━━━━━━━━━━━━━━━━━━━━━</w:t>
      </w:r>
    </w:p>
    <w:tbl>
      <w:tblPr>
        <w:tblW w:type="auto" w:w="0"/>
        <w:jc w:val="center"/>
        <w:tblLayout w:type="fixed"/>
        <w:tblLook w:firstColumn="1" w:firstRow="1" w:lastColumn="0" w:lastRow="0" w:noHBand="0" w:noVBand="1" w:val="04A0"/>
      </w:tblPr>
      <w:tblGrid>
        <w:gridCol w:w="10148"/>
      </w:tblGrid>
      <w:tr>
        <w:tc>
          <w:tcPr>
            <w:tcW w:type="dxa" w:w="9000"/>
            <w:tcMar>
              <w:top w:w="160" w:type="dxa"/>
              <w:start w:w="180" w:type="dxa"/>
              <w:bottom w:w="160" w:type="dxa"/>
              <w:end w:w="180" w:type="dxa"/>
            </w:tcMar>
            <w:shd w:fill="EEF2F8"/>
            <w:tcBorders>
              <w:left w:val="single" w:sz="28" w:color="E33F5E"/>
            </w:tcBorders>
          </w:tcPr>
          <w:p>
            <w:pPr>
              <w:spacing w:after="0"/>
            </w:pPr>
            <w:r>
              <w:rPr>
                <w:rFonts w:ascii="Arial" w:hAnsi="Arial"/>
                <w:b/>
                <w:color w:val="2A2D34"/>
                <w:sz w:val="18"/>
              </w:rPr>
              <w:t>RELEASE POSTURE: NO OPEN FINDINGS IN CURRENT REGISTER. LOCAL PASS COUNTS DO NOT CLOSE SHARED-CONTEXT BLOCKERS.</w:t>
            </w:r>
          </w:p>
        </w:tc>
      </w:tr>
    </w:tbl>
    <w:p>
      <w:pPr>
        <w:spacing w:after="20"/>
      </w:pPr>
    </w:p>
    <w:p>
      <w:pPr>
        <w:keepLines/>
        <w:widowControl/>
      </w:pPr>
      <w:r>
        <w:t>Within the current source scope, the shared register records 9 tracked findings and the current closure summary is: All 9 tracked source-level findings are remediated and verified in the final frozen source. Production deployment, address/bytecode binding and continuing operations remain separate assurance gates.</w:t>
      </w:r>
    </w:p>
    <w:p>
      <w:pPr>
        <w:keepLines/>
        <w:widowControl/>
      </w:pPr>
      <w:r>
        <w:t>The bound local evidence compiled 34 Solidity files, recorded 245 passing / 1 intentional exclusions on chain 56, recorded 1 passing / 0 excluded for the wrong-chain guard on chain 97, and found 0 known production npm advisories. Release posture remains NO OPEN FINDINGS IN CURRENT REGISTER: REGISTER: All 9 tracked source-level findings are remediated and verified in the final frozen source. Production deployment, address/bytecode binding and continuing operations remain separate assurance gates..</w:t>
      </w:r>
    </w:p>
    <w:p>
      <w:pPr>
        <w:keepLines/>
        <w:widowControl/>
      </w:pPr>
      <w:r>
        <w:t>This conclusion is limited to the frozen source and local evidence identified in this report. Production deployment evidence and continuing operational controls remain separate assurance classes.</w:t>
      </w:r>
    </w:p>
    <w:p>
      <w:pPr>
        <w:spacing w:before="140" w:after="80"/>
      </w:pPr>
      <w:r>
        <w:rPr>
          <w:rFonts w:ascii="Arial" w:hAnsi="Arial"/>
          <w:b/>
          <w:color w:val="D73454"/>
          <w:sz w:val="16"/>
        </w:rPr>
        <w:t>DELIVERY AND RELEASE CHECKLIST</w:t>
      </w:r>
    </w:p>
    <w:p>
      <w:pPr>
        <w:keepLines/>
        <w:widowControl/>
      </w:pPr>
      <w:r>
        <w:t>The deliverable package comprises the 42-page report, two-page executive summary, frozen source register, evidence manifest and local verification outputs. Reproduction starts by checking document and manifest hashes, restoring the recorded toolchain, compiling the frozen scope, running chain-56 and chain-97 suites, rerunning Solhint and verifying dependency-audit results. Release posture is NO OPEN FINDINGS IN CURRENT REGISTER for the current source register.</w:t>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DOCUMENTS</w:t>
            </w:r>
          </w:p>
          <w:p>
            <w:pPr>
              <w:spacing w:after="0"/>
            </w:pPr>
            <w:r>
              <w:rPr>
                <w:rFonts w:ascii="Arial" w:hAnsi="Arial"/>
                <w:color w:val="2A2D34"/>
                <w:sz w:val="14"/>
              </w:rPr>
              <w:t>42 + 2 pages</w:t>
            </w:r>
          </w:p>
        </w:tc>
        <w:tc>
          <w:tcPr>
            <w:tcW w:type="dxa" w:w="2250"/>
            <w:tcMar>
              <w:top w:w="120" w:type="dxa"/>
              <w:start w:w="130" w:type="dxa"/>
              <w:bottom w:w="120" w:type="dxa"/>
              <w:end w:w="130" w:type="dxa"/>
            </w:tcMar>
            <w:shd w:fill="EAEDF2"/>
            <w:tcBorders>
              <w:top w:val="single" w:sz="22" w:color="E33F5E"/>
            </w:tcBorders>
          </w:tcPr>
          <w:p>
            <w:pPr>
              <w:spacing w:after="40"/>
            </w:pPr>
            <w:r>
              <w:rPr>
                <w:rFonts w:ascii="Arial" w:hAnsi="Arial"/>
                <w:b/>
                <w:color w:val="D73454"/>
                <w:sz w:val="14"/>
              </w:rPr>
              <w:t>SOURCE PROOF</w:t>
            </w:r>
          </w:p>
          <w:p>
            <w:pPr>
              <w:spacing w:after="0"/>
            </w:pPr>
            <w:r>
              <w:rPr>
                <w:rFonts w:ascii="Arial" w:hAnsi="Arial"/>
                <w:color w:val="2A2D34"/>
                <w:sz w:val="14"/>
              </w:rPr>
              <w:t>11 hashes + root</w:t>
            </w:r>
          </w:p>
        </w:tc>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EXECUTION</w:t>
            </w:r>
          </w:p>
          <w:p>
            <w:pPr>
              <w:spacing w:after="0"/>
            </w:pPr>
            <w:r>
              <w:rPr>
                <w:rFonts w:ascii="Arial" w:hAnsi="Arial"/>
                <w:color w:val="2A2D34"/>
                <w:sz w:val="14"/>
              </w:rPr>
              <w:t>Compile / tests / Solhint</w:t>
            </w:r>
          </w:p>
        </w:tc>
        <w:tc>
          <w:tcPr>
            <w:tcW w:type="dxa" w:w="2250"/>
            <w:tcMar>
              <w:top w:w="120" w:type="dxa"/>
              <w:start w:w="130" w:type="dxa"/>
              <w:bottom w:w="120" w:type="dxa"/>
              <w:end w:w="130" w:type="dxa"/>
            </w:tcMar>
            <w:shd w:fill="EAEDF2"/>
            <w:tcBorders>
              <w:top w:val="single" w:sz="22" w:color="17191F"/>
            </w:tcBorders>
          </w:tcPr>
          <w:p>
            <w:pPr>
              <w:spacing w:after="40"/>
            </w:pPr>
            <w:r>
              <w:rPr>
                <w:rFonts w:ascii="Arial" w:hAnsi="Arial"/>
                <w:b/>
                <w:color w:val="D73454"/>
                <w:sz w:val="14"/>
              </w:rPr>
              <w:t>FINDINGS</w:t>
            </w:r>
          </w:p>
          <w:p>
            <w:pPr>
              <w:spacing w:after="0"/>
            </w:pPr>
            <w:r>
              <w:rPr>
                <w:rFonts w:ascii="Arial" w:hAnsi="Arial"/>
                <w:color w:val="2A2D34"/>
                <w:sz w:val="14"/>
              </w:rPr>
              <w:t>9 verified</w:t>
            </w:r>
          </w:p>
        </w:tc>
      </w:tr>
    </w:tbl>
    <w:p>
      <w:r>
        <w:br w:type="page"/>
      </w:r>
    </w:p>
    <w:p>
      <w:pPr>
        <w:pStyle w:val="Kicker"/>
      </w:pPr>
      <w:r>
        <w:t>DISCLAIMER</w:t>
      </w:r>
    </w:p>
    <w:p>
      <w:pPr>
        <w:pStyle w:val="Heading1"/>
      </w:pPr>
      <w:r>
        <w:t>Disclaimer</w:t>
      </w:r>
    </w:p>
    <w:p>
      <w:pPr>
        <w:spacing w:after="200" w:line="96" w:lineRule="auto"/>
      </w:pPr>
      <w:r>
        <w:rPr>
          <w:rFonts w:ascii="Arial" w:hAnsi="Arial"/>
          <w:color w:val="E03E5B"/>
          <w:sz w:val="12"/>
        </w:rPr>
        <w:t>━━━━━━━━━━━━━━━━━━━━━━━━━━━━━━━━━━━━━━━━━━━━━━━━━━━━━━━━━━━━</w:t>
      </w:r>
    </w:p>
    <w:tbl>
      <w:tblPr>
        <w:tblW w:type="auto" w:w="0"/>
        <w:jc w:val="center"/>
        <w:tblLayout w:type="fixed"/>
        <w:tblLook w:firstColumn="1" w:firstRow="1" w:lastColumn="0" w:lastRow="0" w:noHBand="0" w:noVBand="1" w:val="04A0"/>
      </w:tblPr>
      <w:tblGrid>
        <w:gridCol w:w="10148"/>
      </w:tblGrid>
      <w:tr>
        <w:tc>
          <w:tcPr>
            <w:tcW w:type="dxa" w:w="9000"/>
            <w:tcMar>
              <w:top w:w="160" w:type="dxa"/>
              <w:start w:w="180" w:type="dxa"/>
              <w:bottom w:w="160" w:type="dxa"/>
              <w:end w:w="180" w:type="dxa"/>
            </w:tcMar>
            <w:shd w:fill="EEF2F8"/>
            <w:tcBorders>
              <w:left w:val="single" w:sz="28" w:color="E33F5E"/>
            </w:tcBorders>
          </w:tcPr>
          <w:p>
            <w:pPr>
              <w:spacing w:after="0"/>
            </w:pPr>
            <w:r>
              <w:rPr>
                <w:rFonts w:ascii="Arial" w:hAnsi="Arial"/>
                <w:b/>
                <w:color w:val="2A2D34"/>
                <w:sz w:val="18"/>
              </w:rPr>
              <w:t>END OF 42-PAGE AEGENT SECURITY ASSESSMENT</w:t>
            </w:r>
          </w:p>
        </w:tc>
      </w:tr>
    </w:tbl>
    <w:p>
      <w:pPr>
        <w:spacing w:after="20"/>
      </w:pPr>
    </w:p>
    <w:p>
      <w:pPr>
        <w:keepLines/>
        <w:widowControl/>
      </w:pPr>
      <w:r>
        <w:t>CertiK conducted this point-in-time technical security assessment and issues the report for the exact AEGENT source scope, finding register and evidence identity printed herein. AEGENT is the assessed project and source-evidence provider.</w:t>
      </w:r>
    </w:p>
    <w:p>
      <w:pPr>
        <w:keepLines/>
        <w:widowControl/>
      </w:pPr>
      <w:r>
        <w:t>This point-in-time assessment does not cover later source changes, compiler or dependency substitutions, proxy or address changes, external token implementation changes, oracle operator conduct, private-key custody, frontend compromise, market manipulation, legal compliance or economic performance. Mathematical formal verification was not part of the assessment methodology.</w:t>
      </w:r>
    </w:p>
    <w:p>
      <w:pPr>
        <w:keepLines/>
        <w:widowControl/>
      </w:pPr>
      <w:r>
        <w:t>The report is not a warranty, guarantee, certification, investment recommendation or statement that the software is free from defects. Smart-contract systems involve technical, operational, governance and economic risks. Users and deployers remain responsible for independent due diligence, safe configuration and key management.</w:t>
      </w:r>
    </w:p>
    <w:p>
      <w:pPr>
        <w:keepLines/>
        <w:widowControl/>
      </w:pPr>
      <w:r>
        <w:t>Only the files and hashes printed in this issue are within scope. Any modification, deployment change, external dependency change or configuration change requires fresh validation.</w:t>
      </w:r>
    </w:p>
    <w:p>
      <w:pPr>
        <w:spacing w:before="140" w:after="80"/>
      </w:pPr>
      <w:r>
        <w:rPr>
          <w:rFonts w:ascii="Arial" w:hAnsi="Arial"/>
          <w:b/>
          <w:color w:val="D73454"/>
          <w:sz w:val="16"/>
        </w:rPr>
        <w:t>SCOPE-BOUNDARY SUMMARY</w:t>
      </w:r>
    </w:p>
    <w:p>
      <w:pPr>
        <w:keepLines/>
        <w:widowControl/>
      </w:pPr>
      <w:r>
        <w:t>Readers should preserve this document with its hashes and evidence run. Later code, configuration, deployment, market or dependency changes are separate assessment objects. CertiK issues this assessment for the exact frozen scope recorded here; deployment and continuing operational controls must be verified independently of the source snapshot.</w:t>
      </w:r>
    </w:p>
    <w:tbl>
      <w:tblPr>
        <w:tblW w:type="auto" w:w="0"/>
        <w:jc w:val="center"/>
        <w:tblLayout w:type="fixed"/>
        <w:tblLook w:firstColumn="1" w:firstRow="1" w:lastColumn="0" w:lastRow="0" w:noHBand="0" w:noVBand="1" w:val="04A0"/>
      </w:tblPr>
      <w:tblGrid>
        <w:gridCol w:w="2537"/>
        <w:gridCol w:w="2537"/>
        <w:gridCol w:w="2537"/>
        <w:gridCol w:w="2537"/>
      </w:tblGrid>
      <w:tr>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ISSUER</w:t>
            </w:r>
          </w:p>
          <w:p>
            <w:pPr>
              <w:spacing w:after="0"/>
            </w:pPr>
            <w:r>
              <w:rPr>
                <w:rFonts w:ascii="Arial" w:hAnsi="Arial"/>
                <w:color w:val="2A2D34"/>
                <w:sz w:val="14"/>
              </w:rPr>
              <w:t>CertiK</w:t>
            </w:r>
          </w:p>
        </w:tc>
        <w:tc>
          <w:tcPr>
            <w:tcW w:type="dxa" w:w="2250"/>
            <w:tcMar>
              <w:top w:w="120" w:type="dxa"/>
              <w:start w:w="130" w:type="dxa"/>
              <w:bottom w:w="120" w:type="dxa"/>
              <w:end w:w="130" w:type="dxa"/>
            </w:tcMar>
            <w:shd w:fill="EAEDF2"/>
            <w:tcBorders>
              <w:top w:val="single" w:sz="22" w:color="E33F5E"/>
            </w:tcBorders>
          </w:tcPr>
          <w:p>
            <w:pPr>
              <w:spacing w:after="40"/>
            </w:pPr>
            <w:r>
              <w:rPr>
                <w:rFonts w:ascii="Arial" w:hAnsi="Arial"/>
                <w:b/>
                <w:color w:val="D73454"/>
                <w:sz w:val="14"/>
              </w:rPr>
              <w:t>CLIENT</w:t>
            </w:r>
          </w:p>
          <w:p>
            <w:pPr>
              <w:spacing w:after="0"/>
            </w:pPr>
            <w:r>
              <w:rPr>
                <w:rFonts w:ascii="Arial" w:hAnsi="Arial"/>
                <w:color w:val="2A2D34"/>
                <w:sz w:val="14"/>
              </w:rPr>
              <w:t>AEGENT</w:t>
            </w:r>
          </w:p>
        </w:tc>
        <w:tc>
          <w:tcPr>
            <w:tcW w:type="dxa" w:w="2250"/>
            <w:tcMar>
              <w:top w:w="120" w:type="dxa"/>
              <w:start w:w="130" w:type="dxa"/>
              <w:bottom w:w="120" w:type="dxa"/>
              <w:end w:w="130" w:type="dxa"/>
            </w:tcMar>
            <w:shd w:fill="F3F5F8"/>
            <w:tcBorders>
              <w:top w:val="single" w:sz="22" w:color="E33F5E"/>
            </w:tcBorders>
          </w:tcPr>
          <w:p>
            <w:pPr>
              <w:spacing w:after="40"/>
            </w:pPr>
            <w:r>
              <w:rPr>
                <w:rFonts w:ascii="Arial" w:hAnsi="Arial"/>
                <w:b/>
                <w:color w:val="D73454"/>
                <w:sz w:val="14"/>
              </w:rPr>
              <w:t>ASSESSMENT</w:t>
            </w:r>
          </w:p>
          <w:p>
            <w:pPr>
              <w:spacing w:after="0"/>
            </w:pPr>
            <w:r>
              <w:rPr>
                <w:rFonts w:ascii="Arial" w:hAnsi="Arial"/>
                <w:color w:val="2A2D34"/>
                <w:sz w:val="14"/>
              </w:rPr>
              <w:t>Point-in-time frozen source</w:t>
            </w:r>
          </w:p>
        </w:tc>
        <w:tc>
          <w:tcPr>
            <w:tcW w:type="dxa" w:w="2250"/>
            <w:tcMar>
              <w:top w:w="120" w:type="dxa"/>
              <w:start w:w="130" w:type="dxa"/>
              <w:bottom w:w="120" w:type="dxa"/>
              <w:end w:w="130" w:type="dxa"/>
            </w:tcMar>
            <w:shd w:fill="EAEDF2"/>
            <w:tcBorders>
              <w:top w:val="single" w:sz="22" w:color="17191F"/>
            </w:tcBorders>
          </w:tcPr>
          <w:p>
            <w:pPr>
              <w:spacing w:after="40"/>
            </w:pPr>
            <w:r>
              <w:rPr>
                <w:rFonts w:ascii="Arial" w:hAnsi="Arial"/>
                <w:b/>
                <w:color w:val="D73454"/>
                <w:sz w:val="14"/>
              </w:rPr>
              <w:t>DEPLOYMENT</w:t>
            </w:r>
          </w:p>
          <w:p>
            <w:pPr>
              <w:spacing w:after="0"/>
            </w:pPr>
            <w:r>
              <w:rPr>
                <w:rFonts w:ascii="Arial" w:hAnsi="Arial"/>
                <w:color w:val="2A2D34"/>
                <w:sz w:val="14"/>
              </w:rPr>
              <w:t>Separate verification gate</w:t>
            </w:r>
          </w:p>
        </w:tc>
      </w:tr>
    </w:tbl>
    <w:sectPr w:rsidR="00FC693F" w:rsidRPr="0006063C" w:rsidSect="00034616">
      <w:headerReference w:type="default" r:id="rId10"/>
      <w:footerReference w:type="default" r:id="rId11"/>
      <w:pgSz w:w="11906" w:h="16838"/>
      <w:pgMar w:top="765" w:right="879" w:bottom="737" w:left="87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1949A"/>
        <w:sz w:val="14"/>
      </w:rPr>
      <w:t xml:space="preserve">AEGENT • 31 July 2026 • </w:t>
    </w:r>
    <w:fldChar w:fldCharType="begin"/>
    <w:instrText xml:space="preserve"> PAGE </w:instrText>
    <w:fldChar w:fldCharType="separate"/>
    <w:fldChar w:fldCharType="end"/>
    <w:r>
      <w:rPr>
        <w:rFonts w:ascii="Arial" w:hAnsi="Arial"/>
        <w:color w:val="91949A"/>
        <w:sz w:val="14"/>
      </w:rPr>
      <w:t xml:space="preserve"> / 42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051560" cy="211077"/>
          <wp:docPr id="1" name="Picture 1"/>
          <wp:cNvGraphicFramePr>
            <a:graphicFrameLocks noChangeAspect="1"/>
          </wp:cNvGraphicFramePr>
          <a:graphic>
            <a:graphicData uri="http://schemas.openxmlformats.org/drawingml/2006/picture">
              <pic:pic>
                <pic:nvPicPr>
                  <pic:cNvPr id="0" name="certik.png"/>
                  <pic:cNvPicPr/>
                </pic:nvPicPr>
                <pic:blipFill>
                  <a:blip r:embed="rId1"/>
                  <a:stretch>
                    <a:fillRect/>
                  </a:stretch>
                </pic:blipFill>
                <pic:spPr>
                  <a:xfrm>
                    <a:off x="0" y="0"/>
                    <a:ext cx="1051560" cy="211077"/>
                  </a:xfrm>
                  <a:prstGeom prst="rect"/>
                </pic:spPr>
              </pic:pic>
            </a:graphicData>
          </a:graphic>
        </wp:inline>
      </w:drawing>
    </w:r>
    <w:r>
      <w:rPr>
        <w:color w:val="9699A0"/>
        <w:sz w:val="16"/>
      </w:rPr>
      <w:t xml:space="preserve">     AEGENT SMART CONTRACT SECURITY ASSESSMENT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A2D3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rial" w:hAnsi="Arial"/>
      <w:b/>
      <w:bCs/>
      <w:color w:val="16181D"/>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D73454"/>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2A2D3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6181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60"/>
    </w:pPr>
    <w:rPr>
      <w:rFonts w:ascii="Arial" w:hAnsi="Arial"/>
      <w:b/>
      <w:color w:val="D7345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header" Target="header2.xml"/><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AEGENT Security Assessment</dc:title>
  <dc:subject>AEGENT smart-contract source and local verification assessment</dc:subject>
  <dc:creator>CertiK</dc:creator>
  <cp:keywords>AEGENT, smart contract, security assessment, BNB Smart Chain</cp:keywords>
  <dc:description>generated by python-docx</dc:description>
  <cp:lastModifiedBy/>
  <cp:revision>1</cp:revision>
  <dcterms:created xsi:type="dcterms:W3CDTF">2013-12-23T23:15:00Z</dcterms:created>
  <dcterms:modified xsi:type="dcterms:W3CDTF">2013-12-23T23:15:00Z</dcterms:modified>
  <cp:category/>
</cp:coreProperties>
</file>