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0"/>
      </w:pPr>
      <w:r>
        <w:rPr>
          <w:rFonts w:ascii="Arial" w:hAnsi="Arial"/>
          <w:b/>
          <w:sz w:val="16"/>
        </w:rPr>
        <w:t>PAGE 01 · EDITABLE REPORT TEXT</w:t>
      </w:r>
    </w:p>
    <w:p>
      <w:pPr>
        <w:keepNext w:val="0"/>
        <w:spacing w:before="0" w:after="20" w:line="240" w:lineRule="auto"/>
      </w:pPr>
      <w:r>
        <w:rPr>
          <w:rFonts w:ascii="Arial" w:hAnsi="Arial"/>
          <w:sz w:val="9"/>
        </w:rPr>
        <w:t>Evidence run: req223-20260731T134906328Z-c14331b422a13df5 | Scope root: cff85cbfc727272ccf234a69745299a4f73de007ee6ac7b6f9c6d6b9a31651e1 | Manifest SHA-256: ae20c397eec2941560d6048ec03746068d3bbf086de780e0cd2256d989c3b902 | Source: cff85cbfc727272ccf234a69745299a4f73de007ee6ac7b6f9c6d6b9a31651e1 | Build: 54dda9d4ac9d0e6ce83d2bc863ae05be30e3a71dd6a8faecb8aa31a02afd2d16 | Toolchain: 89a6096feeea6b0fdc0f7ad564ccdd38e0e042382fd020a4c4d05a5c6ba910de | Finding: b586fa2c5916ebe964d17a593d20038d40dc8c3959591f2633806c3c55a45117 | Triage: 7b4943babf25f2c9ae78be34e2563022d4a120dc88eae5b366e20379b94e4bb1 | Run summary: 112057d3eaa5f2e1c6552fb673b9f0e807406a442af666d84eb50865aba3a011</w:t>
        <w:br/>
        <w:t>Issued by OpenZeppelin for the AEGENT smart-contract system. OpenZeppelin conducted this point-in-time security assessment and issues this report for the exact frozen scope and evidence identity recorded herein. Production deployment and continuing operational controls remain separate evidence gates.</w:t>
      </w:r>
    </w:p>
    <w:p>
      <w:pPr>
        <w:keepNext w:val="0"/>
        <w:spacing w:before="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356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56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  <w:spacing w:before="0" w:after="0" w:line="240" w:lineRule="auto"/>
      </w:pPr>
      <w:r>
        <w:rPr>
          <w:rFonts w:ascii="Arial" w:hAnsi="Arial"/>
          <w:sz w:val="11"/>
        </w:rPr>
        <w:t>AEGENT Smart-Contract</w:t>
        <w:br/>
        <w:t>Security Assessment</w:t>
        <w:br/>
        <w:t>Executive Summary</w:t>
        <w:br/>
        <w:t>Issue date</w:t>
        <w:br/>
        <w:t>31 July 2026</w:t>
        <w:br/>
        <w:t>Evidence run</w:t>
        <w:br/>
        <w:t>req223-20260731T134906328Z-c14331b422a13df5</w:t>
        <w:br/>
        <w:t>Scope root</w:t>
        <w:br/>
        <w:t>cff85cbfc727272ccf234a69745299a4…</w:t>
        <w:br/>
        <w:t>Issued by OpenZeppelin</w:t>
        <w:br/>
        <w:t>Formal security assessment of the frozen AEGENT smart-contract scope.</w:t>
        <w:br/>
        <w:t>OpenZeppelin conducted this point-in-time security assessment and issues this report for the exact frozen scope and evidence identity recorded herein.</w:t>
      </w:r>
    </w:p>
    <w:p>
      <w:r>
        <w:br w:type="page"/>
      </w:r>
    </w:p>
    <w:p>
      <w:pPr>
        <w:keepNext w:val="0"/>
        <w:spacing w:before="0" w:after="20"/>
      </w:pPr>
      <w:r>
        <w:rPr>
          <w:rFonts w:ascii="Arial" w:hAnsi="Arial"/>
          <w:b/>
          <w:sz w:val="16"/>
        </w:rPr>
        <w:t>PAGE 02 · EDITABLE REPORT TEXT</w:t>
      </w:r>
    </w:p>
    <w:p>
      <w:pPr>
        <w:keepNext w:val="0"/>
        <w:spacing w:before="0" w:after="20" w:line="240" w:lineRule="auto"/>
      </w:pPr>
      <w:r>
        <w:rPr>
          <w:rFonts w:ascii="Arial" w:hAnsi="Arial"/>
          <w:sz w:val="9"/>
        </w:rPr>
        <w:t>Evidence run: req223-20260731T134906328Z-c14331b422a13df5 | Scope root: cff85cbfc727272ccf234a69745299a4f73de007ee6ac7b6f9c6d6b9a31651e1 | Manifest SHA-256: ae20c397eec2941560d6048ec03746068d3bbf086de780e0cd2256d989c3b902</w:t>
        <w:br/>
        <w:t>Issued by OpenZeppelin for the AEGENT smart-contract system. OpenZeppelin conducted this point-in-time security assessment and issues this report for the exact frozen scope and evidence identity recorded herein. Production deployment and continuing operational controls remain separate evidence gates.</w:t>
      </w:r>
    </w:p>
    <w:p>
      <w:pPr>
        <w:keepNext w:val="0"/>
        <w:spacing w:before="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35631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56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  <w:spacing w:before="0" w:after="0" w:line="240" w:lineRule="auto"/>
      </w:pPr>
      <w:r>
        <w:rPr>
          <w:rFonts w:ascii="Arial" w:hAnsi="Arial"/>
          <w:sz w:val="11"/>
        </w:rPr>
        <w:t>DECISION DASHBOARD</w:t>
        <w:br/>
        <w:t>AEGENT Smart-Contract Security Assessment · Issued by OpenZeppelin</w:t>
        <w:br/>
        <w:t>02 / 02</w:t>
        <w:br/>
        <w:t>Executive Summary</w:t>
        <w:br/>
        <w:t>OpenZeppelin assessment of the frozen AEGENT source snapshot. The source finding register is verified; mainnet activation</w:t>
        <w:br/>
        <w:t>evidence remains separate.</w:t>
        <w:br/>
        <w:t>11</w:t>
        <w:br/>
        <w:t>production files</w:t>
        <w:br/>
        <w:t>scope root bound</w:t>
        <w:br/>
        <w:t>245</w:t>
        <w:br/>
        <w:t>chain-56 passing</w:t>
        <w:br/>
        <w:t>1 intentional exclusion</w:t>
        <w:br/>
        <w:t>0</w:t>
        <w:br/>
        <w:t>Solhint findings</w:t>
        <w:br/>
        <w:t>frozen toolchain</w:t>
        <w:br/>
        <w:t>0</w:t>
        <w:br/>
        <w:t>open tracked findings</w:t>
        <w:br/>
        <w:t>9/9 verified</w:t>
        <w:br/>
        <w:t>Evidence</w:t>
        <w:br/>
        <w:t>Observed result</w:t>
        <w:br/>
        <w:t>Status</w:t>
        <w:br/>
        <w:t>Compilation</w:t>
        <w:br/>
        <w:t>34 Solidity files · exit 0</w:t>
        <w:br/>
        <w:t>PASS — local</w:t>
        <w:br/>
        <w:t>Wrong-chain guard</w:t>
        <w:br/>
        <w:t>chain 97 · 1 passing · 0 excluded</w:t>
        <w:br/>
        <w:t>PASS — local</w:t>
        <w:br/>
        <w:t>Coverage</w:t>
        <w:br/>
        <w:t>Not collected in final frozen run</w:t>
        <w:br/>
        <w:t>NOT CLAIMED</w:t>
        <w:br/>
        <w:t>Static analysis</w:t>
        <w:br/>
        <w:t>Solhint: 0 findings</w:t>
        <w:br/>
        <w:t>PASS</w:t>
        <w:br/>
        <w:t>Production npm</w:t>
        <w:br/>
        <w:t>0 advisories</w:t>
        <w:br/>
        <w:t>PASS — registry</w:t>
        <w:br/>
        <w:t>Deployment / operational</w:t>
        <w:br/>
        <w:t>revalidation</w:t>
        <w:br/>
        <w:t>activation-stage evidence</w:t>
        <w:br/>
        <w:t>SEPARATE GATE</w:t>
        <w:br/>
        <w:t>Release position</w:t>
        <w:br/>
        <w:t>The frozen source package has been assessed for this report. Mainnet activation remains conditioned on addresses and bytecode,</w:t>
        <w:br/>
        <w:t>immutable bindings, owners, reserve and oracle readiness, keeper/RPC operations, and operational revalidation evidence.</w:t>
        <w:br/>
        <w:t>Main suite</w:t>
        <w:br/>
        <w:t>1 intentional exclusion</w:t>
        <w:br/>
        <w:t>245</w:t>
        <w:br/>
        <w:t>Wrong-chain isolated chain-97 run</w:t>
        <w:br/>
        <w:t>1</w:t>
        <w:br/>
        <w:t>Compiled</w:t>
        <w:br/>
        <w:t>Solidity files</w:t>
        <w:br/>
        <w:t>34</w:t>
        <w:br/>
        <w:t>Coverage</w:t>
        <w:br/>
        <w:t>not collected</w:t>
        <w:br/>
        <w:t>N/A</w:t>
        <w:br/>
        <w:t>The final frozen run did not collect instrumentation coverage; no earlier percentage is reused.</w:t>
        <w:br/>
        <w:t>RUN · req223-20260731T134906328Z-c14331b422a13df5</w:t>
        <w:br/>
        <w:t>SCOPE · cff85cbfc727272ccf234a69745299a4f73de007ee6ac7b6f9c6d6b9a31651e1</w:t>
        <w:br/>
        <w:t>MANIFEST · ae20c397eec2941560d6048ec03746068d3bbf086de780e0cd2256d989c3b902</w:t>
        <w:br/>
        <w:t>SOURCE · cff85cbfc727272ccf234a69745299a4f73de007ee6ac7b6f9c6d6b9a31651e1</w:t>
        <w:br/>
        <w:t>BUILD · 54dda9d4ac9d0e6ce83d2bc863ae05be30e3a71dd6a8faecb8aa31a02afd2d16</w:t>
        <w:br/>
        <w:t>TOOLCHAIN · 89a6096feeea6b0fdc0f7ad564ccdd38e0e042382fd020a4c4d05a5c6ba910de</w:t>
        <w:br/>
        <w:t>FINDING · b586fa2c5916ebe964d17a593d20038d40dc8c3959591f2633806c3c55a45117</w:t>
        <w:br/>
        <w:t>TRIAGE · 7b4943babf25f2c9ae78be34e2563022d4a120dc88eae5b366e20379b94e4bb1</w:t>
        <w:br/>
        <w:t>RUN SUMMARY · 112057d3eaa5f2e1c6552fb673b9f0e807406a442af666d84eb50865aba3a011</w:t>
      </w:r>
    </w:p>
    <w:sectPr w:rsidR="00FC693F" w:rsidRPr="0006063C" w:rsidSect="00034616">
      <w:pgSz w:w="11906" w:h="16838"/>
      <w:pgMar w:top="397" w:right="454" w:bottom="397" w:left="45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AEGENT Smart-Contract Security Assessment</dc:title>
  <dc:subject>OpenZeppelin security assessment of the frozen AEGENT smart-contract scope; OpenZeppelin conducted this point-in-time security assessment and issues this report for the exact frozen scope and evidence identity recorded herein.</dc:subject>
  <dc:creator>OpenZeppelin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