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36" w:rsidRDefault="00132E36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/>
    <w:p w:rsidR="00BC5C05" w:rsidRDefault="00BC5C05">
      <w:pPr>
        <w:rPr>
          <w:rFonts w:hint="eastAsia"/>
        </w:rPr>
      </w:pPr>
    </w:p>
    <w:p w:rsidR="00BC5C05" w:rsidRDefault="00BC5C05"/>
    <w:p w:rsidR="00BC5C05" w:rsidRPr="00466C29" w:rsidRDefault="00BC5C05" w:rsidP="00466C29">
      <w:pPr>
        <w:jc w:val="center"/>
        <w:rPr>
          <w:rFonts w:asciiTheme="majorEastAsia" w:eastAsiaTheme="majorEastAsia" w:hAnsiTheme="majorEastAsia"/>
          <w:b/>
          <w:sz w:val="44"/>
        </w:rPr>
      </w:pPr>
      <w:r w:rsidRPr="00466C29">
        <w:rPr>
          <w:rFonts w:asciiTheme="majorEastAsia" w:eastAsiaTheme="majorEastAsia" w:hAnsiTheme="majorEastAsia" w:hint="eastAsia"/>
          <w:b/>
          <w:sz w:val="44"/>
        </w:rPr>
        <w:t>湖南省株洲市普通干线公路超限运输治理</w:t>
      </w:r>
      <w:r w:rsidR="002E6121" w:rsidRPr="00466C29">
        <w:rPr>
          <w:rFonts w:asciiTheme="majorEastAsia" w:eastAsiaTheme="majorEastAsia" w:hAnsiTheme="majorEastAsia" w:hint="eastAsia"/>
          <w:b/>
          <w:sz w:val="44"/>
        </w:rPr>
        <w:t>二零一八</w:t>
      </w:r>
      <w:r w:rsidR="002E6121" w:rsidRPr="00466C29">
        <w:rPr>
          <w:rFonts w:asciiTheme="majorEastAsia" w:eastAsiaTheme="majorEastAsia" w:hAnsiTheme="majorEastAsia"/>
          <w:b/>
          <w:sz w:val="44"/>
        </w:rPr>
        <w:t>年第</w:t>
      </w:r>
      <w:r w:rsidR="002E6121" w:rsidRPr="00466C29">
        <w:rPr>
          <w:rFonts w:asciiTheme="majorEastAsia" w:eastAsiaTheme="majorEastAsia" w:hAnsiTheme="majorEastAsia" w:hint="eastAsia"/>
          <w:b/>
          <w:sz w:val="44"/>
        </w:rPr>
        <w:t>一季度</w:t>
      </w:r>
      <w:r w:rsidRPr="00466C29">
        <w:rPr>
          <w:rFonts w:asciiTheme="majorEastAsia" w:eastAsiaTheme="majorEastAsia" w:hAnsiTheme="majorEastAsia" w:hint="eastAsia"/>
          <w:b/>
          <w:sz w:val="44"/>
        </w:rPr>
        <w:t>分析报告</w:t>
      </w: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  <w:rPr>
          <w:rFonts w:hint="eastAsia"/>
        </w:rPr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Default="00BC5C05" w:rsidP="00BC5C05">
      <w:pPr>
        <w:jc w:val="right"/>
      </w:pPr>
    </w:p>
    <w:p w:rsidR="00BC5C05" w:rsidRPr="00BC5C05" w:rsidRDefault="00BC5C05" w:rsidP="00BC5C05">
      <w:pPr>
        <w:jc w:val="right"/>
      </w:pPr>
    </w:p>
    <w:p w:rsidR="00BC5C05" w:rsidRPr="00BC5C05" w:rsidRDefault="00BC5C05" w:rsidP="00BC5C05">
      <w:pPr>
        <w:jc w:val="right"/>
        <w:rPr>
          <w:sz w:val="28"/>
        </w:rPr>
      </w:pPr>
    </w:p>
    <w:p w:rsidR="00BC5C05" w:rsidRPr="00BC5C05" w:rsidRDefault="00BC5C05" w:rsidP="00BC5C05">
      <w:pPr>
        <w:jc w:val="right"/>
        <w:rPr>
          <w:sz w:val="28"/>
        </w:rPr>
      </w:pPr>
      <w:r w:rsidRPr="00BC5C05">
        <w:rPr>
          <w:sz w:val="28"/>
        </w:rPr>
        <w:t>（总第</w:t>
      </w:r>
      <w:r w:rsidRPr="00BC5C05">
        <w:rPr>
          <w:rFonts w:hint="eastAsia"/>
          <w:sz w:val="28"/>
        </w:rPr>
        <w:t>1</w:t>
      </w:r>
      <w:r w:rsidRPr="00BC5C05">
        <w:rPr>
          <w:rFonts w:hint="eastAsia"/>
          <w:sz w:val="28"/>
        </w:rPr>
        <w:t>期</w:t>
      </w:r>
      <w:r w:rsidRPr="00BC5C05">
        <w:rPr>
          <w:sz w:val="28"/>
        </w:rPr>
        <w:t>）</w:t>
      </w:r>
    </w:p>
    <w:p w:rsidR="00BC5C05" w:rsidRPr="00BC5C05" w:rsidRDefault="00BC5C05" w:rsidP="00BC5C05">
      <w:pPr>
        <w:jc w:val="right"/>
        <w:rPr>
          <w:rFonts w:hint="eastAsia"/>
          <w:sz w:val="28"/>
        </w:rPr>
      </w:pPr>
      <w:r w:rsidRPr="00BC5C05">
        <w:rPr>
          <w:rFonts w:hint="eastAsia"/>
          <w:sz w:val="28"/>
        </w:rPr>
        <w:t>2018</w:t>
      </w:r>
      <w:r w:rsidRPr="00BC5C05">
        <w:rPr>
          <w:rFonts w:hint="eastAsia"/>
          <w:sz w:val="28"/>
        </w:rPr>
        <w:t>年</w:t>
      </w:r>
      <w:r w:rsidRPr="00BC5C05">
        <w:rPr>
          <w:rFonts w:hint="eastAsia"/>
          <w:sz w:val="28"/>
        </w:rPr>
        <w:t>4</w:t>
      </w:r>
      <w:r w:rsidRPr="00BC5C05">
        <w:rPr>
          <w:rFonts w:hint="eastAsia"/>
          <w:sz w:val="28"/>
        </w:rPr>
        <w:t>月</w:t>
      </w:r>
      <w:r w:rsidRPr="00BC5C05">
        <w:rPr>
          <w:rFonts w:hint="eastAsia"/>
          <w:sz w:val="28"/>
        </w:rPr>
        <w:t>2</w:t>
      </w:r>
      <w:r w:rsidRPr="00BC5C05">
        <w:rPr>
          <w:rFonts w:hint="eastAsia"/>
          <w:sz w:val="28"/>
        </w:rPr>
        <w:t>日</w:t>
      </w:r>
    </w:p>
    <w:p w:rsidR="00BC5C05" w:rsidRPr="00BC5C05" w:rsidRDefault="00BC5C05" w:rsidP="00BC5C05">
      <w:pPr>
        <w:jc w:val="right"/>
        <w:rPr>
          <w:rFonts w:hint="eastAsia"/>
        </w:rPr>
      </w:pPr>
    </w:p>
    <w:p w:rsidR="00BC5C05" w:rsidRDefault="00BC5C05" w:rsidP="00BC5C05"/>
    <w:p w:rsidR="00BC5C05" w:rsidRDefault="00BC5C05" w:rsidP="00BC5C05"/>
    <w:p w:rsidR="00BC5C05" w:rsidRDefault="00BC5C05" w:rsidP="00BC5C05"/>
    <w:p w:rsidR="00BC5C05" w:rsidRDefault="00BC5C05" w:rsidP="00BC5C05"/>
    <w:p w:rsidR="00D80659" w:rsidRDefault="00D80659" w:rsidP="00BC5C05"/>
    <w:p w:rsidR="00466C29" w:rsidRDefault="00466C29" w:rsidP="00BC5C05"/>
    <w:p w:rsidR="00466C29" w:rsidRDefault="00466C29" w:rsidP="00BC5C05"/>
    <w:p w:rsidR="00466C29" w:rsidRDefault="00466C29" w:rsidP="00BC5C05">
      <w:pPr>
        <w:rPr>
          <w:rFonts w:hint="eastAsia"/>
        </w:rPr>
      </w:pPr>
    </w:p>
    <w:p w:rsidR="002E6121" w:rsidRPr="002E6121" w:rsidRDefault="002E6121" w:rsidP="002E6121">
      <w:pPr>
        <w:widowControl/>
        <w:spacing w:line="360" w:lineRule="auto"/>
        <w:ind w:firstLineChars="58" w:firstLine="140"/>
        <w:jc w:val="left"/>
        <w:rPr>
          <w:rFonts w:hint="eastAsia"/>
          <w:b/>
          <w:sz w:val="24"/>
        </w:rPr>
      </w:pPr>
      <w:r w:rsidRPr="002E6121">
        <w:rPr>
          <w:rFonts w:hint="eastAsia"/>
          <w:b/>
          <w:sz w:val="24"/>
        </w:rPr>
        <w:lastRenderedPageBreak/>
        <w:t>【内容提要】</w:t>
      </w:r>
    </w:p>
    <w:p w:rsidR="002E6121" w:rsidRPr="002E6121" w:rsidRDefault="002E6121" w:rsidP="002E6121">
      <w:pPr>
        <w:widowControl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E6121">
        <w:rPr>
          <w:rFonts w:asciiTheme="minorEastAsia" w:hAnsiTheme="minorEastAsia" w:hint="eastAsia"/>
          <w:sz w:val="24"/>
          <w:szCs w:val="24"/>
        </w:rPr>
        <w:t>201</w:t>
      </w:r>
      <w:r>
        <w:rPr>
          <w:rFonts w:asciiTheme="minorEastAsia" w:hAnsiTheme="minorEastAsia"/>
          <w:sz w:val="24"/>
          <w:szCs w:val="24"/>
        </w:rPr>
        <w:t>8</w:t>
      </w:r>
      <w:r w:rsidRPr="002E6121">
        <w:rPr>
          <w:rFonts w:asciiTheme="minorEastAsia" w:hAnsiTheme="minorEastAsia" w:hint="eastAsia"/>
          <w:sz w:val="24"/>
          <w:szCs w:val="24"/>
        </w:rPr>
        <w:t xml:space="preserve"> 年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2E6121">
        <w:rPr>
          <w:rFonts w:asciiTheme="minorEastAsia" w:hAnsiTheme="minorEastAsia" w:hint="eastAsia"/>
          <w:sz w:val="24"/>
          <w:szCs w:val="24"/>
        </w:rPr>
        <w:t>季度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全</w:t>
      </w:r>
      <w:r w:rsidR="009F43CC">
        <w:rPr>
          <w:rFonts w:asciiTheme="minorEastAsia" w:hAnsiTheme="minorEastAsia" w:hint="eastAsia"/>
          <w:sz w:val="24"/>
          <w:szCs w:val="24"/>
        </w:rPr>
        <w:t>市</w:t>
      </w:r>
      <w:r w:rsidRPr="002E6121">
        <w:rPr>
          <w:rFonts w:asciiTheme="minorEastAsia" w:hAnsiTheme="minorEastAsia" w:hint="eastAsia"/>
          <w:sz w:val="24"/>
          <w:szCs w:val="24"/>
        </w:rPr>
        <w:t>普通干线公路系统紧扣“十三五”公路交通发展规划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认真落实治超责任制度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进一步推进</w:t>
      </w:r>
      <w:proofErr w:type="gramStart"/>
      <w:r w:rsidRPr="002E6121">
        <w:rPr>
          <w:rFonts w:asciiTheme="minorEastAsia" w:hAnsiTheme="minorEastAsia" w:hint="eastAsia"/>
          <w:sz w:val="24"/>
          <w:szCs w:val="24"/>
        </w:rPr>
        <w:t>科技治</w:t>
      </w:r>
      <w:proofErr w:type="gramEnd"/>
      <w:r w:rsidRPr="002E6121">
        <w:rPr>
          <w:rFonts w:asciiTheme="minorEastAsia" w:hAnsiTheme="minorEastAsia" w:hint="eastAsia"/>
          <w:sz w:val="24"/>
          <w:szCs w:val="24"/>
        </w:rPr>
        <w:t>超、源头治超和</w:t>
      </w:r>
      <w:proofErr w:type="gramStart"/>
      <w:r w:rsidRPr="002E6121">
        <w:rPr>
          <w:rFonts w:asciiTheme="minorEastAsia" w:hAnsiTheme="minorEastAsia" w:hint="eastAsia"/>
          <w:sz w:val="24"/>
          <w:szCs w:val="24"/>
        </w:rPr>
        <w:t>治超非现场</w:t>
      </w:r>
      <w:proofErr w:type="gramEnd"/>
      <w:r w:rsidRPr="002E6121">
        <w:rPr>
          <w:rFonts w:asciiTheme="minorEastAsia" w:hAnsiTheme="minorEastAsia" w:hint="eastAsia"/>
          <w:sz w:val="24"/>
          <w:szCs w:val="24"/>
        </w:rPr>
        <w:t>处罚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扎实做好全</w:t>
      </w:r>
      <w:r w:rsidR="009F43CC">
        <w:rPr>
          <w:rFonts w:asciiTheme="minorEastAsia" w:hAnsiTheme="minorEastAsia" w:hint="eastAsia"/>
          <w:sz w:val="24"/>
          <w:szCs w:val="24"/>
        </w:rPr>
        <w:t>市</w:t>
      </w:r>
      <w:r w:rsidRPr="002E6121">
        <w:rPr>
          <w:rFonts w:asciiTheme="minorEastAsia" w:hAnsiTheme="minorEastAsia" w:hint="eastAsia"/>
          <w:sz w:val="24"/>
          <w:szCs w:val="24"/>
        </w:rPr>
        <w:t>超限运输治理工作。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2E6121">
        <w:rPr>
          <w:rFonts w:asciiTheme="minorEastAsia" w:hAnsiTheme="minorEastAsia" w:hint="eastAsia"/>
          <w:sz w:val="24"/>
          <w:szCs w:val="24"/>
        </w:rPr>
        <w:t>季度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全</w:t>
      </w:r>
      <w:r w:rsidR="009F43CC">
        <w:rPr>
          <w:rFonts w:asciiTheme="minorEastAsia" w:hAnsiTheme="minorEastAsia" w:hint="eastAsia"/>
          <w:sz w:val="24"/>
          <w:szCs w:val="24"/>
        </w:rPr>
        <w:t>市</w:t>
      </w:r>
      <w:r w:rsidRPr="002E6121">
        <w:rPr>
          <w:rFonts w:asciiTheme="minorEastAsia" w:hAnsiTheme="minorEastAsia" w:hint="eastAsia"/>
          <w:sz w:val="24"/>
          <w:szCs w:val="24"/>
        </w:rPr>
        <w:t>普通干线公路系统累计出动执法人员 69968 人次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查处违章车辆 15970 辆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Pr="002E6121">
        <w:rPr>
          <w:rFonts w:asciiTheme="minorEastAsia" w:hAnsiTheme="minorEastAsia" w:hint="eastAsia"/>
          <w:sz w:val="24"/>
          <w:szCs w:val="24"/>
        </w:rPr>
        <w:t>卸驳载货物 25.64 万吨。</w:t>
      </w:r>
    </w:p>
    <w:p w:rsidR="002E6121" w:rsidRPr="002E6121" w:rsidRDefault="00DD7C88" w:rsidP="002E6121">
      <w:pPr>
        <w:widowControl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</w:t>
      </w:r>
      <w:r w:rsidR="002E6121" w:rsidRPr="002E6121">
        <w:rPr>
          <w:rFonts w:asciiTheme="minorEastAsia" w:hAnsiTheme="minorEastAsia" w:hint="eastAsia"/>
          <w:sz w:val="24"/>
          <w:szCs w:val="24"/>
        </w:rPr>
        <w:t>季度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普通公路</w:t>
      </w:r>
      <w:r w:rsidR="009F43CC">
        <w:rPr>
          <w:rFonts w:asciiTheme="minorEastAsia" w:hAnsiTheme="minorEastAsia" w:hint="eastAsia"/>
          <w:sz w:val="24"/>
          <w:szCs w:val="24"/>
        </w:rPr>
        <w:t>固定治超站检测</w:t>
      </w:r>
      <w:r w:rsidR="002E6121" w:rsidRPr="002E6121">
        <w:rPr>
          <w:rFonts w:asciiTheme="minorEastAsia" w:hAnsiTheme="minorEastAsia" w:hint="eastAsia"/>
          <w:sz w:val="24"/>
          <w:szCs w:val="24"/>
        </w:rPr>
        <w:t xml:space="preserve">总体超限比例为 </w:t>
      </w:r>
      <w:r w:rsidR="009F43CC">
        <w:rPr>
          <w:rFonts w:asciiTheme="minorEastAsia" w:hAnsiTheme="minorEastAsia"/>
          <w:sz w:val="24"/>
          <w:szCs w:val="24"/>
        </w:rPr>
        <w:t>35.7</w:t>
      </w:r>
      <w:r w:rsidR="002E6121" w:rsidRPr="002E6121">
        <w:rPr>
          <w:rFonts w:asciiTheme="minorEastAsia" w:hAnsiTheme="minorEastAsia" w:hint="eastAsia"/>
          <w:sz w:val="24"/>
          <w:szCs w:val="24"/>
        </w:rPr>
        <w:t>%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 xml:space="preserve">环比下降 7 </w:t>
      </w:r>
      <w:proofErr w:type="gramStart"/>
      <w:r w:rsidR="002E6121" w:rsidRPr="002E612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2E6121" w:rsidRPr="002E6121">
        <w:rPr>
          <w:rFonts w:asciiTheme="minorEastAsia" w:hAnsiTheme="minorEastAsia" w:hint="eastAsia"/>
          <w:sz w:val="24"/>
          <w:szCs w:val="24"/>
        </w:rPr>
        <w:t>百分点</w:t>
      </w:r>
      <w:r w:rsidR="009F43CC">
        <w:rPr>
          <w:rFonts w:asciiTheme="minorEastAsia" w:hAnsiTheme="minorEastAsia" w:hint="eastAsia"/>
          <w:sz w:val="24"/>
          <w:szCs w:val="24"/>
        </w:rPr>
        <w:t>；非现场执法</w:t>
      </w:r>
      <w:r w:rsidR="002E6121" w:rsidRPr="002E6121">
        <w:rPr>
          <w:rFonts w:asciiTheme="minorEastAsia" w:hAnsiTheme="minorEastAsia" w:hint="eastAsia"/>
          <w:sz w:val="24"/>
          <w:szCs w:val="24"/>
        </w:rPr>
        <w:t>检测路段总体超限比例为</w:t>
      </w:r>
      <w:r w:rsidR="009F43CC">
        <w:rPr>
          <w:rFonts w:asciiTheme="minorEastAsia" w:hAnsiTheme="minorEastAsia"/>
          <w:sz w:val="24"/>
          <w:szCs w:val="24"/>
        </w:rPr>
        <w:t>70</w:t>
      </w:r>
      <w:r w:rsidR="002E6121" w:rsidRPr="002E6121">
        <w:rPr>
          <w:rFonts w:asciiTheme="minorEastAsia" w:hAnsiTheme="minorEastAsia" w:hint="eastAsia"/>
          <w:sz w:val="24"/>
          <w:szCs w:val="24"/>
        </w:rPr>
        <w:t>%。从全</w:t>
      </w:r>
      <w:r w:rsidR="009F43CC">
        <w:rPr>
          <w:rFonts w:asciiTheme="minorEastAsia" w:hAnsiTheme="minorEastAsia" w:hint="eastAsia"/>
          <w:sz w:val="24"/>
          <w:szCs w:val="24"/>
        </w:rPr>
        <w:t>市</w:t>
      </w:r>
      <w:r w:rsidR="002E6121" w:rsidRPr="002E6121">
        <w:rPr>
          <w:rFonts w:asciiTheme="minorEastAsia" w:hAnsiTheme="minorEastAsia" w:hint="eastAsia"/>
          <w:sz w:val="24"/>
          <w:szCs w:val="24"/>
        </w:rPr>
        <w:t>普通干线公路超限运输特征来看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E2700E" w:rsidRPr="00E2700E">
        <w:rPr>
          <w:rFonts w:asciiTheme="minorEastAsia" w:hAnsiTheme="minorEastAsia" w:hint="eastAsia"/>
          <w:sz w:val="24"/>
          <w:szCs w:val="24"/>
        </w:rPr>
        <w:t>荷塘区</w:t>
      </w:r>
      <w:r w:rsidR="009F43CC">
        <w:rPr>
          <w:rFonts w:asciiTheme="minorEastAsia" w:hAnsiTheme="minorEastAsia" w:hint="eastAsia"/>
          <w:sz w:val="24"/>
          <w:szCs w:val="24"/>
        </w:rPr>
        <w:t>、</w:t>
      </w:r>
      <w:r w:rsidR="009F43CC" w:rsidRPr="009F43CC">
        <w:rPr>
          <w:rFonts w:asciiTheme="minorEastAsia" w:hAnsiTheme="minorEastAsia" w:hint="eastAsia"/>
          <w:sz w:val="24"/>
          <w:szCs w:val="24"/>
        </w:rPr>
        <w:t>天元区</w:t>
      </w:r>
      <w:r w:rsidR="009F43CC">
        <w:rPr>
          <w:rFonts w:asciiTheme="minorEastAsia" w:hAnsiTheme="minorEastAsia" w:hint="eastAsia"/>
          <w:sz w:val="24"/>
          <w:szCs w:val="24"/>
        </w:rPr>
        <w:t>、</w:t>
      </w:r>
      <w:r w:rsidR="009F43CC" w:rsidRPr="009F43CC">
        <w:rPr>
          <w:rFonts w:asciiTheme="minorEastAsia" w:hAnsiTheme="minorEastAsia" w:hint="eastAsia"/>
          <w:sz w:val="24"/>
          <w:szCs w:val="24"/>
        </w:rPr>
        <w:t>石峰区</w:t>
      </w:r>
      <w:r w:rsidR="009F43CC">
        <w:rPr>
          <w:rFonts w:asciiTheme="minorEastAsia" w:hAnsiTheme="minorEastAsia" w:hint="eastAsia"/>
          <w:sz w:val="24"/>
          <w:szCs w:val="24"/>
        </w:rPr>
        <w:t>、</w:t>
      </w:r>
      <w:r w:rsidR="009F43CC" w:rsidRPr="009F43CC">
        <w:rPr>
          <w:rFonts w:asciiTheme="minorEastAsia" w:hAnsiTheme="minorEastAsia" w:hint="eastAsia"/>
          <w:sz w:val="24"/>
          <w:szCs w:val="24"/>
        </w:rPr>
        <w:t>茶陵县</w:t>
      </w:r>
      <w:r w:rsidR="002E6121" w:rsidRPr="002E6121">
        <w:rPr>
          <w:rFonts w:asciiTheme="minorEastAsia" w:hAnsiTheme="minorEastAsia" w:hint="eastAsia"/>
          <w:sz w:val="24"/>
          <w:szCs w:val="24"/>
        </w:rPr>
        <w:t>超限比例相对较高</w:t>
      </w:r>
      <w:r w:rsidR="009F43CC">
        <w:rPr>
          <w:rFonts w:asciiTheme="minorEastAsia" w:hAnsiTheme="minorEastAsia" w:hint="eastAsia"/>
          <w:sz w:val="24"/>
          <w:szCs w:val="24"/>
        </w:rPr>
        <w:t>；市</w:t>
      </w:r>
      <w:r w:rsidR="002E6121" w:rsidRPr="002E6121">
        <w:rPr>
          <w:rFonts w:asciiTheme="minorEastAsia" w:hAnsiTheme="minorEastAsia" w:hint="eastAsia"/>
          <w:sz w:val="24"/>
          <w:szCs w:val="24"/>
        </w:rPr>
        <w:t>界</w:t>
      </w:r>
      <w:proofErr w:type="gramStart"/>
      <w:r w:rsidR="002E6121" w:rsidRPr="002E6121">
        <w:rPr>
          <w:rFonts w:asciiTheme="minorEastAsia" w:hAnsiTheme="minorEastAsia" w:hint="eastAsia"/>
          <w:sz w:val="24"/>
          <w:szCs w:val="24"/>
        </w:rPr>
        <w:t>站点中</w:t>
      </w:r>
      <w:r w:rsidR="00922450">
        <w:rPr>
          <w:rFonts w:asciiTheme="minorEastAsia" w:hAnsiTheme="minorEastAsia" w:hint="eastAsia"/>
          <w:sz w:val="24"/>
          <w:szCs w:val="24"/>
        </w:rPr>
        <w:t>株潭</w:t>
      </w:r>
      <w:proofErr w:type="gramEnd"/>
      <w:r w:rsidR="00922450">
        <w:rPr>
          <w:rFonts w:asciiTheme="minorEastAsia" w:hAnsiTheme="minorEastAsia" w:hint="eastAsia"/>
          <w:sz w:val="24"/>
          <w:szCs w:val="24"/>
        </w:rPr>
        <w:t>市界</w:t>
      </w:r>
      <w:r w:rsidR="002E6121" w:rsidRPr="002E6121">
        <w:rPr>
          <w:rFonts w:asciiTheme="minorEastAsia" w:hAnsiTheme="minorEastAsia" w:hint="eastAsia"/>
          <w:sz w:val="24"/>
          <w:szCs w:val="24"/>
        </w:rPr>
        <w:t>超限比例最高</w:t>
      </w:r>
      <w:r w:rsidR="006D5B15">
        <w:rPr>
          <w:rFonts w:asciiTheme="minorEastAsia" w:hAnsiTheme="minorEastAsia" w:hint="eastAsia"/>
          <w:sz w:val="24"/>
          <w:szCs w:val="24"/>
        </w:rPr>
        <w:t>：</w:t>
      </w:r>
      <w:r w:rsidR="002E6121" w:rsidRPr="002E6121">
        <w:rPr>
          <w:rFonts w:asciiTheme="minorEastAsia" w:hAnsiTheme="minorEastAsia" w:hint="eastAsia"/>
          <w:sz w:val="24"/>
          <w:szCs w:val="24"/>
        </w:rPr>
        <w:t>车型结构方面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随着严重超限比例的提高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大型货车占比也相应增加</w:t>
      </w:r>
      <w:r w:rsidR="006D5B15">
        <w:rPr>
          <w:rFonts w:asciiTheme="minorEastAsia" w:hAnsiTheme="minorEastAsia" w:hint="eastAsia"/>
          <w:sz w:val="24"/>
          <w:szCs w:val="24"/>
        </w:rPr>
        <w:t>：</w:t>
      </w:r>
      <w:r w:rsidR="002E6121" w:rsidRPr="002E6121">
        <w:rPr>
          <w:rFonts w:asciiTheme="minorEastAsia" w:hAnsiTheme="minorEastAsia" w:hint="eastAsia"/>
          <w:sz w:val="24"/>
          <w:szCs w:val="24"/>
        </w:rPr>
        <w:t>车货总重在 55 吨以上的超限车辆仍然在总超限车辆中占绝对比重</w:t>
      </w:r>
      <w:r w:rsidR="006D5B15">
        <w:rPr>
          <w:rFonts w:asciiTheme="minorEastAsia" w:hAnsiTheme="minorEastAsia" w:hint="eastAsia"/>
          <w:sz w:val="24"/>
          <w:szCs w:val="24"/>
        </w:rPr>
        <w:t>：</w:t>
      </w:r>
      <w:r w:rsidR="002E6121" w:rsidRPr="002E6121">
        <w:rPr>
          <w:rFonts w:asciiTheme="minorEastAsia" w:hAnsiTheme="minorEastAsia" w:hint="eastAsia"/>
          <w:sz w:val="24"/>
          <w:szCs w:val="24"/>
        </w:rPr>
        <w:t>车籍分布方面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本</w:t>
      </w:r>
      <w:r w:rsidR="00922450">
        <w:rPr>
          <w:rFonts w:asciiTheme="minorEastAsia" w:hAnsiTheme="minorEastAsia" w:hint="eastAsia"/>
          <w:sz w:val="24"/>
          <w:szCs w:val="24"/>
        </w:rPr>
        <w:t>市</w:t>
      </w:r>
      <w:r w:rsidR="002E6121" w:rsidRPr="002E6121">
        <w:rPr>
          <w:rFonts w:asciiTheme="minorEastAsia" w:hAnsiTheme="minorEastAsia" w:hint="eastAsia"/>
          <w:sz w:val="24"/>
          <w:szCs w:val="24"/>
        </w:rPr>
        <w:t>籍超限车略高于外</w:t>
      </w:r>
      <w:r w:rsidR="00922450">
        <w:rPr>
          <w:rFonts w:asciiTheme="minorEastAsia" w:hAnsiTheme="minorEastAsia" w:hint="eastAsia"/>
          <w:sz w:val="24"/>
          <w:szCs w:val="24"/>
        </w:rPr>
        <w:t>省、市</w:t>
      </w:r>
      <w:r w:rsidR="002E6121" w:rsidRPr="002E6121">
        <w:rPr>
          <w:rFonts w:asciiTheme="minorEastAsia" w:hAnsiTheme="minorEastAsia" w:hint="eastAsia"/>
          <w:sz w:val="24"/>
          <w:szCs w:val="24"/>
        </w:rPr>
        <w:t>籍超限车辆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并且随着超限比例的提高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比重不断增加</w:t>
      </w:r>
      <w:r w:rsidR="006D5B15">
        <w:rPr>
          <w:rFonts w:asciiTheme="minorEastAsia" w:hAnsiTheme="minorEastAsia" w:hint="eastAsia"/>
          <w:sz w:val="24"/>
          <w:szCs w:val="24"/>
        </w:rPr>
        <w:t>：</w:t>
      </w:r>
      <w:r w:rsidR="002E6121" w:rsidRPr="002E6121">
        <w:rPr>
          <w:rFonts w:asciiTheme="minorEastAsia" w:hAnsiTheme="minorEastAsia" w:hint="eastAsia"/>
          <w:sz w:val="24"/>
          <w:szCs w:val="24"/>
        </w:rPr>
        <w:t>时间分布方面</w:t>
      </w:r>
      <w:r w:rsidR="009F43CC">
        <w:rPr>
          <w:rFonts w:asciiTheme="minorEastAsia" w:hAnsiTheme="minorEastAsia" w:hint="eastAsia"/>
          <w:sz w:val="24"/>
          <w:szCs w:val="24"/>
        </w:rPr>
        <w:t>，</w:t>
      </w:r>
      <w:r w:rsidR="002E6121" w:rsidRPr="002E6121">
        <w:rPr>
          <w:rFonts w:asciiTheme="minorEastAsia" w:hAnsiTheme="minorEastAsia" w:hint="eastAsia"/>
          <w:sz w:val="24"/>
          <w:szCs w:val="24"/>
        </w:rPr>
        <w:t>深夜至凌晨以及周末仍然是超限运输行为较为集中的时段。</w:t>
      </w:r>
    </w:p>
    <w:p w:rsidR="002E6121" w:rsidRPr="002E6121" w:rsidRDefault="002E6121" w:rsidP="002E6121">
      <w:pPr>
        <w:widowControl/>
        <w:spacing w:beforeLines="150" w:before="468"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E6121">
        <w:rPr>
          <w:rFonts w:asciiTheme="minorEastAsia" w:hAnsiTheme="minorEastAsia" w:hint="eastAsia"/>
          <w:sz w:val="24"/>
          <w:szCs w:val="24"/>
        </w:rPr>
        <w:t>本报告主要内容包括：</w:t>
      </w:r>
    </w:p>
    <w:p w:rsidR="002E6121" w:rsidRPr="002E6121" w:rsidRDefault="002E6121" w:rsidP="002E6121">
      <w:pPr>
        <w:pStyle w:val="a3"/>
        <w:widowControl/>
        <w:numPr>
          <w:ilvl w:val="0"/>
          <w:numId w:val="1"/>
        </w:numPr>
        <w:spacing w:line="480" w:lineRule="auto"/>
        <w:ind w:left="902"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E6121">
        <w:rPr>
          <w:rFonts w:asciiTheme="minorEastAsia" w:hAnsiTheme="minorEastAsia" w:hint="eastAsia"/>
          <w:sz w:val="24"/>
          <w:szCs w:val="24"/>
        </w:rPr>
        <w:t>超限运输总体情况</w:t>
      </w:r>
      <w:r w:rsidR="006D5B15">
        <w:rPr>
          <w:rFonts w:asciiTheme="minorEastAsia" w:hAnsiTheme="minorEastAsia" w:hint="eastAsia"/>
          <w:sz w:val="24"/>
          <w:szCs w:val="24"/>
        </w:rPr>
        <w:t>：</w:t>
      </w:r>
    </w:p>
    <w:p w:rsidR="002E6121" w:rsidRPr="002E6121" w:rsidRDefault="002E6121" w:rsidP="002E6121">
      <w:pPr>
        <w:pStyle w:val="a3"/>
        <w:widowControl/>
        <w:numPr>
          <w:ilvl w:val="0"/>
          <w:numId w:val="1"/>
        </w:numPr>
        <w:spacing w:line="480" w:lineRule="auto"/>
        <w:ind w:left="902"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E6121">
        <w:rPr>
          <w:rFonts w:asciiTheme="minorEastAsia" w:hAnsiTheme="minorEastAsia" w:hint="eastAsia"/>
          <w:sz w:val="24"/>
          <w:szCs w:val="24"/>
        </w:rPr>
        <w:t>超限车型结构分析</w:t>
      </w:r>
      <w:r w:rsidR="006D5B15">
        <w:rPr>
          <w:rFonts w:asciiTheme="minorEastAsia" w:hAnsiTheme="minorEastAsia" w:hint="eastAsia"/>
          <w:sz w:val="24"/>
          <w:szCs w:val="24"/>
        </w:rPr>
        <w:t>：</w:t>
      </w:r>
      <w:r w:rsidR="00941628" w:rsidRPr="002E6121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C5C05" w:rsidRDefault="00941628" w:rsidP="002E6121">
      <w:pPr>
        <w:pStyle w:val="a3"/>
        <w:widowControl/>
        <w:numPr>
          <w:ilvl w:val="0"/>
          <w:numId w:val="1"/>
        </w:numPr>
        <w:spacing w:line="480" w:lineRule="auto"/>
        <w:ind w:left="902" w:firstLineChars="0"/>
        <w:jc w:val="left"/>
        <w:rPr>
          <w:rFonts w:asciiTheme="minorEastAsia" w:hAnsiTheme="minorEastAsia"/>
          <w:sz w:val="24"/>
          <w:szCs w:val="24"/>
        </w:rPr>
      </w:pPr>
      <w:r w:rsidRPr="002E6121">
        <w:rPr>
          <w:rFonts w:asciiTheme="minorEastAsia" w:hAnsiTheme="minorEastAsia" w:hint="eastAsia"/>
          <w:sz w:val="24"/>
          <w:szCs w:val="24"/>
        </w:rPr>
        <w:t>超限车辆车籍分析</w:t>
      </w:r>
      <w:r w:rsidR="002E6121" w:rsidRPr="002E6121">
        <w:rPr>
          <w:rFonts w:asciiTheme="minorEastAsia" w:hAnsiTheme="minorEastAsia" w:hint="eastAsia"/>
          <w:sz w:val="24"/>
          <w:szCs w:val="24"/>
        </w:rPr>
        <w:t>。</w:t>
      </w:r>
    </w:p>
    <w:p w:rsidR="00180F84" w:rsidRDefault="00180F84" w:rsidP="00922450">
      <w:pPr>
        <w:pStyle w:val="a3"/>
        <w:widowControl/>
        <w:spacing w:line="480" w:lineRule="auto"/>
        <w:ind w:left="902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180F84" w:rsidRDefault="00180F8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sdt>
      <w:sdtPr>
        <w:rPr>
          <w:lang w:val="zh-CN"/>
        </w:rPr>
        <w:id w:val="-742558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66C29" w:rsidRPr="00466C29" w:rsidRDefault="00466C29" w:rsidP="00466C29">
          <w:pPr>
            <w:pStyle w:val="TOC"/>
            <w:jc w:val="center"/>
            <w:rPr>
              <w:color w:val="auto"/>
            </w:rPr>
          </w:pPr>
          <w:r w:rsidRPr="00466C29">
            <w:rPr>
              <w:color w:val="auto"/>
              <w:lang w:val="zh-CN"/>
            </w:rPr>
            <w:t>目</w:t>
          </w:r>
          <w:r>
            <w:rPr>
              <w:rFonts w:hint="eastAsia"/>
              <w:color w:val="auto"/>
              <w:lang w:val="zh-CN"/>
            </w:rPr>
            <w:t xml:space="preserve">       </w:t>
          </w:r>
          <w:r w:rsidRPr="00466C29">
            <w:rPr>
              <w:color w:val="auto"/>
              <w:lang w:val="zh-CN"/>
            </w:rPr>
            <w:t>录</w:t>
          </w:r>
        </w:p>
        <w:p w:rsidR="00466C29" w:rsidRPr="00466C29" w:rsidRDefault="00466C29" w:rsidP="00466C29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r w:rsidRPr="00466C29">
            <w:rPr>
              <w:sz w:val="24"/>
            </w:rPr>
            <w:fldChar w:fldCharType="begin"/>
          </w:r>
          <w:r w:rsidRPr="00466C29">
            <w:rPr>
              <w:sz w:val="24"/>
            </w:rPr>
            <w:instrText xml:space="preserve"> TOC \o "1-3" \h \z \u </w:instrText>
          </w:r>
          <w:r w:rsidRPr="00466C29">
            <w:rPr>
              <w:sz w:val="24"/>
            </w:rPr>
            <w:fldChar w:fldCharType="separate"/>
          </w:r>
          <w:hyperlink w:anchor="_Toc510467200" w:history="1">
            <w:r w:rsidRPr="00466C29">
              <w:rPr>
                <w:rStyle w:val="a7"/>
                <w:rFonts w:hint="eastAsia"/>
                <w:noProof/>
                <w:sz w:val="24"/>
              </w:rPr>
              <w:t>一、工作概况与分析说明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_Toc510467200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1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1" w:history="1">
            <w:r w:rsidRPr="00466C29">
              <w:rPr>
                <w:rStyle w:val="a7"/>
                <w:rFonts w:hint="eastAsia"/>
                <w:noProof/>
                <w:sz w:val="24"/>
              </w:rPr>
              <w:t>（一）、</w:t>
            </w:r>
            <w:r w:rsidRPr="00466C29">
              <w:rPr>
                <w:rStyle w:val="a7"/>
                <w:noProof/>
                <w:sz w:val="24"/>
              </w:rPr>
              <w:t>2018</w:t>
            </w:r>
            <w:r w:rsidRPr="00466C29">
              <w:rPr>
                <w:rStyle w:val="a7"/>
                <w:rFonts w:hint="eastAsia"/>
                <w:noProof/>
                <w:sz w:val="24"/>
              </w:rPr>
              <w:t>年</w:t>
            </w:r>
            <w:r w:rsidRPr="00466C29">
              <w:rPr>
                <w:rStyle w:val="a7"/>
                <w:noProof/>
                <w:sz w:val="24"/>
              </w:rPr>
              <w:t>1</w:t>
            </w:r>
            <w:r w:rsidRPr="00466C29">
              <w:rPr>
                <w:rStyle w:val="a7"/>
                <w:rFonts w:hint="eastAsia"/>
                <w:noProof/>
                <w:sz w:val="24"/>
              </w:rPr>
              <w:t>季度超限治理工作概况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_Toc510467201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1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2" w:history="1">
            <w:r w:rsidRPr="00466C29">
              <w:rPr>
                <w:rStyle w:val="a7"/>
                <w:rFonts w:hint="eastAsia"/>
                <w:noProof/>
                <w:sz w:val="24"/>
              </w:rPr>
              <w:t>（二）、数据来源与代表性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_Toc510467202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1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3" w:history="1">
            <w:r w:rsidRPr="00466C29">
              <w:rPr>
                <w:rStyle w:val="a7"/>
                <w:rFonts w:hint="eastAsia"/>
                <w:noProof/>
                <w:sz w:val="24"/>
              </w:rPr>
              <w:t>（三）、超限统计口径说明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_Toc510467203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2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10"/>
            <w:tabs>
              <w:tab w:val="left" w:pos="840"/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5" w:history="1">
            <w:r w:rsidRPr="00466C29">
              <w:rPr>
                <w:rStyle w:val="a7"/>
                <w:rFonts w:hint="eastAsia"/>
                <w:noProof/>
                <w:sz w:val="24"/>
              </w:rPr>
              <w:t>二、超限运输总体情况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_Toc510467205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5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6" w:history="1">
            <w:r w:rsidRPr="00466C29">
              <w:rPr>
                <w:rStyle w:val="a7"/>
                <w:noProof/>
                <w:sz w:val="24"/>
              </w:rPr>
              <w:t>(</w:t>
            </w:r>
            <w:r w:rsidRPr="00466C29">
              <w:rPr>
                <w:rStyle w:val="a7"/>
                <w:rFonts w:hint="eastAsia"/>
                <w:noProof/>
                <w:sz w:val="24"/>
              </w:rPr>
              <w:t>一</w:t>
            </w:r>
            <w:r w:rsidRPr="00466C29">
              <w:rPr>
                <w:rStyle w:val="a7"/>
                <w:noProof/>
                <w:sz w:val="24"/>
              </w:rPr>
              <w:t>)</w:t>
            </w:r>
            <w:r w:rsidRPr="00466C29">
              <w:rPr>
                <w:rStyle w:val="a7"/>
                <w:rFonts w:hint="eastAsia"/>
                <w:noProof/>
                <w:sz w:val="24"/>
              </w:rPr>
              <w:t>、总体超限比例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_Toc510467206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5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10"/>
            <w:tabs>
              <w:tab w:val="left" w:pos="840"/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7" w:history="1">
            <w:r w:rsidRPr="00466C29">
              <w:rPr>
                <w:rStyle w:val="a7"/>
                <w:rFonts w:hint="eastAsia"/>
                <w:noProof/>
                <w:sz w:val="24"/>
              </w:rPr>
              <w:t>三、超限车型结构分析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_Toc510467207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7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8" w:history="1">
            <w:r w:rsidRPr="00466C29">
              <w:rPr>
                <w:rStyle w:val="a7"/>
                <w:rFonts w:hint="eastAsia"/>
                <w:noProof/>
                <w:sz w:val="24"/>
              </w:rPr>
              <w:t>（一）、按车货总重分类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_Toc510467208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7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10"/>
            <w:tabs>
              <w:tab w:val="left" w:pos="840"/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09" w:history="1">
            <w:r w:rsidRPr="00466C29">
              <w:rPr>
                <w:rStyle w:val="a7"/>
                <w:rFonts w:hint="eastAsia"/>
                <w:noProof/>
                <w:sz w:val="24"/>
              </w:rPr>
              <w:t>四、超限车辆车籍分析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_Toc510467209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8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10" w:history="1">
            <w:r w:rsidRPr="00466C29">
              <w:rPr>
                <w:rStyle w:val="a7"/>
                <w:rFonts w:hint="eastAsia"/>
                <w:noProof/>
                <w:sz w:val="24"/>
              </w:rPr>
              <w:t>（一）、货车车籍结构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_Toc510467210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8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Pr="00466C29" w:rsidRDefault="00466C29" w:rsidP="00466C29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510467211" w:history="1">
            <w:r w:rsidRPr="00466C29">
              <w:rPr>
                <w:rStyle w:val="a7"/>
                <w:rFonts w:hint="eastAsia"/>
                <w:noProof/>
                <w:sz w:val="24"/>
              </w:rPr>
              <w:t>（二）、超限车籍结构</w:t>
            </w:r>
            <w:r w:rsidRPr="00466C29">
              <w:rPr>
                <w:noProof/>
                <w:webHidden/>
                <w:sz w:val="24"/>
              </w:rPr>
              <w:tab/>
            </w:r>
            <w:r w:rsidRPr="00466C29">
              <w:rPr>
                <w:noProof/>
                <w:webHidden/>
                <w:sz w:val="24"/>
              </w:rPr>
              <w:fldChar w:fldCharType="begin"/>
            </w:r>
            <w:r w:rsidRPr="00466C29">
              <w:rPr>
                <w:noProof/>
                <w:webHidden/>
                <w:sz w:val="24"/>
              </w:rPr>
              <w:instrText xml:space="preserve"> PAGEREF _Toc510467211 \h </w:instrText>
            </w:r>
            <w:r w:rsidRPr="00466C29">
              <w:rPr>
                <w:noProof/>
                <w:webHidden/>
                <w:sz w:val="24"/>
              </w:rPr>
            </w:r>
            <w:r w:rsidRPr="00466C29">
              <w:rPr>
                <w:noProof/>
                <w:webHidden/>
                <w:sz w:val="24"/>
              </w:rPr>
              <w:fldChar w:fldCharType="separate"/>
            </w:r>
            <w:r w:rsidRPr="00466C29">
              <w:rPr>
                <w:noProof/>
                <w:webHidden/>
                <w:sz w:val="24"/>
              </w:rPr>
              <w:t>8</w:t>
            </w:r>
            <w:r w:rsidRPr="00466C29">
              <w:rPr>
                <w:noProof/>
                <w:webHidden/>
                <w:sz w:val="24"/>
              </w:rPr>
              <w:fldChar w:fldCharType="end"/>
            </w:r>
          </w:hyperlink>
        </w:p>
        <w:p w:rsidR="00466C29" w:rsidRDefault="00466C29" w:rsidP="00466C29">
          <w:pPr>
            <w:spacing w:line="480" w:lineRule="auto"/>
          </w:pPr>
          <w:r w:rsidRPr="00466C29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180F84" w:rsidRDefault="00180F84" w:rsidP="00922450">
      <w:pPr>
        <w:pStyle w:val="a3"/>
        <w:widowControl/>
        <w:spacing w:line="480" w:lineRule="auto"/>
        <w:ind w:left="902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180F84" w:rsidRDefault="00180F8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466C29" w:rsidRDefault="00466C29" w:rsidP="00132E36">
      <w:pPr>
        <w:pStyle w:val="1"/>
        <w:rPr>
          <w:sz w:val="28"/>
        </w:rPr>
        <w:sectPr w:rsidR="00466C29" w:rsidSect="00466C2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22450" w:rsidRPr="00132E36" w:rsidRDefault="00132E36" w:rsidP="00132E36">
      <w:pPr>
        <w:pStyle w:val="1"/>
        <w:rPr>
          <w:sz w:val="28"/>
        </w:rPr>
      </w:pPr>
      <w:bookmarkStart w:id="0" w:name="_Toc510467200"/>
      <w:r w:rsidRPr="00132E36">
        <w:rPr>
          <w:rFonts w:hint="eastAsia"/>
          <w:sz w:val="28"/>
        </w:rPr>
        <w:lastRenderedPageBreak/>
        <w:t>一、</w:t>
      </w:r>
      <w:r w:rsidR="00180F84" w:rsidRPr="00132E36">
        <w:rPr>
          <w:rFonts w:hint="eastAsia"/>
          <w:sz w:val="28"/>
        </w:rPr>
        <w:t>工作概况与分析说明</w:t>
      </w:r>
      <w:bookmarkStart w:id="1" w:name="_GoBack"/>
      <w:bookmarkEnd w:id="0"/>
      <w:bookmarkEnd w:id="1"/>
    </w:p>
    <w:p w:rsidR="00180F84" w:rsidRPr="00132E36" w:rsidRDefault="00180F84" w:rsidP="00132E36">
      <w:pPr>
        <w:pStyle w:val="a3"/>
        <w:spacing w:line="360" w:lineRule="auto"/>
        <w:ind w:left="284" w:firstLineChars="2" w:firstLine="5"/>
        <w:outlineLvl w:val="1"/>
        <w:rPr>
          <w:sz w:val="24"/>
          <w:szCs w:val="24"/>
        </w:rPr>
      </w:pPr>
      <w:bookmarkStart w:id="2" w:name="_Toc510467201"/>
      <w:r w:rsidRPr="00132E36">
        <w:rPr>
          <w:sz w:val="24"/>
          <w:szCs w:val="24"/>
        </w:rPr>
        <w:t>（一）、</w:t>
      </w:r>
      <w:r w:rsidRPr="00132E36">
        <w:rPr>
          <w:rFonts w:hint="eastAsia"/>
          <w:sz w:val="24"/>
          <w:szCs w:val="24"/>
        </w:rPr>
        <w:t>2018</w:t>
      </w:r>
      <w:r w:rsidRPr="00132E36">
        <w:rPr>
          <w:rFonts w:hint="eastAsia"/>
          <w:sz w:val="24"/>
          <w:szCs w:val="24"/>
        </w:rPr>
        <w:t>年</w:t>
      </w:r>
      <w:r w:rsidRPr="00132E36">
        <w:rPr>
          <w:rFonts w:hint="eastAsia"/>
          <w:sz w:val="24"/>
          <w:szCs w:val="24"/>
        </w:rPr>
        <w:t>1</w:t>
      </w:r>
      <w:r w:rsidRPr="00132E36">
        <w:rPr>
          <w:rFonts w:hint="eastAsia"/>
          <w:sz w:val="24"/>
          <w:szCs w:val="24"/>
        </w:rPr>
        <w:t>季度超限治理工作概况</w:t>
      </w:r>
      <w:bookmarkEnd w:id="2"/>
    </w:p>
    <w:p w:rsidR="00180F84" w:rsidRDefault="00267E12" w:rsidP="00267E12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267E12"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8</w:t>
      </w:r>
      <w:r w:rsidRPr="00267E12">
        <w:rPr>
          <w:rFonts w:hint="eastAsia"/>
          <w:sz w:val="24"/>
          <w:szCs w:val="24"/>
        </w:rPr>
        <w:t xml:space="preserve"> </w:t>
      </w:r>
      <w:r w:rsidRPr="00267E12">
        <w:rPr>
          <w:rFonts w:hint="eastAsia"/>
          <w:sz w:val="24"/>
          <w:szCs w:val="24"/>
        </w:rPr>
        <w:t>年</w:t>
      </w:r>
      <w:r w:rsidRPr="00267E12">
        <w:rPr>
          <w:rFonts w:hint="eastAsia"/>
          <w:sz w:val="24"/>
          <w:szCs w:val="24"/>
        </w:rPr>
        <w:t xml:space="preserve"> </w:t>
      </w:r>
      <w:r w:rsidR="00992D06">
        <w:rPr>
          <w:sz w:val="24"/>
          <w:szCs w:val="24"/>
        </w:rPr>
        <w:t>1</w:t>
      </w:r>
      <w:r w:rsidRPr="00267E12">
        <w:rPr>
          <w:rFonts w:hint="eastAsia"/>
          <w:sz w:val="24"/>
          <w:szCs w:val="24"/>
        </w:rPr>
        <w:t xml:space="preserve"> </w:t>
      </w:r>
      <w:r w:rsidRPr="00267E12">
        <w:rPr>
          <w:rFonts w:hint="eastAsia"/>
          <w:sz w:val="24"/>
          <w:szCs w:val="24"/>
        </w:rPr>
        <w:t>季度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全</w:t>
      </w:r>
      <w:r>
        <w:rPr>
          <w:rFonts w:hint="eastAsia"/>
          <w:sz w:val="24"/>
          <w:szCs w:val="24"/>
        </w:rPr>
        <w:t>市</w:t>
      </w:r>
      <w:r w:rsidRPr="00267E12">
        <w:rPr>
          <w:rFonts w:hint="eastAsia"/>
          <w:sz w:val="24"/>
          <w:szCs w:val="24"/>
        </w:rPr>
        <w:t>超限</w:t>
      </w:r>
      <w:proofErr w:type="gramStart"/>
      <w:r w:rsidRPr="00267E12">
        <w:rPr>
          <w:rFonts w:hint="eastAsia"/>
          <w:sz w:val="24"/>
          <w:szCs w:val="24"/>
        </w:rPr>
        <w:t>运输洽理部门</w:t>
      </w:r>
      <w:proofErr w:type="gramEnd"/>
      <w:r w:rsidRPr="00267E12">
        <w:rPr>
          <w:rFonts w:hint="eastAsia"/>
          <w:sz w:val="24"/>
          <w:szCs w:val="24"/>
        </w:rPr>
        <w:t>认真贯彻落实交通运输工作及公路工作会议精神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落实治超责任制度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进一步推进</w:t>
      </w:r>
      <w:proofErr w:type="gramStart"/>
      <w:r w:rsidRPr="00267E12">
        <w:rPr>
          <w:rFonts w:hint="eastAsia"/>
          <w:sz w:val="24"/>
          <w:szCs w:val="24"/>
        </w:rPr>
        <w:t>科技治</w:t>
      </w:r>
      <w:proofErr w:type="gramEnd"/>
      <w:r w:rsidRPr="00267E12">
        <w:rPr>
          <w:rFonts w:hint="eastAsia"/>
          <w:sz w:val="24"/>
          <w:szCs w:val="24"/>
        </w:rPr>
        <w:t>超、源头</w:t>
      </w:r>
      <w:proofErr w:type="gramStart"/>
      <w:r w:rsidRPr="00267E12">
        <w:rPr>
          <w:rFonts w:hint="eastAsia"/>
          <w:sz w:val="24"/>
          <w:szCs w:val="24"/>
        </w:rPr>
        <w:t>治洽超</w:t>
      </w:r>
      <w:proofErr w:type="gramEnd"/>
      <w:r w:rsidRPr="00267E12">
        <w:rPr>
          <w:rFonts w:hint="eastAsia"/>
          <w:sz w:val="24"/>
          <w:szCs w:val="24"/>
        </w:rPr>
        <w:t>和</w:t>
      </w:r>
      <w:proofErr w:type="gramStart"/>
      <w:r w:rsidRPr="00267E12">
        <w:rPr>
          <w:rFonts w:hint="eastAsia"/>
          <w:sz w:val="24"/>
          <w:szCs w:val="24"/>
        </w:rPr>
        <w:t>治超非现场</w:t>
      </w:r>
      <w:proofErr w:type="gramEnd"/>
      <w:r w:rsidRPr="00267E12">
        <w:rPr>
          <w:rFonts w:hint="eastAsia"/>
          <w:sz w:val="24"/>
          <w:szCs w:val="24"/>
        </w:rPr>
        <w:t>处罚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着力推进超限治理能力的提升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并取得一定成效。一是以完善设施为基础</w:t>
      </w:r>
      <w:r w:rsidR="006D5B15">
        <w:rPr>
          <w:rFonts w:hint="eastAsia"/>
          <w:sz w:val="24"/>
          <w:szCs w:val="24"/>
        </w:rPr>
        <w:t>，</w:t>
      </w:r>
      <w:proofErr w:type="gramStart"/>
      <w:r w:rsidRPr="00267E12">
        <w:rPr>
          <w:rFonts w:hint="eastAsia"/>
          <w:sz w:val="24"/>
          <w:szCs w:val="24"/>
        </w:rPr>
        <w:t>织密治</w:t>
      </w:r>
      <w:proofErr w:type="gramEnd"/>
      <w:r w:rsidRPr="00267E12">
        <w:rPr>
          <w:rFonts w:hint="eastAsia"/>
          <w:sz w:val="24"/>
          <w:szCs w:val="24"/>
        </w:rPr>
        <w:t>超监管网络。</w:t>
      </w:r>
      <w:r>
        <w:rPr>
          <w:rFonts w:hint="eastAsia"/>
          <w:sz w:val="24"/>
          <w:szCs w:val="24"/>
        </w:rPr>
        <w:t>二是</w:t>
      </w:r>
      <w:r w:rsidRPr="00267E12">
        <w:rPr>
          <w:rFonts w:hint="eastAsia"/>
          <w:sz w:val="24"/>
          <w:szCs w:val="24"/>
        </w:rPr>
        <w:t>保持路面执法高压态势。针对部分路段和地区超限运输较为严重的现象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开展了治超专项整治行动</w:t>
      </w:r>
      <w:r w:rsidR="006D5B15">
        <w:rPr>
          <w:rFonts w:hint="eastAsia"/>
          <w:sz w:val="24"/>
          <w:szCs w:val="24"/>
        </w:rPr>
        <w:t>，</w:t>
      </w:r>
      <w:r w:rsidRPr="00267E12">
        <w:rPr>
          <w:rFonts w:hint="eastAsia"/>
          <w:sz w:val="24"/>
          <w:szCs w:val="24"/>
        </w:rPr>
        <w:t>重点打击违法超限运输行为。有力打击跨省违法超限运输行为。</w:t>
      </w:r>
    </w:p>
    <w:p w:rsidR="007E7196" w:rsidRDefault="007E7196" w:rsidP="00132E36">
      <w:pPr>
        <w:pStyle w:val="a3"/>
        <w:spacing w:line="360" w:lineRule="auto"/>
        <w:ind w:left="284" w:firstLineChars="2" w:firstLine="5"/>
        <w:outlineLvl w:val="1"/>
        <w:rPr>
          <w:sz w:val="24"/>
          <w:szCs w:val="24"/>
        </w:rPr>
      </w:pPr>
      <w:bookmarkStart w:id="3" w:name="_Toc510467202"/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）、数据来源与代表性</w:t>
      </w:r>
      <w:bookmarkEnd w:id="3"/>
    </w:p>
    <w:p w:rsidR="007E7196" w:rsidRDefault="003A1C4A" w:rsidP="00267E12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3A1C4A">
        <w:rPr>
          <w:rFonts w:hint="eastAsia"/>
          <w:sz w:val="24"/>
          <w:szCs w:val="24"/>
        </w:rPr>
        <w:t>1</w:t>
      </w:r>
      <w:r w:rsidRPr="003A1C4A">
        <w:rPr>
          <w:rFonts w:hint="eastAsia"/>
          <w:sz w:val="24"/>
          <w:szCs w:val="24"/>
        </w:rPr>
        <w:t>、普通公路计重收费站数据来源与代表性</w:t>
      </w:r>
    </w:p>
    <w:p w:rsidR="003A1C4A" w:rsidRDefault="003A1C4A" w:rsidP="003A1C4A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3A1C4A">
        <w:rPr>
          <w:rFonts w:hint="eastAsia"/>
          <w:sz w:val="24"/>
          <w:szCs w:val="24"/>
        </w:rPr>
        <w:t>普通公路为开放式</w:t>
      </w:r>
      <w:r>
        <w:rPr>
          <w:rFonts w:hint="eastAsia"/>
          <w:sz w:val="24"/>
          <w:szCs w:val="24"/>
        </w:rPr>
        <w:t>检测</w:t>
      </w:r>
      <w:r w:rsidRPr="003A1C4A">
        <w:rPr>
          <w:rFonts w:hint="eastAsia"/>
          <w:sz w:val="24"/>
          <w:szCs w:val="24"/>
        </w:rPr>
        <w:t>站</w:t>
      </w:r>
      <w:r w:rsidR="006D5B1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货车计重基础数据来自各</w:t>
      </w:r>
      <w:r w:rsidR="00BB333E">
        <w:rPr>
          <w:rFonts w:hint="eastAsia"/>
          <w:sz w:val="24"/>
          <w:szCs w:val="24"/>
        </w:rPr>
        <w:t>固定治超站</w:t>
      </w:r>
      <w:r>
        <w:rPr>
          <w:rFonts w:hint="eastAsia"/>
          <w:sz w:val="24"/>
          <w:szCs w:val="24"/>
        </w:rPr>
        <w:t>计重设备</w:t>
      </w:r>
      <w:r w:rsidRPr="003A1C4A">
        <w:rPr>
          <w:rFonts w:hint="eastAsia"/>
          <w:sz w:val="24"/>
          <w:szCs w:val="24"/>
        </w:rPr>
        <w:t>。</w:t>
      </w:r>
      <w:r w:rsidRPr="003A1C4A">
        <w:rPr>
          <w:rFonts w:hint="eastAsia"/>
          <w:sz w:val="24"/>
          <w:szCs w:val="24"/>
        </w:rPr>
        <w:t>201</w:t>
      </w:r>
      <w:r w:rsidR="00C9549E">
        <w:rPr>
          <w:sz w:val="24"/>
          <w:szCs w:val="24"/>
        </w:rPr>
        <w:t>8</w:t>
      </w:r>
      <w:r w:rsidRPr="003A1C4A">
        <w:rPr>
          <w:rFonts w:hint="eastAsia"/>
          <w:sz w:val="24"/>
          <w:szCs w:val="24"/>
        </w:rPr>
        <w:t xml:space="preserve"> </w:t>
      </w:r>
      <w:r w:rsidRPr="003A1C4A">
        <w:rPr>
          <w:rFonts w:hint="eastAsia"/>
          <w:sz w:val="24"/>
          <w:szCs w:val="24"/>
        </w:rPr>
        <w:t>年</w:t>
      </w:r>
      <w:r w:rsidR="00C9549E">
        <w:rPr>
          <w:rFonts w:hint="eastAsia"/>
          <w:sz w:val="24"/>
          <w:szCs w:val="24"/>
        </w:rPr>
        <w:t>一</w:t>
      </w:r>
      <w:r w:rsidRPr="003A1C4A">
        <w:rPr>
          <w:rFonts w:hint="eastAsia"/>
          <w:sz w:val="24"/>
          <w:szCs w:val="24"/>
        </w:rPr>
        <w:t>季度</w:t>
      </w:r>
      <w:r w:rsidR="006D5B15">
        <w:rPr>
          <w:rFonts w:hint="eastAsia"/>
          <w:sz w:val="24"/>
          <w:szCs w:val="24"/>
        </w:rPr>
        <w:t>，</w:t>
      </w:r>
      <w:r w:rsidRPr="003A1C4A">
        <w:rPr>
          <w:rFonts w:hint="eastAsia"/>
          <w:sz w:val="24"/>
          <w:szCs w:val="24"/>
        </w:rPr>
        <w:t>普通公路共收集</w:t>
      </w:r>
      <w:r w:rsidRPr="003A1C4A">
        <w:rPr>
          <w:rFonts w:hint="eastAsia"/>
          <w:sz w:val="24"/>
          <w:szCs w:val="24"/>
        </w:rPr>
        <w:t xml:space="preserve"> </w:t>
      </w:r>
      <w:r w:rsidR="00C30131">
        <w:rPr>
          <w:sz w:val="24"/>
          <w:szCs w:val="24"/>
        </w:rPr>
        <w:t>4</w:t>
      </w:r>
      <w:r w:rsidRPr="003A1C4A">
        <w:rPr>
          <w:rFonts w:hint="eastAsia"/>
          <w:sz w:val="24"/>
          <w:szCs w:val="24"/>
        </w:rPr>
        <w:t xml:space="preserve"> </w:t>
      </w:r>
      <w:r w:rsidR="00BB333E">
        <w:rPr>
          <w:rFonts w:hint="eastAsia"/>
          <w:sz w:val="24"/>
          <w:szCs w:val="24"/>
        </w:rPr>
        <w:t>区</w:t>
      </w:r>
      <w:r w:rsidR="00506C5B">
        <w:rPr>
          <w:rFonts w:hint="eastAsia"/>
          <w:sz w:val="24"/>
          <w:szCs w:val="24"/>
        </w:rPr>
        <w:t>5</w:t>
      </w:r>
      <w:r w:rsidR="00506C5B">
        <w:rPr>
          <w:rFonts w:hint="eastAsia"/>
          <w:sz w:val="24"/>
          <w:szCs w:val="24"/>
        </w:rPr>
        <w:t>县</w:t>
      </w:r>
      <w:r w:rsidRPr="003A1C4A">
        <w:rPr>
          <w:rFonts w:hint="eastAsia"/>
          <w:sz w:val="24"/>
          <w:szCs w:val="24"/>
        </w:rPr>
        <w:t xml:space="preserve"> </w:t>
      </w:r>
      <w:r w:rsidR="00C30131">
        <w:rPr>
          <w:sz w:val="24"/>
          <w:szCs w:val="24"/>
        </w:rPr>
        <w:t>9</w:t>
      </w:r>
      <w:r w:rsidRPr="003A1C4A">
        <w:rPr>
          <w:rFonts w:hint="eastAsia"/>
          <w:sz w:val="24"/>
          <w:szCs w:val="24"/>
        </w:rPr>
        <w:t>个</w:t>
      </w:r>
      <w:r w:rsidR="007F01DB">
        <w:rPr>
          <w:rFonts w:hint="eastAsia"/>
          <w:sz w:val="24"/>
          <w:szCs w:val="24"/>
        </w:rPr>
        <w:t>固定</w:t>
      </w:r>
      <w:r w:rsidR="00506C5B">
        <w:rPr>
          <w:rFonts w:hint="eastAsia"/>
          <w:sz w:val="24"/>
          <w:szCs w:val="24"/>
        </w:rPr>
        <w:t>治超站</w:t>
      </w:r>
      <w:r w:rsidRPr="003A1C4A">
        <w:rPr>
          <w:rFonts w:hint="eastAsia"/>
          <w:sz w:val="24"/>
          <w:szCs w:val="24"/>
        </w:rPr>
        <w:t>的数据</w:t>
      </w:r>
      <w:r w:rsidR="006C454C">
        <w:rPr>
          <w:rFonts w:hint="eastAsia"/>
          <w:sz w:val="24"/>
          <w:szCs w:val="24"/>
        </w:rPr>
        <w:t>，</w:t>
      </w:r>
      <w:r w:rsidRPr="003A1C4A">
        <w:rPr>
          <w:rFonts w:hint="eastAsia"/>
          <w:sz w:val="24"/>
          <w:szCs w:val="24"/>
        </w:rPr>
        <w:t>样本总量</w:t>
      </w:r>
      <w:r w:rsidRPr="003A1C4A">
        <w:rPr>
          <w:rFonts w:hint="eastAsia"/>
          <w:sz w:val="24"/>
          <w:szCs w:val="24"/>
        </w:rPr>
        <w:t xml:space="preserve"> </w:t>
      </w:r>
      <w:r w:rsidR="00FC1725">
        <w:rPr>
          <w:sz w:val="24"/>
          <w:szCs w:val="24"/>
        </w:rPr>
        <w:t>73.6</w:t>
      </w:r>
      <w:r w:rsidRPr="003A1C4A">
        <w:rPr>
          <w:rFonts w:hint="eastAsia"/>
          <w:sz w:val="24"/>
          <w:szCs w:val="24"/>
        </w:rPr>
        <w:t xml:space="preserve"> </w:t>
      </w:r>
      <w:r w:rsidRPr="003A1C4A">
        <w:rPr>
          <w:rFonts w:hint="eastAsia"/>
          <w:sz w:val="24"/>
          <w:szCs w:val="24"/>
        </w:rPr>
        <w:t>万车次。因数据采集与传输问题</w:t>
      </w:r>
      <w:r w:rsidR="006D5B15">
        <w:rPr>
          <w:rFonts w:hint="eastAsia"/>
          <w:sz w:val="24"/>
          <w:szCs w:val="24"/>
        </w:rPr>
        <w:t>，</w:t>
      </w:r>
      <w:r w:rsidRPr="003A1C4A">
        <w:rPr>
          <w:rFonts w:hint="eastAsia"/>
          <w:sz w:val="24"/>
          <w:szCs w:val="24"/>
        </w:rPr>
        <w:t>各季度所采集的</w:t>
      </w:r>
      <w:r w:rsidR="006C454C">
        <w:rPr>
          <w:rFonts w:hint="eastAsia"/>
          <w:sz w:val="24"/>
          <w:szCs w:val="24"/>
        </w:rPr>
        <w:t>检测</w:t>
      </w:r>
      <w:r w:rsidRPr="003A1C4A">
        <w:rPr>
          <w:rFonts w:hint="eastAsia"/>
          <w:sz w:val="24"/>
          <w:szCs w:val="24"/>
        </w:rPr>
        <w:t>站数量存在差异</w:t>
      </w:r>
      <w:r w:rsidR="006D5B15">
        <w:rPr>
          <w:rFonts w:hint="eastAsia"/>
          <w:sz w:val="24"/>
          <w:szCs w:val="24"/>
        </w:rPr>
        <w:t>，</w:t>
      </w:r>
      <w:r w:rsidRPr="003A1C4A">
        <w:rPr>
          <w:rFonts w:hint="eastAsia"/>
          <w:sz w:val="24"/>
          <w:szCs w:val="24"/>
        </w:rPr>
        <w:t>本报告结果是以</w:t>
      </w:r>
      <w:r w:rsidR="006C454C">
        <w:rPr>
          <w:rFonts w:hint="eastAsia"/>
          <w:sz w:val="24"/>
          <w:szCs w:val="24"/>
        </w:rPr>
        <w:t>一</w:t>
      </w:r>
      <w:r w:rsidRPr="003A1C4A">
        <w:rPr>
          <w:rFonts w:hint="eastAsia"/>
          <w:sz w:val="24"/>
          <w:szCs w:val="24"/>
        </w:rPr>
        <w:t>季度样本汇总得出。</w:t>
      </w:r>
    </w:p>
    <w:p w:rsidR="007F01DB" w:rsidRDefault="00C30131" w:rsidP="003422BB">
      <w:pPr>
        <w:pStyle w:val="a3"/>
        <w:spacing w:line="360" w:lineRule="auto"/>
        <w:ind w:left="420" w:firstLineChars="2" w:firstLine="5"/>
        <w:rPr>
          <w:sz w:val="24"/>
          <w:szCs w:val="24"/>
        </w:rPr>
      </w:pPr>
      <w:r w:rsidRPr="00C30131">
        <w:rPr>
          <w:rFonts w:hint="eastAsia"/>
          <w:sz w:val="24"/>
          <w:szCs w:val="24"/>
        </w:rPr>
        <w:t>表</w:t>
      </w:r>
      <w:r w:rsidRPr="00C30131">
        <w:rPr>
          <w:rFonts w:hint="eastAsia"/>
          <w:sz w:val="24"/>
          <w:szCs w:val="24"/>
        </w:rPr>
        <w:t xml:space="preserve"> 1-1:</w:t>
      </w:r>
      <w:r w:rsidRPr="00C30131">
        <w:rPr>
          <w:rFonts w:hint="eastAsia"/>
          <w:sz w:val="24"/>
          <w:szCs w:val="24"/>
        </w:rPr>
        <w:t>普通收费公路</w:t>
      </w:r>
      <w:proofErr w:type="gramStart"/>
      <w:r w:rsidRPr="00C30131">
        <w:rPr>
          <w:rFonts w:hint="eastAsia"/>
          <w:sz w:val="24"/>
          <w:szCs w:val="24"/>
        </w:rPr>
        <w:t>祥</w:t>
      </w:r>
      <w:proofErr w:type="gramEnd"/>
      <w:r w:rsidRPr="00C30131">
        <w:rPr>
          <w:rFonts w:hint="eastAsia"/>
          <w:sz w:val="24"/>
          <w:szCs w:val="24"/>
        </w:rPr>
        <w:t>本收费站统计表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1703"/>
        <w:gridCol w:w="3962"/>
        <w:gridCol w:w="1502"/>
      </w:tblGrid>
      <w:tr w:rsidR="0044121B" w:rsidTr="0044121B">
        <w:tc>
          <w:tcPr>
            <w:tcW w:w="709" w:type="dxa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区域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固定治超站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货车样本数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天元区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天元区超限检测站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117000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荷塘区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黄陂田超限检测站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84700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芦淞区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芦淞区超限检测站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92700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石峰区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云龙超限检测站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146000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醴陵市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 w:rsidRPr="00C30131">
              <w:rPr>
                <w:rFonts w:hint="eastAsia"/>
                <w:sz w:val="24"/>
                <w:szCs w:val="24"/>
              </w:rPr>
              <w:t>蛇湖超限</w:t>
            </w:r>
            <w:proofErr w:type="gramEnd"/>
            <w:r w:rsidRPr="00C30131">
              <w:rPr>
                <w:rFonts w:hint="eastAsia"/>
                <w:sz w:val="24"/>
                <w:szCs w:val="24"/>
              </w:rPr>
              <w:t>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85700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3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攸县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菜花坪超限检测站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57000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3" w:type="dxa"/>
            <w:vAlign w:val="center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株洲县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王家洲超限检测站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42000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703" w:type="dxa"/>
            <w:vAlign w:val="center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茶陵县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马江检测站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38900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703" w:type="dxa"/>
            <w:vAlign w:val="center"/>
          </w:tcPr>
          <w:p w:rsidR="0044121B" w:rsidRPr="00C30131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炎陵县</w:t>
            </w:r>
          </w:p>
        </w:tc>
        <w:tc>
          <w:tcPr>
            <w:tcW w:w="396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 w:rsidRPr="00C30131">
              <w:rPr>
                <w:rFonts w:hint="eastAsia"/>
                <w:sz w:val="24"/>
                <w:szCs w:val="24"/>
              </w:rPr>
              <w:t>霞阳超限</w:t>
            </w:r>
            <w:proofErr w:type="gramEnd"/>
            <w:r w:rsidRPr="00C30131">
              <w:rPr>
                <w:rFonts w:hint="eastAsia"/>
                <w:sz w:val="24"/>
                <w:szCs w:val="24"/>
              </w:rPr>
              <w:t>检测站</w:t>
            </w:r>
          </w:p>
        </w:tc>
        <w:tc>
          <w:tcPr>
            <w:tcW w:w="1502" w:type="dxa"/>
            <w:vAlign w:val="center"/>
          </w:tcPr>
          <w:p w:rsidR="0044121B" w:rsidRDefault="0044121B" w:rsidP="00C301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72000</w:t>
            </w:r>
          </w:p>
        </w:tc>
      </w:tr>
    </w:tbl>
    <w:p w:rsidR="00C30131" w:rsidRDefault="00FC1725" w:rsidP="003A1C4A">
      <w:pPr>
        <w:pStyle w:val="a3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非现场执法</w:t>
      </w:r>
      <w:r w:rsidRPr="002E6121">
        <w:rPr>
          <w:rFonts w:asciiTheme="minorEastAsia" w:hAnsiTheme="minorEastAsia" w:hint="eastAsia"/>
          <w:sz w:val="24"/>
          <w:szCs w:val="24"/>
        </w:rPr>
        <w:t>检测</w:t>
      </w:r>
      <w:r>
        <w:rPr>
          <w:rFonts w:asciiTheme="minorEastAsia" w:hAnsiTheme="minorEastAsia" w:hint="eastAsia"/>
          <w:sz w:val="24"/>
          <w:szCs w:val="24"/>
        </w:rPr>
        <w:t>系统数据来源与代表性</w:t>
      </w:r>
    </w:p>
    <w:p w:rsidR="00FC1725" w:rsidRDefault="00D46A90" w:rsidP="00D46A90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D46A90">
        <w:rPr>
          <w:rFonts w:hint="eastAsia"/>
          <w:sz w:val="24"/>
          <w:szCs w:val="24"/>
        </w:rPr>
        <w:t>普通公路</w:t>
      </w:r>
      <w:r w:rsidR="00BE7A0B">
        <w:rPr>
          <w:rFonts w:hint="eastAsia"/>
          <w:sz w:val="24"/>
          <w:szCs w:val="24"/>
        </w:rPr>
        <w:t>非</w:t>
      </w:r>
      <w:r>
        <w:rPr>
          <w:rFonts w:asciiTheme="minorEastAsia" w:hAnsiTheme="minorEastAsia" w:hint="eastAsia"/>
          <w:sz w:val="24"/>
          <w:szCs w:val="24"/>
        </w:rPr>
        <w:t>现场执法</w:t>
      </w:r>
      <w:r w:rsidRPr="002E6121">
        <w:rPr>
          <w:rFonts w:asciiTheme="minorEastAsia" w:hAnsiTheme="minorEastAsia" w:hint="eastAsia"/>
          <w:sz w:val="24"/>
          <w:szCs w:val="24"/>
        </w:rPr>
        <w:t>检测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数据</w:t>
      </w:r>
      <w:r w:rsidRPr="00D46A90">
        <w:rPr>
          <w:rFonts w:hint="eastAsia"/>
          <w:sz w:val="24"/>
          <w:szCs w:val="24"/>
        </w:rPr>
        <w:t>主要</w:t>
      </w:r>
      <w:r w:rsidR="00BE7A0B">
        <w:rPr>
          <w:rFonts w:hint="eastAsia"/>
          <w:sz w:val="24"/>
          <w:szCs w:val="24"/>
        </w:rPr>
        <w:t>非现场动态称重</w:t>
      </w:r>
      <w:r w:rsidRPr="00D46A90">
        <w:rPr>
          <w:rFonts w:hint="eastAsia"/>
          <w:sz w:val="24"/>
          <w:szCs w:val="24"/>
        </w:rPr>
        <w:t>数据。</w:t>
      </w:r>
      <w:r w:rsidRPr="00D46A90">
        <w:rPr>
          <w:rFonts w:hint="eastAsia"/>
          <w:sz w:val="24"/>
          <w:szCs w:val="24"/>
        </w:rPr>
        <w:t>201</w:t>
      </w:r>
      <w:r w:rsidR="00BE7A0B">
        <w:rPr>
          <w:sz w:val="24"/>
          <w:szCs w:val="24"/>
        </w:rPr>
        <w:t>8</w:t>
      </w:r>
      <w:r w:rsidRPr="00D46A90">
        <w:rPr>
          <w:rFonts w:hint="eastAsia"/>
          <w:sz w:val="24"/>
          <w:szCs w:val="24"/>
        </w:rPr>
        <w:t xml:space="preserve"> </w:t>
      </w:r>
      <w:r w:rsidRPr="00D46A90">
        <w:rPr>
          <w:rFonts w:hint="eastAsia"/>
          <w:sz w:val="24"/>
          <w:szCs w:val="24"/>
        </w:rPr>
        <w:t>年</w:t>
      </w:r>
      <w:r w:rsidR="00BE7A0B">
        <w:rPr>
          <w:rFonts w:hint="eastAsia"/>
          <w:sz w:val="24"/>
          <w:szCs w:val="24"/>
        </w:rPr>
        <w:t>一</w:t>
      </w:r>
      <w:r w:rsidRPr="00D46A90">
        <w:rPr>
          <w:rFonts w:hint="eastAsia"/>
          <w:sz w:val="24"/>
          <w:szCs w:val="24"/>
        </w:rPr>
        <w:t>季度</w:t>
      </w:r>
      <w:r w:rsidR="006D5B15">
        <w:rPr>
          <w:rFonts w:hint="eastAsia"/>
          <w:sz w:val="24"/>
          <w:szCs w:val="24"/>
        </w:rPr>
        <w:t>，</w:t>
      </w:r>
      <w:r w:rsidRPr="00D46A90">
        <w:rPr>
          <w:rFonts w:hint="eastAsia"/>
          <w:sz w:val="24"/>
          <w:szCs w:val="24"/>
        </w:rPr>
        <w:t>普通公路共收集</w:t>
      </w:r>
      <w:r w:rsidRPr="00D46A90">
        <w:rPr>
          <w:rFonts w:hint="eastAsia"/>
          <w:sz w:val="24"/>
          <w:szCs w:val="24"/>
        </w:rPr>
        <w:t xml:space="preserve"> </w:t>
      </w:r>
      <w:r w:rsidR="00BE7A0B">
        <w:rPr>
          <w:sz w:val="24"/>
          <w:szCs w:val="24"/>
        </w:rPr>
        <w:t>1</w:t>
      </w:r>
      <w:r w:rsidRPr="00D46A90">
        <w:rPr>
          <w:rFonts w:hint="eastAsia"/>
          <w:sz w:val="24"/>
          <w:szCs w:val="24"/>
        </w:rPr>
        <w:t xml:space="preserve"> </w:t>
      </w:r>
      <w:r w:rsidR="00BE7A0B">
        <w:rPr>
          <w:rFonts w:hint="eastAsia"/>
          <w:sz w:val="24"/>
          <w:szCs w:val="24"/>
        </w:rPr>
        <w:t>县</w:t>
      </w:r>
      <w:r w:rsidRPr="00D46A90">
        <w:rPr>
          <w:rFonts w:hint="eastAsia"/>
          <w:sz w:val="24"/>
          <w:szCs w:val="24"/>
        </w:rPr>
        <w:t xml:space="preserve"> </w:t>
      </w:r>
      <w:r w:rsidR="00BE7A0B">
        <w:rPr>
          <w:sz w:val="24"/>
          <w:szCs w:val="24"/>
        </w:rPr>
        <w:t>1</w:t>
      </w:r>
      <w:r w:rsidR="00BE7A0B">
        <w:rPr>
          <w:sz w:val="24"/>
          <w:szCs w:val="24"/>
        </w:rPr>
        <w:t>套</w:t>
      </w:r>
      <w:r w:rsidR="00BE7A0B">
        <w:rPr>
          <w:rFonts w:hint="eastAsia"/>
          <w:sz w:val="24"/>
          <w:szCs w:val="24"/>
        </w:rPr>
        <w:t>非现场执法</w:t>
      </w:r>
      <w:r w:rsidRPr="00D46A90">
        <w:rPr>
          <w:rFonts w:hint="eastAsia"/>
          <w:sz w:val="24"/>
          <w:szCs w:val="24"/>
        </w:rPr>
        <w:t>动态称重检测系统的预检数</w:t>
      </w:r>
      <w:r w:rsidRPr="00D46A90">
        <w:rPr>
          <w:rFonts w:hint="eastAsia"/>
          <w:sz w:val="24"/>
          <w:szCs w:val="24"/>
        </w:rPr>
        <w:lastRenderedPageBreak/>
        <w:t>据</w:t>
      </w:r>
      <w:r w:rsidR="006D5B15">
        <w:rPr>
          <w:rFonts w:hint="eastAsia"/>
          <w:sz w:val="24"/>
          <w:szCs w:val="24"/>
        </w:rPr>
        <w:t>，</w:t>
      </w:r>
      <w:r w:rsidRPr="00D46A90">
        <w:rPr>
          <w:rFonts w:hint="eastAsia"/>
          <w:sz w:val="24"/>
          <w:szCs w:val="24"/>
        </w:rPr>
        <w:t>样本总量</w:t>
      </w:r>
      <w:r w:rsidRPr="00D46A90">
        <w:rPr>
          <w:rFonts w:hint="eastAsia"/>
          <w:sz w:val="24"/>
          <w:szCs w:val="24"/>
        </w:rPr>
        <w:t xml:space="preserve"> 6.89 </w:t>
      </w:r>
      <w:r w:rsidRPr="00D46A90">
        <w:rPr>
          <w:rFonts w:hint="eastAsia"/>
          <w:sz w:val="24"/>
          <w:szCs w:val="24"/>
        </w:rPr>
        <w:t>万车次</w:t>
      </w:r>
      <w:r w:rsidR="00D14136">
        <w:rPr>
          <w:rFonts w:hint="eastAsia"/>
          <w:sz w:val="24"/>
          <w:szCs w:val="24"/>
        </w:rPr>
        <w:t>。</w:t>
      </w:r>
    </w:p>
    <w:p w:rsidR="003422BB" w:rsidRPr="003422BB" w:rsidRDefault="003422BB" w:rsidP="003422BB">
      <w:pPr>
        <w:pStyle w:val="a3"/>
        <w:spacing w:line="360" w:lineRule="auto"/>
        <w:ind w:left="420" w:firstLineChars="2" w:firstLine="5"/>
        <w:rPr>
          <w:rFonts w:hint="eastAsia"/>
          <w:sz w:val="24"/>
          <w:szCs w:val="24"/>
        </w:rPr>
      </w:pPr>
      <w:r w:rsidRPr="00C30131">
        <w:rPr>
          <w:rFonts w:hint="eastAsia"/>
          <w:sz w:val="24"/>
          <w:szCs w:val="24"/>
        </w:rPr>
        <w:t>表</w:t>
      </w:r>
      <w:r w:rsidRPr="00C30131">
        <w:rPr>
          <w:rFonts w:hint="eastAsia"/>
          <w:sz w:val="24"/>
          <w:szCs w:val="24"/>
        </w:rPr>
        <w:t xml:space="preserve"> 1-</w:t>
      </w:r>
      <w:r>
        <w:rPr>
          <w:sz w:val="24"/>
          <w:szCs w:val="24"/>
        </w:rPr>
        <w:t>2</w:t>
      </w:r>
      <w:r w:rsidRPr="00C30131">
        <w:rPr>
          <w:rFonts w:hint="eastAsia"/>
          <w:sz w:val="24"/>
          <w:szCs w:val="24"/>
        </w:rPr>
        <w:t>:</w:t>
      </w:r>
      <w:r w:rsidRPr="00C30131">
        <w:rPr>
          <w:rFonts w:hint="eastAsia"/>
          <w:sz w:val="24"/>
          <w:szCs w:val="24"/>
        </w:rPr>
        <w:t>普通收费公路</w:t>
      </w:r>
      <w:proofErr w:type="gramStart"/>
      <w:r w:rsidRPr="00C30131">
        <w:rPr>
          <w:rFonts w:hint="eastAsia"/>
          <w:sz w:val="24"/>
          <w:szCs w:val="24"/>
        </w:rPr>
        <w:t>祥</w:t>
      </w:r>
      <w:proofErr w:type="gramEnd"/>
      <w:r w:rsidRPr="00C30131">
        <w:rPr>
          <w:rFonts w:hint="eastAsia"/>
          <w:sz w:val="24"/>
          <w:szCs w:val="24"/>
        </w:rPr>
        <w:t>本收费站统计表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1710"/>
        <w:gridCol w:w="3976"/>
        <w:gridCol w:w="1481"/>
      </w:tblGrid>
      <w:tr w:rsidR="0044121B" w:rsidTr="0044121B">
        <w:tc>
          <w:tcPr>
            <w:tcW w:w="709" w:type="dxa"/>
          </w:tcPr>
          <w:p w:rsidR="0044121B" w:rsidRDefault="0044121B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10" w:type="dxa"/>
            <w:vAlign w:val="center"/>
          </w:tcPr>
          <w:p w:rsidR="0044121B" w:rsidRDefault="0044121B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区域</w:t>
            </w:r>
          </w:p>
        </w:tc>
        <w:tc>
          <w:tcPr>
            <w:tcW w:w="3976" w:type="dxa"/>
            <w:vAlign w:val="center"/>
          </w:tcPr>
          <w:p w:rsidR="0044121B" w:rsidRDefault="0044121B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固定治超站</w:t>
            </w:r>
          </w:p>
        </w:tc>
        <w:tc>
          <w:tcPr>
            <w:tcW w:w="1481" w:type="dxa"/>
            <w:vAlign w:val="center"/>
          </w:tcPr>
          <w:p w:rsidR="0044121B" w:rsidRDefault="0044121B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货车样本数</w:t>
            </w:r>
          </w:p>
        </w:tc>
      </w:tr>
      <w:tr w:rsidR="0044121B" w:rsidTr="0044121B">
        <w:tc>
          <w:tcPr>
            <w:tcW w:w="709" w:type="dxa"/>
          </w:tcPr>
          <w:p w:rsidR="0044121B" w:rsidRPr="00C30131" w:rsidRDefault="0044121B" w:rsidP="0061394C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44121B" w:rsidRDefault="0044121B" w:rsidP="0061394C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C30131">
              <w:rPr>
                <w:rFonts w:hint="eastAsia"/>
                <w:sz w:val="24"/>
                <w:szCs w:val="24"/>
              </w:rPr>
              <w:t>株洲县</w:t>
            </w:r>
          </w:p>
        </w:tc>
        <w:tc>
          <w:tcPr>
            <w:tcW w:w="3976" w:type="dxa"/>
            <w:vAlign w:val="center"/>
          </w:tcPr>
          <w:p w:rsidR="0044121B" w:rsidRDefault="0044121B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 w:rsidRPr="008525BA">
              <w:rPr>
                <w:rFonts w:hint="eastAsia"/>
                <w:sz w:val="24"/>
                <w:szCs w:val="24"/>
              </w:rPr>
              <w:t>王家洲</w:t>
            </w:r>
            <w:r>
              <w:rPr>
                <w:rFonts w:hint="eastAsia"/>
                <w:sz w:val="24"/>
                <w:szCs w:val="24"/>
              </w:rPr>
              <w:t>非现场</w:t>
            </w:r>
            <w:proofErr w:type="gramEnd"/>
            <w:r>
              <w:rPr>
                <w:rFonts w:hint="eastAsia"/>
                <w:sz w:val="24"/>
                <w:szCs w:val="24"/>
              </w:rPr>
              <w:t>执法检测站</w:t>
            </w:r>
          </w:p>
        </w:tc>
        <w:tc>
          <w:tcPr>
            <w:tcW w:w="1481" w:type="dxa"/>
            <w:vAlign w:val="center"/>
          </w:tcPr>
          <w:p w:rsidR="0044121B" w:rsidRDefault="0044121B" w:rsidP="00584D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689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</w:tbl>
    <w:p w:rsidR="00A0579C" w:rsidRDefault="003422BB" w:rsidP="00132E36">
      <w:pPr>
        <w:pStyle w:val="a3"/>
        <w:spacing w:line="360" w:lineRule="auto"/>
        <w:ind w:left="284" w:firstLineChars="2" w:firstLine="5"/>
        <w:outlineLvl w:val="1"/>
        <w:rPr>
          <w:sz w:val="24"/>
          <w:szCs w:val="24"/>
        </w:rPr>
      </w:pPr>
      <w:bookmarkStart w:id="4" w:name="_Toc510467203"/>
      <w:r>
        <w:rPr>
          <w:rFonts w:hint="eastAsia"/>
          <w:sz w:val="24"/>
          <w:szCs w:val="24"/>
        </w:rPr>
        <w:t>（三）</w:t>
      </w:r>
      <w:r w:rsidR="00132E3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超限统计口径说明</w:t>
      </w:r>
      <w:bookmarkEnd w:id="4"/>
    </w:p>
    <w:p w:rsidR="003422BB" w:rsidRDefault="00420DC2" w:rsidP="00420DC2">
      <w:pPr>
        <w:pStyle w:val="a3"/>
        <w:spacing w:line="360" w:lineRule="auto"/>
        <w:ind w:left="420" w:firstLine="480"/>
        <w:rPr>
          <w:sz w:val="24"/>
          <w:szCs w:val="24"/>
        </w:rPr>
      </w:pPr>
      <w:r w:rsidRPr="00420DC2">
        <w:rPr>
          <w:rFonts w:hint="eastAsia"/>
          <w:sz w:val="24"/>
          <w:szCs w:val="24"/>
        </w:rPr>
        <w:t>公路运输货车超限认定标准</w:t>
      </w:r>
      <w:r w:rsidR="006D5B15">
        <w:rPr>
          <w:rFonts w:hint="eastAsia"/>
          <w:sz w:val="24"/>
          <w:szCs w:val="24"/>
        </w:rPr>
        <w:t>，</w:t>
      </w:r>
      <w:r w:rsidRPr="00420DC2">
        <w:rPr>
          <w:rFonts w:hint="eastAsia"/>
          <w:sz w:val="24"/>
          <w:szCs w:val="24"/>
        </w:rPr>
        <w:t>主要依据</w:t>
      </w:r>
      <w:r w:rsidR="00F95FA3" w:rsidRPr="00F95FA3">
        <w:rPr>
          <w:rFonts w:hint="eastAsia"/>
          <w:sz w:val="24"/>
          <w:szCs w:val="24"/>
        </w:rPr>
        <w:t>《超限运输车辆行驶公路管理规定》</w:t>
      </w:r>
      <w:r w:rsidR="00F95FA3" w:rsidRPr="00F95FA3">
        <w:rPr>
          <w:rFonts w:hint="eastAsia"/>
          <w:sz w:val="24"/>
          <w:szCs w:val="24"/>
        </w:rPr>
        <w:t>(</w:t>
      </w:r>
      <w:r w:rsidR="00F95FA3" w:rsidRPr="00F95FA3">
        <w:rPr>
          <w:rFonts w:hint="eastAsia"/>
          <w:sz w:val="24"/>
          <w:szCs w:val="24"/>
        </w:rPr>
        <w:t>交通运输部令</w:t>
      </w:r>
      <w:r w:rsidR="00F95FA3" w:rsidRPr="00F95FA3">
        <w:rPr>
          <w:rFonts w:hint="eastAsia"/>
          <w:sz w:val="24"/>
          <w:szCs w:val="24"/>
        </w:rPr>
        <w:t>2016</w:t>
      </w:r>
      <w:r w:rsidR="00F95FA3" w:rsidRPr="00F95FA3">
        <w:rPr>
          <w:rFonts w:hint="eastAsia"/>
          <w:sz w:val="24"/>
          <w:szCs w:val="24"/>
        </w:rPr>
        <w:t>年第</w:t>
      </w:r>
      <w:r w:rsidR="00F95FA3" w:rsidRPr="00F95FA3">
        <w:rPr>
          <w:rFonts w:hint="eastAsia"/>
          <w:sz w:val="24"/>
          <w:szCs w:val="24"/>
        </w:rPr>
        <w:t>62</w:t>
      </w:r>
      <w:r w:rsidR="00F95FA3" w:rsidRPr="00F95FA3">
        <w:rPr>
          <w:rFonts w:hint="eastAsia"/>
          <w:sz w:val="24"/>
          <w:szCs w:val="24"/>
        </w:rPr>
        <w:t>号</w:t>
      </w:r>
      <w:r w:rsidR="00F95FA3" w:rsidRPr="00F95FA3">
        <w:rPr>
          <w:rFonts w:hint="eastAsia"/>
          <w:sz w:val="24"/>
          <w:szCs w:val="24"/>
        </w:rPr>
        <w:t>)</w:t>
      </w:r>
      <w:r w:rsidRPr="00420DC2">
        <w:rPr>
          <w:rFonts w:hint="eastAsia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1365"/>
        <w:gridCol w:w="3265"/>
        <w:gridCol w:w="2519"/>
        <w:gridCol w:w="1741"/>
      </w:tblGrid>
      <w:tr w:rsidR="00C12E35" w:rsidTr="00132E36">
        <w:trPr>
          <w:trHeight w:val="486"/>
          <w:tblHeader/>
          <w:jc w:val="center"/>
        </w:trPr>
        <w:tc>
          <w:tcPr>
            <w:tcW w:w="93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轴数</w:t>
            </w: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车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型</w:t>
            </w:r>
          </w:p>
        </w:tc>
        <w:tc>
          <w:tcPr>
            <w:tcW w:w="5784" w:type="dxa"/>
            <w:gridSpan w:val="2"/>
            <w:vAlign w:val="center"/>
          </w:tcPr>
          <w:p w:rsidR="00C12E35" w:rsidRDefault="00C12E35" w:rsidP="00132E36">
            <w:pPr>
              <w:tabs>
                <w:tab w:val="left" w:pos="735"/>
              </w:tabs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图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例</w:t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总质量限值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（吨）</w:t>
            </w:r>
          </w:p>
        </w:tc>
      </w:tr>
      <w:tr w:rsidR="00C12E35" w:rsidTr="00132E36">
        <w:trPr>
          <w:trHeight w:val="826"/>
          <w:jc w:val="center"/>
        </w:trPr>
        <w:tc>
          <w:tcPr>
            <w:tcW w:w="93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</w:t>
            </w: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载货汽车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73200" cy="431800"/>
                  <wp:effectExtent l="0" t="0" r="0" b="635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933450" cy="36195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</w:t>
            </w: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中置轴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挂车列车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87500" cy="4191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85850" cy="3111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C12E35" w:rsidTr="00132E36">
        <w:trPr>
          <w:trHeight w:val="584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铰接列车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619250" cy="40005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92200" cy="31115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</w:tr>
      <w:tr w:rsidR="00C12E35" w:rsidTr="00132E36">
        <w:trPr>
          <w:trHeight w:val="614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载货汽车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4305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984250" cy="311150"/>
                  <wp:effectExtent l="0" t="0" r="635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C12E35" w:rsidTr="00132E36">
        <w:trPr>
          <w:trHeight w:val="554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98600" cy="438150"/>
                  <wp:effectExtent l="0" t="0" r="635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09650" cy="336550"/>
                  <wp:effectExtent l="0" t="0" r="0" b="635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</w:t>
            </w: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中置轴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挂车列车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36700" cy="431800"/>
                  <wp:effectExtent l="0" t="0" r="6350" b="635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62050" cy="336550"/>
                  <wp:effectExtent l="0" t="0" r="0" b="635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36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68450" cy="3873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28700" cy="2730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铰接列车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68450" cy="431800"/>
                  <wp:effectExtent l="0" t="0" r="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30300" cy="355600"/>
                  <wp:effectExtent l="0" t="0" r="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36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全挂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汽车列车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93850" cy="412750"/>
                  <wp:effectExtent l="0" t="0" r="6350" b="635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30300" cy="3048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载货汽车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73200" cy="412750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79500" cy="311150"/>
                  <wp:effectExtent l="0" t="0" r="635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lastRenderedPageBreak/>
              <w:t>5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</w:t>
            </w: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中置轴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挂车列车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43050" cy="4572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92200" cy="336550"/>
                  <wp:effectExtent l="0" t="0" r="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92250" cy="4445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98550" cy="349250"/>
                  <wp:effectExtent l="0" t="0" r="635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铰接列车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36700" cy="463550"/>
                  <wp:effectExtent l="0" t="0" r="635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85850" cy="355600"/>
                  <wp:effectExtent l="0" t="0" r="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</w:t>
            </w: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铰接列车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17650" cy="400050"/>
                  <wp:effectExtent l="0" t="0" r="635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79500" cy="317500"/>
                  <wp:effectExtent l="0" t="0" r="635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98600" cy="450850"/>
                  <wp:effectExtent l="0" t="0" r="635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85850" cy="304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42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全挂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汽车列车</w:t>
            </w: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81150" cy="3873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81100" cy="2730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62100" cy="381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74750" cy="26670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轴</w:t>
            </w: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中置轴</w:t>
            </w:r>
          </w:p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挂车列车</w:t>
            </w:r>
          </w:p>
        </w:tc>
        <w:tc>
          <w:tcPr>
            <w:tcW w:w="32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62100" cy="43180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23950" cy="368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49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98550" cy="36830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657350" cy="41275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36650" cy="29210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49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23950" cy="304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铰接列车</w:t>
            </w:r>
          </w:p>
        </w:tc>
        <w:tc>
          <w:tcPr>
            <w:tcW w:w="32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60500" cy="488950"/>
                  <wp:effectExtent l="0" t="0" r="635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123950" cy="368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49</w:t>
            </w:r>
          </w:p>
        </w:tc>
      </w:tr>
      <w:tr w:rsidR="00C12E35" w:rsidTr="00132E36">
        <w:trPr>
          <w:trHeight w:val="350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60450" cy="336550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C12E35" w:rsidTr="00132E36">
        <w:trPr>
          <w:trHeight w:val="626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549400" cy="45085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079500" cy="36830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C12E35" w:rsidTr="00132E36">
        <w:trPr>
          <w:trHeight w:val="448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全挂列车</w:t>
            </w:r>
          </w:p>
        </w:tc>
        <w:tc>
          <w:tcPr>
            <w:tcW w:w="3265" w:type="dxa"/>
            <w:vMerge w:val="restart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479550" cy="40005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244600" cy="3365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49</w:t>
            </w:r>
          </w:p>
        </w:tc>
      </w:tr>
      <w:tr w:rsidR="00C12E35" w:rsidTr="00132E36">
        <w:trPr>
          <w:trHeight w:val="349"/>
          <w:jc w:val="center"/>
        </w:trPr>
        <w:tc>
          <w:tcPr>
            <w:tcW w:w="931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5" w:type="dxa"/>
            <w:vMerge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19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noProof/>
              </w:rPr>
              <w:drawing>
                <wp:inline distT="0" distB="0" distL="0" distR="0">
                  <wp:extent cx="1206500" cy="285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vAlign w:val="center"/>
          </w:tcPr>
          <w:p w:rsidR="00C12E35" w:rsidRDefault="00C12E35" w:rsidP="00132E36">
            <w:pPr>
              <w:jc w:val="center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C12E35" w:rsidTr="00132E36">
        <w:trPr>
          <w:trHeight w:val="2772"/>
          <w:jc w:val="center"/>
        </w:trPr>
        <w:tc>
          <w:tcPr>
            <w:tcW w:w="931" w:type="dxa"/>
            <w:vAlign w:val="center"/>
          </w:tcPr>
          <w:p w:rsidR="00C12E35" w:rsidRDefault="00C12E35" w:rsidP="00132E36">
            <w:pPr>
              <w:jc w:val="left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8890" w:type="dxa"/>
            <w:gridSpan w:val="4"/>
            <w:vAlign w:val="center"/>
          </w:tcPr>
          <w:p w:rsidR="00C12E35" w:rsidRDefault="00C12E35" w:rsidP="00132E36">
            <w:pPr>
              <w:ind w:left="348" w:hangingChars="145" w:hanging="34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．二轴货车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货总重还应当不超过行驶证标明的总质量。</w:t>
            </w:r>
          </w:p>
          <w:p w:rsidR="00C12E35" w:rsidRDefault="00C12E35" w:rsidP="00132E36">
            <w:pPr>
              <w:ind w:leftChars="4" w:left="368" w:hangingChars="15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．除驱动轴外，图例中的二轴组、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三轴组以及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半挂车和全挂车，每减少两个轮胎，其总质量限值减少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吨。</w:t>
            </w:r>
          </w:p>
          <w:p w:rsidR="00C12E35" w:rsidRDefault="00C12E35" w:rsidP="00132E36">
            <w:pPr>
              <w:ind w:left="348" w:hangingChars="145" w:hanging="34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．安装名义断面宽度不小于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425mm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轮胎的挂车及其组成的汽车列车，驱动轴安装名义断面宽度不小于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445mm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轮胎的载货汽车及其组成的汽车列车，其总质量限值不予核减。</w:t>
            </w:r>
          </w:p>
          <w:p w:rsidR="00C12E35" w:rsidRDefault="00C12E35" w:rsidP="00132E36">
            <w:pPr>
              <w:ind w:left="348" w:hangingChars="145" w:hanging="34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．驱动轴为每轴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每侧双轮胎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且装备空气悬架时，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轴和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轴货车的总质量限值各增加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吨；驱动轴为每轴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每侧双轮胎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并装备空气悬架、且半挂车的两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轴之间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的距离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≥1800mm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轴铰接列车，总质量限值为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吨。</w:t>
            </w:r>
          </w:p>
          <w:p w:rsidR="00C12E35" w:rsidRDefault="00C12E35" w:rsidP="00132E36">
            <w:pPr>
              <w:ind w:left="348" w:hangingChars="145" w:hanging="34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．图例中未列车型，根据《汽车、挂车及汽车列车外廓尺寸、轴荷及质量限值》（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GB1589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）规定，确定相应的总质量限值。</w:t>
            </w:r>
          </w:p>
          <w:p w:rsidR="00C12E35" w:rsidRDefault="00C12E35" w:rsidP="00132E36">
            <w:pPr>
              <w:ind w:left="360" w:hangingChars="150" w:hanging="36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/>
                <w:sz w:val="24"/>
              </w:rPr>
              <w:t>对于车货外廓尺寸超限行为，按照国家有关部门的统一部署，分阶段有步骤地推进。在部署工作开展前，暂不对外廓尺寸进行检查。</w:t>
            </w:r>
          </w:p>
          <w:p w:rsidR="00C12E35" w:rsidRDefault="00C12E35" w:rsidP="00132E36">
            <w:pPr>
              <w:ind w:left="360" w:hangingChars="150" w:hanging="36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/>
                <w:sz w:val="24"/>
              </w:rPr>
              <w:t>危险化学品运输车辆违法超限超载的，由公安机关依据《危险化学品安全管理条例》第八十八条的有关规定进行处罚。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12E35" w:rsidRDefault="00C12E35" w:rsidP="00132E36">
            <w:pPr>
              <w:ind w:left="360" w:hangingChars="150" w:hanging="36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/>
                <w:sz w:val="24"/>
              </w:rPr>
              <w:t>运输鲜活农产品车辆违法超限超载运输的，通行收费公路时，该运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次不得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给予免收车辆通行费的优惠政策；通行非收费公路时，以批评教育为主，暂不实施处罚。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12E35" w:rsidRDefault="00C12E35" w:rsidP="00132E36">
            <w:pPr>
              <w:ind w:left="360" w:hangingChars="150" w:hanging="36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/>
                <w:sz w:val="24"/>
              </w:rPr>
              <w:t>载运标准集装箱的挂车列车的整治工作另行部署，在专项整治前，重点检查其车货总质量是否超过限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载标准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的行为，暂不对外廓尺寸进行检查。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12E35" w:rsidRDefault="00C12E35" w:rsidP="00132E36">
            <w:pPr>
              <w:ind w:left="348" w:hangingChars="145" w:hanging="348"/>
              <w:jc w:val="left"/>
              <w:rPr>
                <w:rFonts w:ascii="Times New Roman" w:eastAsia="FangSong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/>
                <w:sz w:val="24"/>
              </w:rPr>
              <w:t>低平板半挂车运输普通货物的整治工作另行部署，在专项整治前，重点查纠其车货总质量超过限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载标准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和假牌套牌违法行为。</w:t>
            </w:r>
          </w:p>
        </w:tc>
      </w:tr>
    </w:tbl>
    <w:p w:rsidR="00093BF0" w:rsidRDefault="00093BF0" w:rsidP="00420DC2">
      <w:pPr>
        <w:pStyle w:val="a3"/>
        <w:spacing w:line="360" w:lineRule="auto"/>
        <w:ind w:left="420" w:firstLine="480"/>
        <w:rPr>
          <w:sz w:val="24"/>
          <w:szCs w:val="24"/>
        </w:rPr>
      </w:pPr>
    </w:p>
    <w:p w:rsidR="00093BF0" w:rsidRDefault="00093B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2E36" w:rsidRPr="00132E36" w:rsidRDefault="00132E36" w:rsidP="00132E36">
      <w:pPr>
        <w:pStyle w:val="a3"/>
        <w:numPr>
          <w:ilvl w:val="0"/>
          <w:numId w:val="2"/>
        </w:numPr>
        <w:spacing w:line="360" w:lineRule="auto"/>
        <w:ind w:leftChars="-63" w:left="2" w:hangingChars="56" w:hanging="134"/>
        <w:outlineLvl w:val="0"/>
        <w:rPr>
          <w:rFonts w:hint="eastAsia"/>
          <w:vanish/>
          <w:sz w:val="24"/>
          <w:szCs w:val="24"/>
        </w:rPr>
      </w:pPr>
      <w:bookmarkStart w:id="5" w:name="_Toc510467146"/>
      <w:bookmarkStart w:id="6" w:name="_Toc510467204"/>
      <w:bookmarkEnd w:id="5"/>
      <w:bookmarkEnd w:id="6"/>
    </w:p>
    <w:p w:rsidR="00C12E35" w:rsidRDefault="0060764E" w:rsidP="00132E36">
      <w:pPr>
        <w:pStyle w:val="a3"/>
        <w:numPr>
          <w:ilvl w:val="0"/>
          <w:numId w:val="2"/>
        </w:numPr>
        <w:spacing w:line="360" w:lineRule="auto"/>
        <w:ind w:leftChars="-63" w:left="2" w:hangingChars="56" w:hanging="134"/>
        <w:outlineLvl w:val="0"/>
        <w:rPr>
          <w:sz w:val="24"/>
          <w:szCs w:val="24"/>
        </w:rPr>
      </w:pPr>
      <w:bookmarkStart w:id="7" w:name="_Toc510467205"/>
      <w:r>
        <w:rPr>
          <w:rFonts w:hint="eastAsia"/>
          <w:sz w:val="24"/>
          <w:szCs w:val="24"/>
        </w:rPr>
        <w:t>超限运输总体情况</w:t>
      </w:r>
      <w:bookmarkEnd w:id="7"/>
    </w:p>
    <w:p w:rsidR="0060764E" w:rsidRDefault="00744270" w:rsidP="00132E36">
      <w:pPr>
        <w:pStyle w:val="a3"/>
        <w:spacing w:line="360" w:lineRule="auto"/>
        <w:ind w:left="2" w:firstLineChars="0" w:firstLine="0"/>
        <w:outlineLvl w:val="1"/>
        <w:rPr>
          <w:sz w:val="24"/>
          <w:szCs w:val="24"/>
        </w:rPr>
      </w:pPr>
      <w:bookmarkStart w:id="8" w:name="_Toc510467206"/>
      <w:r>
        <w:rPr>
          <w:rFonts w:hint="eastAsia"/>
          <w:sz w:val="24"/>
          <w:szCs w:val="24"/>
        </w:rPr>
        <w:t>(</w:t>
      </w:r>
      <w:proofErr w:type="gramStart"/>
      <w:r>
        <w:rPr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、总体超限比例</w:t>
      </w:r>
      <w:bookmarkEnd w:id="8"/>
    </w:p>
    <w:p w:rsidR="00744270" w:rsidRDefault="00744270" w:rsidP="0060764E">
      <w:pPr>
        <w:pStyle w:val="a3"/>
        <w:spacing w:line="360" w:lineRule="auto"/>
        <w:ind w:left="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、普通公路固定治超站</w:t>
      </w:r>
    </w:p>
    <w:p w:rsidR="00744270" w:rsidRDefault="00F22310" w:rsidP="00F22310">
      <w:pPr>
        <w:pStyle w:val="a3"/>
        <w:spacing w:line="360" w:lineRule="auto"/>
        <w:ind w:left="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 w:rsidRPr="00F22310">
        <w:rPr>
          <w:rFonts w:hint="eastAsia"/>
          <w:sz w:val="24"/>
          <w:szCs w:val="24"/>
        </w:rPr>
        <w:t>季度</w:t>
      </w:r>
      <w:r w:rsidR="006D5B15">
        <w:rPr>
          <w:rFonts w:hint="eastAsia"/>
          <w:sz w:val="24"/>
          <w:szCs w:val="24"/>
        </w:rPr>
        <w:t>，</w:t>
      </w:r>
      <w:r w:rsidRPr="00F22310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市</w:t>
      </w:r>
      <w:r w:rsidRPr="00F22310">
        <w:rPr>
          <w:rFonts w:hint="eastAsia"/>
          <w:sz w:val="24"/>
          <w:szCs w:val="24"/>
        </w:rPr>
        <w:t>普通公路</w:t>
      </w:r>
      <w:r>
        <w:rPr>
          <w:rFonts w:hint="eastAsia"/>
          <w:sz w:val="24"/>
          <w:szCs w:val="24"/>
        </w:rPr>
        <w:t>固定治超</w:t>
      </w:r>
      <w:proofErr w:type="gramStart"/>
      <w:r>
        <w:rPr>
          <w:rFonts w:hint="eastAsia"/>
          <w:sz w:val="24"/>
          <w:szCs w:val="24"/>
        </w:rPr>
        <w:t>站</w:t>
      </w:r>
      <w:r w:rsidRPr="00F22310">
        <w:rPr>
          <w:rFonts w:hint="eastAsia"/>
          <w:sz w:val="24"/>
          <w:szCs w:val="24"/>
        </w:rPr>
        <w:t>超限水平环比持续</w:t>
      </w:r>
      <w:proofErr w:type="gramEnd"/>
      <w:r w:rsidRPr="00F22310">
        <w:rPr>
          <w:rFonts w:hint="eastAsia"/>
          <w:sz w:val="24"/>
          <w:szCs w:val="24"/>
        </w:rPr>
        <w:t>下降</w:t>
      </w:r>
      <w:r w:rsidR="006D5B15">
        <w:rPr>
          <w:rFonts w:hint="eastAsia"/>
          <w:sz w:val="24"/>
          <w:szCs w:val="24"/>
        </w:rPr>
        <w:t>，</w:t>
      </w:r>
      <w:proofErr w:type="gramStart"/>
      <w:r w:rsidRPr="00F22310">
        <w:rPr>
          <w:rFonts w:hint="eastAsia"/>
          <w:sz w:val="24"/>
          <w:szCs w:val="24"/>
        </w:rPr>
        <w:t>总体超跟比例</w:t>
      </w:r>
      <w:proofErr w:type="gramEnd"/>
      <w:r w:rsidRPr="00F22310">
        <w:rPr>
          <w:rFonts w:hint="eastAsia"/>
          <w:sz w:val="24"/>
          <w:szCs w:val="24"/>
        </w:rPr>
        <w:t>为</w:t>
      </w:r>
      <w:r w:rsidRPr="00F22310">
        <w:rPr>
          <w:rFonts w:hint="eastAsia"/>
          <w:sz w:val="24"/>
          <w:szCs w:val="24"/>
        </w:rPr>
        <w:t xml:space="preserve"> 1.89%</w:t>
      </w:r>
      <w:r w:rsidRPr="00F22310">
        <w:rPr>
          <w:rFonts w:hint="eastAsia"/>
          <w:sz w:val="24"/>
          <w:szCs w:val="24"/>
        </w:rPr>
        <w:t>环比下降</w:t>
      </w:r>
      <w:r w:rsidRPr="00F22310">
        <w:rPr>
          <w:rFonts w:hint="eastAsia"/>
          <w:sz w:val="24"/>
          <w:szCs w:val="24"/>
        </w:rPr>
        <w:t xml:space="preserve"> 007 </w:t>
      </w:r>
      <w:proofErr w:type="gramStart"/>
      <w:r w:rsidRPr="00F22310">
        <w:rPr>
          <w:rFonts w:hint="eastAsia"/>
          <w:sz w:val="24"/>
          <w:szCs w:val="24"/>
        </w:rPr>
        <w:t>个</w:t>
      </w:r>
      <w:proofErr w:type="gramEnd"/>
      <w:r w:rsidRPr="00F22310">
        <w:rPr>
          <w:rFonts w:hint="eastAsia"/>
          <w:sz w:val="24"/>
          <w:szCs w:val="24"/>
        </w:rPr>
        <w:t>百分点</w:t>
      </w:r>
      <w:r>
        <w:rPr>
          <w:rFonts w:hint="eastAsia"/>
          <w:sz w:val="24"/>
          <w:szCs w:val="24"/>
        </w:rPr>
        <w:t>；</w:t>
      </w:r>
      <w:r w:rsidRPr="00F22310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 w:rsidRPr="00F22310">
        <w:rPr>
          <w:rFonts w:hint="eastAsia"/>
          <w:sz w:val="24"/>
          <w:szCs w:val="24"/>
        </w:rPr>
        <w:t>超限</w:t>
      </w:r>
      <w:r w:rsidRPr="00F22310">
        <w:rPr>
          <w:rFonts w:hint="eastAsia"/>
          <w:sz w:val="24"/>
          <w:szCs w:val="24"/>
        </w:rPr>
        <w:t xml:space="preserve"> 30%</w:t>
      </w:r>
      <w:r w:rsidRPr="00F22310">
        <w:rPr>
          <w:rFonts w:hint="eastAsia"/>
          <w:sz w:val="24"/>
          <w:szCs w:val="24"/>
        </w:rPr>
        <w:t>以内的车辆比例为</w:t>
      </w:r>
      <w:r w:rsidRPr="00F22310">
        <w:rPr>
          <w:rFonts w:hint="eastAsia"/>
          <w:sz w:val="24"/>
          <w:szCs w:val="24"/>
        </w:rPr>
        <w:t xml:space="preserve"> 1.47%</w:t>
      </w:r>
      <w:r>
        <w:rPr>
          <w:rFonts w:hint="eastAsia"/>
          <w:sz w:val="24"/>
          <w:szCs w:val="24"/>
        </w:rPr>
        <w:t>，</w:t>
      </w:r>
      <w:r w:rsidRPr="00F22310">
        <w:rPr>
          <w:rFonts w:hint="eastAsia"/>
          <w:sz w:val="24"/>
          <w:szCs w:val="24"/>
        </w:rPr>
        <w:t>环比下降</w:t>
      </w:r>
      <w:r w:rsidRPr="00F22310">
        <w:rPr>
          <w:rFonts w:hint="eastAsia"/>
          <w:sz w:val="24"/>
          <w:szCs w:val="24"/>
        </w:rPr>
        <w:t xml:space="preserve"> 005 </w:t>
      </w:r>
      <w:proofErr w:type="gramStart"/>
      <w:r w:rsidRPr="00F22310">
        <w:rPr>
          <w:rFonts w:hint="eastAsia"/>
          <w:sz w:val="24"/>
          <w:szCs w:val="24"/>
        </w:rPr>
        <w:t>个</w:t>
      </w:r>
      <w:proofErr w:type="gramEnd"/>
      <w:r w:rsidRPr="00F22310">
        <w:rPr>
          <w:rFonts w:hint="eastAsia"/>
          <w:sz w:val="24"/>
          <w:szCs w:val="24"/>
        </w:rPr>
        <w:t>百分点</w:t>
      </w:r>
      <w:r>
        <w:rPr>
          <w:rFonts w:hint="eastAsia"/>
          <w:sz w:val="24"/>
          <w:szCs w:val="24"/>
        </w:rPr>
        <w:t>，</w:t>
      </w:r>
      <w:r w:rsidRPr="00F22310">
        <w:rPr>
          <w:rFonts w:hint="eastAsia"/>
          <w:sz w:val="24"/>
          <w:szCs w:val="24"/>
        </w:rPr>
        <w:t>超跟</w:t>
      </w:r>
      <w:r w:rsidRPr="00F22310">
        <w:rPr>
          <w:rFonts w:hint="eastAsia"/>
          <w:sz w:val="24"/>
          <w:szCs w:val="24"/>
        </w:rPr>
        <w:t xml:space="preserve"> 30%</w:t>
      </w:r>
      <w:r w:rsidRPr="00F22310">
        <w:rPr>
          <w:rFonts w:hint="eastAsia"/>
          <w:sz w:val="24"/>
          <w:szCs w:val="24"/>
        </w:rPr>
        <w:t>以上的比例为</w:t>
      </w:r>
      <w:r w:rsidRPr="00F22310">
        <w:rPr>
          <w:rFonts w:hint="eastAsia"/>
          <w:sz w:val="24"/>
          <w:szCs w:val="24"/>
        </w:rPr>
        <w:t xml:space="preserve"> 0.42%</w:t>
      </w:r>
      <w:r>
        <w:rPr>
          <w:rFonts w:hint="eastAsia"/>
          <w:sz w:val="24"/>
          <w:szCs w:val="24"/>
        </w:rPr>
        <w:t>，</w:t>
      </w:r>
      <w:r w:rsidRPr="00F22310">
        <w:rPr>
          <w:rFonts w:hint="eastAsia"/>
          <w:sz w:val="24"/>
          <w:szCs w:val="24"/>
        </w:rPr>
        <w:t>较上期下降</w:t>
      </w:r>
      <w:r w:rsidRPr="00F22310">
        <w:rPr>
          <w:rFonts w:hint="eastAsia"/>
          <w:sz w:val="24"/>
          <w:szCs w:val="24"/>
        </w:rPr>
        <w:t xml:space="preserve"> 0.02 </w:t>
      </w:r>
      <w:proofErr w:type="gramStart"/>
      <w:r w:rsidRPr="00F22310">
        <w:rPr>
          <w:rFonts w:hint="eastAsia"/>
          <w:sz w:val="24"/>
          <w:szCs w:val="24"/>
        </w:rPr>
        <w:t>个</w:t>
      </w:r>
      <w:proofErr w:type="gramEnd"/>
      <w:r w:rsidRPr="00F22310">
        <w:rPr>
          <w:rFonts w:hint="eastAsia"/>
          <w:sz w:val="24"/>
          <w:szCs w:val="24"/>
        </w:rPr>
        <w:t>百分点。从</w:t>
      </w:r>
      <w:r>
        <w:rPr>
          <w:rFonts w:hint="eastAsia"/>
          <w:sz w:val="24"/>
          <w:szCs w:val="24"/>
        </w:rPr>
        <w:t>一</w:t>
      </w:r>
      <w:r w:rsidRPr="00F22310">
        <w:rPr>
          <w:rFonts w:hint="eastAsia"/>
          <w:sz w:val="24"/>
          <w:szCs w:val="24"/>
        </w:rPr>
        <w:t>季度各月变化看普通公路</w:t>
      </w:r>
      <w:r>
        <w:rPr>
          <w:rFonts w:hint="eastAsia"/>
          <w:sz w:val="24"/>
          <w:szCs w:val="24"/>
        </w:rPr>
        <w:t>固定治超</w:t>
      </w:r>
      <w:proofErr w:type="gramStart"/>
      <w:r>
        <w:rPr>
          <w:rFonts w:hint="eastAsia"/>
          <w:sz w:val="24"/>
          <w:szCs w:val="24"/>
        </w:rPr>
        <w:t>站</w:t>
      </w:r>
      <w:r w:rsidRPr="00F22310">
        <w:rPr>
          <w:rFonts w:hint="eastAsia"/>
          <w:sz w:val="24"/>
          <w:szCs w:val="24"/>
        </w:rPr>
        <w:t>总体</w:t>
      </w:r>
      <w:proofErr w:type="gramEnd"/>
      <w:r>
        <w:rPr>
          <w:rFonts w:hint="eastAsia"/>
          <w:sz w:val="24"/>
          <w:szCs w:val="24"/>
        </w:rPr>
        <w:t>超</w:t>
      </w:r>
      <w:r w:rsidRPr="00F22310">
        <w:rPr>
          <w:rFonts w:hint="eastAsia"/>
          <w:sz w:val="24"/>
          <w:szCs w:val="24"/>
        </w:rPr>
        <w:t>限比例呈现先升后降趋势</w:t>
      </w:r>
      <w:r>
        <w:rPr>
          <w:rFonts w:hint="eastAsia"/>
          <w:sz w:val="24"/>
          <w:szCs w:val="24"/>
        </w:rPr>
        <w:t>，</w:t>
      </w:r>
      <w:r w:rsidRPr="00F22310">
        <w:rPr>
          <w:rFonts w:hint="eastAsia"/>
          <w:sz w:val="24"/>
          <w:szCs w:val="24"/>
        </w:rPr>
        <w:t>由</w:t>
      </w:r>
      <w:r w:rsidRPr="00F2231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F22310">
        <w:rPr>
          <w:rFonts w:hint="eastAsia"/>
          <w:sz w:val="24"/>
          <w:szCs w:val="24"/>
        </w:rPr>
        <w:t xml:space="preserve"> </w:t>
      </w:r>
      <w:r w:rsidRPr="00F22310">
        <w:rPr>
          <w:rFonts w:hint="eastAsia"/>
          <w:sz w:val="24"/>
          <w:szCs w:val="24"/>
        </w:rPr>
        <w:t>月的</w:t>
      </w:r>
      <w:r w:rsidRPr="00F22310">
        <w:rPr>
          <w:rFonts w:hint="eastAsia"/>
          <w:sz w:val="24"/>
          <w:szCs w:val="24"/>
        </w:rPr>
        <w:t xml:space="preserve"> 197%</w:t>
      </w:r>
      <w:r w:rsidRPr="00F22310">
        <w:rPr>
          <w:rFonts w:hint="eastAsia"/>
          <w:sz w:val="24"/>
          <w:szCs w:val="24"/>
        </w:rPr>
        <w:t>上升至</w:t>
      </w:r>
      <w:r w:rsidRPr="00F2231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F22310">
        <w:rPr>
          <w:rFonts w:hint="eastAsia"/>
          <w:sz w:val="24"/>
          <w:szCs w:val="24"/>
        </w:rPr>
        <w:t xml:space="preserve"> </w:t>
      </w:r>
      <w:r w:rsidRPr="00F22310">
        <w:rPr>
          <w:rFonts w:hint="eastAsia"/>
          <w:sz w:val="24"/>
          <w:szCs w:val="24"/>
        </w:rPr>
        <w:t>月的</w:t>
      </w:r>
      <w:r w:rsidRPr="00F22310">
        <w:rPr>
          <w:rFonts w:hint="eastAsia"/>
          <w:sz w:val="24"/>
          <w:szCs w:val="24"/>
        </w:rPr>
        <w:t xml:space="preserve"> 2.01%</w:t>
      </w:r>
      <w:r w:rsidRPr="00F22310">
        <w:rPr>
          <w:rFonts w:hint="eastAsia"/>
          <w:sz w:val="24"/>
          <w:szCs w:val="24"/>
        </w:rPr>
        <w:t>再下降至</w:t>
      </w:r>
      <w:r w:rsidRPr="00F2231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F22310">
        <w:rPr>
          <w:rFonts w:hint="eastAsia"/>
          <w:sz w:val="24"/>
          <w:szCs w:val="24"/>
        </w:rPr>
        <w:t>月的</w:t>
      </w:r>
      <w:r w:rsidRPr="00F22310">
        <w:rPr>
          <w:rFonts w:hint="eastAsia"/>
          <w:sz w:val="24"/>
          <w:szCs w:val="24"/>
        </w:rPr>
        <w:t xml:space="preserve"> 1.66%</w:t>
      </w:r>
      <w:r>
        <w:rPr>
          <w:rFonts w:hint="eastAsia"/>
          <w:sz w:val="24"/>
          <w:szCs w:val="24"/>
        </w:rPr>
        <w:t>。</w:t>
      </w:r>
    </w:p>
    <w:p w:rsidR="00C56690" w:rsidRDefault="00C56690" w:rsidP="00C56690">
      <w:pPr>
        <w:pStyle w:val="a3"/>
        <w:spacing w:line="360" w:lineRule="auto"/>
        <w:ind w:leftChars="-270" w:left="2" w:hangingChars="237" w:hanging="569"/>
        <w:rPr>
          <w:rFonts w:hint="eastAsia"/>
          <w:sz w:val="24"/>
          <w:szCs w:val="24"/>
        </w:rPr>
      </w:pPr>
      <w:r w:rsidRPr="00C56690">
        <w:rPr>
          <w:rFonts w:hint="eastAsia"/>
          <w:sz w:val="24"/>
          <w:szCs w:val="24"/>
        </w:rPr>
        <w:t>表</w:t>
      </w:r>
      <w:r w:rsidRPr="00C56690">
        <w:rPr>
          <w:rFonts w:hint="eastAsia"/>
          <w:sz w:val="24"/>
          <w:szCs w:val="24"/>
        </w:rPr>
        <w:t xml:space="preserve"> 2-1:</w:t>
      </w:r>
      <w:r>
        <w:rPr>
          <w:rFonts w:hint="eastAsia"/>
          <w:sz w:val="24"/>
          <w:szCs w:val="24"/>
        </w:rPr>
        <w:t>一</w:t>
      </w:r>
      <w:r w:rsidRPr="00C56690">
        <w:rPr>
          <w:rFonts w:hint="eastAsia"/>
          <w:sz w:val="24"/>
          <w:szCs w:val="24"/>
        </w:rPr>
        <w:t>季度全</w:t>
      </w:r>
      <w:r>
        <w:rPr>
          <w:rFonts w:hint="eastAsia"/>
          <w:sz w:val="24"/>
          <w:szCs w:val="24"/>
        </w:rPr>
        <w:t>市</w:t>
      </w:r>
      <w:proofErr w:type="gramStart"/>
      <w:r w:rsidRPr="00C56690">
        <w:rPr>
          <w:rFonts w:hint="eastAsia"/>
          <w:sz w:val="24"/>
          <w:szCs w:val="24"/>
        </w:rPr>
        <w:t>普道公路</w:t>
      </w:r>
      <w:proofErr w:type="gramEnd"/>
      <w:r>
        <w:rPr>
          <w:rFonts w:hint="eastAsia"/>
          <w:sz w:val="24"/>
          <w:szCs w:val="24"/>
        </w:rPr>
        <w:t>固定治超</w:t>
      </w:r>
      <w:proofErr w:type="gramStart"/>
      <w:r>
        <w:rPr>
          <w:rFonts w:hint="eastAsia"/>
          <w:sz w:val="24"/>
          <w:szCs w:val="24"/>
        </w:rPr>
        <w:t>站</w:t>
      </w:r>
      <w:r w:rsidRPr="00C56690">
        <w:rPr>
          <w:rFonts w:hint="eastAsia"/>
          <w:sz w:val="24"/>
          <w:szCs w:val="24"/>
        </w:rPr>
        <w:t>超跟车辆</w:t>
      </w:r>
      <w:proofErr w:type="gramEnd"/>
      <w:r w:rsidRPr="00C56690">
        <w:rPr>
          <w:rFonts w:hint="eastAsia"/>
          <w:sz w:val="24"/>
          <w:szCs w:val="24"/>
        </w:rPr>
        <w:t>比例统计表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850"/>
        <w:gridCol w:w="1701"/>
        <w:gridCol w:w="2693"/>
        <w:gridCol w:w="2631"/>
      </w:tblGrid>
      <w:tr w:rsidR="00F22310" w:rsidTr="00F22310">
        <w:tc>
          <w:tcPr>
            <w:tcW w:w="993" w:type="dxa"/>
            <w:vAlign w:val="center"/>
          </w:tcPr>
          <w:p w:rsidR="00F22310" w:rsidRDefault="00F22310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季度</w:t>
            </w:r>
          </w:p>
        </w:tc>
        <w:tc>
          <w:tcPr>
            <w:tcW w:w="850" w:type="dxa"/>
            <w:vAlign w:val="center"/>
          </w:tcPr>
          <w:p w:rsidR="00F22310" w:rsidRDefault="00F22310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1701" w:type="dxa"/>
            <w:vAlign w:val="center"/>
          </w:tcPr>
          <w:p w:rsidR="00F22310" w:rsidRDefault="00F22310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总体超限比例</w:t>
            </w:r>
          </w:p>
        </w:tc>
        <w:tc>
          <w:tcPr>
            <w:tcW w:w="2693" w:type="dxa"/>
            <w:vAlign w:val="center"/>
          </w:tcPr>
          <w:p w:rsidR="00F22310" w:rsidRDefault="00F22310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超限</w:t>
            </w:r>
            <w:r>
              <w:rPr>
                <w:rFonts w:hint="eastAsia"/>
                <w:sz w:val="24"/>
                <w:szCs w:val="24"/>
              </w:rPr>
              <w:t>30%</w:t>
            </w:r>
            <w:r>
              <w:rPr>
                <w:rFonts w:hint="eastAsia"/>
                <w:sz w:val="24"/>
                <w:szCs w:val="24"/>
              </w:rPr>
              <w:t>以内车辆比例</w:t>
            </w:r>
          </w:p>
        </w:tc>
        <w:tc>
          <w:tcPr>
            <w:tcW w:w="2631" w:type="dxa"/>
            <w:vAlign w:val="center"/>
          </w:tcPr>
          <w:p w:rsidR="00F22310" w:rsidRDefault="00F22310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超限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以上车辆比例</w:t>
            </w:r>
          </w:p>
        </w:tc>
      </w:tr>
      <w:tr w:rsidR="00F05452" w:rsidTr="00F22310">
        <w:tc>
          <w:tcPr>
            <w:tcW w:w="993" w:type="dxa"/>
            <w:vMerge w:val="restart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一季度</w:t>
            </w:r>
          </w:p>
        </w:tc>
        <w:tc>
          <w:tcPr>
            <w:tcW w:w="850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97%</w:t>
            </w:r>
          </w:p>
        </w:tc>
        <w:tc>
          <w:tcPr>
            <w:tcW w:w="2693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53%</w:t>
            </w:r>
          </w:p>
        </w:tc>
        <w:tc>
          <w:tcPr>
            <w:tcW w:w="2631" w:type="dxa"/>
            <w:vAlign w:val="center"/>
          </w:tcPr>
          <w:p w:rsidR="00F05452" w:rsidRDefault="00280F0D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44%</w:t>
            </w:r>
          </w:p>
        </w:tc>
      </w:tr>
      <w:tr w:rsidR="00F05452" w:rsidTr="00F22310">
        <w:tc>
          <w:tcPr>
            <w:tcW w:w="993" w:type="dxa"/>
            <w:vMerge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01%</w:t>
            </w:r>
          </w:p>
        </w:tc>
        <w:tc>
          <w:tcPr>
            <w:tcW w:w="2693" w:type="dxa"/>
            <w:vAlign w:val="center"/>
          </w:tcPr>
          <w:p w:rsidR="00F05452" w:rsidRDefault="00F05452" w:rsidP="00F0545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56%</w:t>
            </w:r>
          </w:p>
        </w:tc>
        <w:tc>
          <w:tcPr>
            <w:tcW w:w="2631" w:type="dxa"/>
            <w:vAlign w:val="center"/>
          </w:tcPr>
          <w:p w:rsidR="00F05452" w:rsidRDefault="00280F0D" w:rsidP="00280F0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45%</w:t>
            </w:r>
          </w:p>
        </w:tc>
      </w:tr>
      <w:tr w:rsidR="00F05452" w:rsidTr="00F22310">
        <w:tc>
          <w:tcPr>
            <w:tcW w:w="993" w:type="dxa"/>
            <w:vMerge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66%</w:t>
            </w:r>
          </w:p>
        </w:tc>
        <w:tc>
          <w:tcPr>
            <w:tcW w:w="2693" w:type="dxa"/>
            <w:vAlign w:val="center"/>
          </w:tcPr>
          <w:p w:rsidR="00F05452" w:rsidRDefault="00F05452" w:rsidP="00F0545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30%</w:t>
            </w:r>
          </w:p>
        </w:tc>
        <w:tc>
          <w:tcPr>
            <w:tcW w:w="2631" w:type="dxa"/>
            <w:vAlign w:val="center"/>
          </w:tcPr>
          <w:p w:rsidR="00F05452" w:rsidRDefault="00280F0D" w:rsidP="00280F0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36%</w:t>
            </w:r>
          </w:p>
        </w:tc>
      </w:tr>
      <w:tr w:rsidR="00F05452" w:rsidTr="00F22310">
        <w:tc>
          <w:tcPr>
            <w:tcW w:w="993" w:type="dxa"/>
            <w:vMerge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701" w:type="dxa"/>
            <w:vAlign w:val="center"/>
          </w:tcPr>
          <w:p w:rsidR="00F05452" w:rsidRDefault="00F05452" w:rsidP="00F2231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89%</w:t>
            </w:r>
          </w:p>
        </w:tc>
        <w:tc>
          <w:tcPr>
            <w:tcW w:w="2693" w:type="dxa"/>
            <w:vAlign w:val="center"/>
          </w:tcPr>
          <w:p w:rsidR="00F05452" w:rsidRDefault="00F05452" w:rsidP="00F0545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47%</w:t>
            </w:r>
          </w:p>
        </w:tc>
        <w:tc>
          <w:tcPr>
            <w:tcW w:w="2631" w:type="dxa"/>
            <w:vAlign w:val="center"/>
          </w:tcPr>
          <w:p w:rsidR="00F05452" w:rsidRDefault="00280F0D" w:rsidP="00280F0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42%</w:t>
            </w:r>
          </w:p>
        </w:tc>
      </w:tr>
    </w:tbl>
    <w:p w:rsidR="00F22310" w:rsidRPr="00920D94" w:rsidRDefault="00920D94" w:rsidP="00920D94">
      <w:pPr>
        <w:pStyle w:val="a3"/>
        <w:spacing w:line="360" w:lineRule="auto"/>
        <w:ind w:left="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920D94">
        <w:rPr>
          <w:rFonts w:hint="eastAsia"/>
          <w:sz w:val="24"/>
          <w:szCs w:val="24"/>
        </w:rPr>
        <w:t>非现场执法检测系统</w:t>
      </w:r>
    </w:p>
    <w:p w:rsidR="00920D94" w:rsidRDefault="00D444DA" w:rsidP="00D444DA">
      <w:pPr>
        <w:pStyle w:val="a3"/>
        <w:spacing w:line="360" w:lineRule="auto"/>
        <w:ind w:left="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 w:rsidRPr="00D444DA">
        <w:rPr>
          <w:rFonts w:hint="eastAsia"/>
          <w:sz w:val="24"/>
          <w:szCs w:val="24"/>
        </w:rPr>
        <w:t>季度</w:t>
      </w:r>
      <w:r w:rsidR="006D5B15">
        <w:rPr>
          <w:rFonts w:hint="eastAsia"/>
          <w:sz w:val="24"/>
          <w:szCs w:val="24"/>
        </w:rPr>
        <w:t>，</w:t>
      </w:r>
      <w:r w:rsidRPr="00D444DA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市</w:t>
      </w:r>
      <w:r w:rsidRPr="00920D94">
        <w:rPr>
          <w:rFonts w:hint="eastAsia"/>
          <w:sz w:val="24"/>
          <w:szCs w:val="24"/>
        </w:rPr>
        <w:t>非现场执法检测系统</w:t>
      </w:r>
      <w:r w:rsidRPr="00D444DA">
        <w:rPr>
          <w:rFonts w:hint="eastAsia"/>
          <w:sz w:val="24"/>
          <w:szCs w:val="24"/>
        </w:rPr>
        <w:t>检测路段总体超限比例为</w:t>
      </w:r>
      <w:r w:rsidRPr="00D444DA">
        <w:rPr>
          <w:rFonts w:hint="eastAsia"/>
          <w:sz w:val="24"/>
          <w:szCs w:val="24"/>
        </w:rPr>
        <w:t xml:space="preserve"> 2.09%</w:t>
      </w:r>
      <w:r w:rsidR="006D5B15">
        <w:rPr>
          <w:rFonts w:hint="eastAsia"/>
          <w:sz w:val="24"/>
          <w:szCs w:val="24"/>
        </w:rPr>
        <w:t>，</w:t>
      </w:r>
      <w:r w:rsidRPr="00D444DA">
        <w:rPr>
          <w:rFonts w:hint="eastAsia"/>
          <w:sz w:val="24"/>
          <w:szCs w:val="24"/>
        </w:rPr>
        <w:t>环比上升</w:t>
      </w:r>
      <w:r w:rsidRPr="00D444DA">
        <w:rPr>
          <w:rFonts w:hint="eastAsia"/>
          <w:sz w:val="24"/>
          <w:szCs w:val="24"/>
        </w:rPr>
        <w:t xml:space="preserve"> 003 </w:t>
      </w:r>
      <w:proofErr w:type="gramStart"/>
      <w:r w:rsidRPr="00D444DA">
        <w:rPr>
          <w:rFonts w:hint="eastAsia"/>
          <w:sz w:val="24"/>
          <w:szCs w:val="24"/>
        </w:rPr>
        <w:t>个</w:t>
      </w:r>
      <w:proofErr w:type="gramEnd"/>
      <w:r w:rsidRPr="00D444DA">
        <w:rPr>
          <w:rFonts w:hint="eastAsia"/>
          <w:sz w:val="24"/>
          <w:szCs w:val="24"/>
        </w:rPr>
        <w:t>百分点</w:t>
      </w:r>
      <w:r>
        <w:rPr>
          <w:rFonts w:hint="eastAsia"/>
          <w:sz w:val="24"/>
          <w:szCs w:val="24"/>
        </w:rPr>
        <w:t>；</w:t>
      </w:r>
      <w:r w:rsidRPr="00D444DA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 w:rsidRPr="00D444DA">
        <w:rPr>
          <w:rFonts w:hint="eastAsia"/>
          <w:sz w:val="24"/>
          <w:szCs w:val="24"/>
        </w:rPr>
        <w:t>超限</w:t>
      </w:r>
      <w:r w:rsidRPr="00D444DA">
        <w:rPr>
          <w:rFonts w:hint="eastAsia"/>
          <w:sz w:val="24"/>
          <w:szCs w:val="24"/>
        </w:rPr>
        <w:t xml:space="preserve"> 30%</w:t>
      </w:r>
      <w:r w:rsidRPr="00D444DA">
        <w:rPr>
          <w:rFonts w:hint="eastAsia"/>
          <w:sz w:val="24"/>
          <w:szCs w:val="24"/>
        </w:rPr>
        <w:t>以内的车辆比例为</w:t>
      </w:r>
      <w:r w:rsidRPr="00D444DA">
        <w:rPr>
          <w:rFonts w:hint="eastAsia"/>
          <w:sz w:val="24"/>
          <w:szCs w:val="24"/>
        </w:rPr>
        <w:t xml:space="preserve"> 1.28%</w:t>
      </w:r>
      <w:r>
        <w:rPr>
          <w:rFonts w:hint="eastAsia"/>
          <w:sz w:val="24"/>
          <w:szCs w:val="24"/>
        </w:rPr>
        <w:t>；</w:t>
      </w:r>
      <w:r w:rsidRPr="00D444DA">
        <w:rPr>
          <w:rFonts w:hint="eastAsia"/>
          <w:sz w:val="24"/>
          <w:szCs w:val="24"/>
        </w:rPr>
        <w:t>超跟</w:t>
      </w:r>
      <w:r w:rsidRPr="00D444DA">
        <w:rPr>
          <w:rFonts w:hint="eastAsia"/>
          <w:sz w:val="24"/>
          <w:szCs w:val="24"/>
        </w:rPr>
        <w:t xml:space="preserve"> 30%</w:t>
      </w:r>
      <w:r w:rsidRPr="00D444DA">
        <w:rPr>
          <w:rFonts w:hint="eastAsia"/>
          <w:sz w:val="24"/>
          <w:szCs w:val="24"/>
        </w:rPr>
        <w:t>以上的比例为</w:t>
      </w:r>
      <w:r w:rsidRPr="00D444DA">
        <w:rPr>
          <w:rFonts w:hint="eastAsia"/>
          <w:sz w:val="24"/>
          <w:szCs w:val="24"/>
        </w:rPr>
        <w:t xml:space="preserve"> 0.81%</w:t>
      </w:r>
      <w:r>
        <w:rPr>
          <w:rFonts w:hint="eastAsia"/>
          <w:sz w:val="24"/>
          <w:szCs w:val="24"/>
        </w:rPr>
        <w:t>，</w:t>
      </w:r>
      <w:r w:rsidRPr="00D444DA">
        <w:rPr>
          <w:rFonts w:hint="eastAsia"/>
          <w:sz w:val="24"/>
          <w:szCs w:val="24"/>
        </w:rPr>
        <w:t>两者环比分别上升</w:t>
      </w:r>
      <w:r w:rsidRPr="00D444DA">
        <w:rPr>
          <w:rFonts w:hint="eastAsia"/>
          <w:sz w:val="24"/>
          <w:szCs w:val="24"/>
        </w:rPr>
        <w:t xml:space="preserve"> 0.02 </w:t>
      </w:r>
      <w:r w:rsidRPr="00D444DA">
        <w:rPr>
          <w:rFonts w:hint="eastAsia"/>
          <w:sz w:val="24"/>
          <w:szCs w:val="24"/>
        </w:rPr>
        <w:t>和</w:t>
      </w:r>
      <w:r w:rsidRPr="00D444DA">
        <w:rPr>
          <w:rFonts w:hint="eastAsia"/>
          <w:sz w:val="24"/>
          <w:szCs w:val="24"/>
        </w:rPr>
        <w:t xml:space="preserve"> 0.01 </w:t>
      </w:r>
      <w:proofErr w:type="gramStart"/>
      <w:r w:rsidRPr="00D444DA">
        <w:rPr>
          <w:rFonts w:hint="eastAsia"/>
          <w:sz w:val="24"/>
          <w:szCs w:val="24"/>
        </w:rPr>
        <w:t>个</w:t>
      </w:r>
      <w:proofErr w:type="gramEnd"/>
      <w:r w:rsidRPr="00D444DA">
        <w:rPr>
          <w:rFonts w:hint="eastAsia"/>
          <w:sz w:val="24"/>
          <w:szCs w:val="24"/>
        </w:rPr>
        <w:t>百分点。</w:t>
      </w:r>
    </w:p>
    <w:p w:rsidR="00C56690" w:rsidRDefault="00C56690" w:rsidP="00C56690">
      <w:pPr>
        <w:pStyle w:val="a3"/>
        <w:spacing w:line="360" w:lineRule="auto"/>
        <w:ind w:leftChars="-270" w:left="2" w:hangingChars="237" w:hanging="569"/>
        <w:rPr>
          <w:rFonts w:hint="eastAsia"/>
          <w:sz w:val="24"/>
          <w:szCs w:val="24"/>
        </w:rPr>
      </w:pPr>
      <w:r w:rsidRPr="00C56690">
        <w:rPr>
          <w:rFonts w:hint="eastAsia"/>
          <w:sz w:val="24"/>
          <w:szCs w:val="24"/>
        </w:rPr>
        <w:t>表</w:t>
      </w:r>
      <w:r w:rsidRPr="00C56690">
        <w:rPr>
          <w:rFonts w:hint="eastAsia"/>
          <w:sz w:val="24"/>
          <w:szCs w:val="24"/>
        </w:rPr>
        <w:t xml:space="preserve"> 2-</w:t>
      </w:r>
      <w:r>
        <w:rPr>
          <w:sz w:val="24"/>
          <w:szCs w:val="24"/>
        </w:rPr>
        <w:t>2</w:t>
      </w:r>
      <w:r w:rsidRPr="00C56690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一</w:t>
      </w:r>
      <w:r w:rsidRPr="00C56690">
        <w:rPr>
          <w:rFonts w:hint="eastAsia"/>
          <w:sz w:val="24"/>
          <w:szCs w:val="24"/>
        </w:rPr>
        <w:t>季度全</w:t>
      </w:r>
      <w:r>
        <w:rPr>
          <w:rFonts w:hint="eastAsia"/>
          <w:sz w:val="24"/>
          <w:szCs w:val="24"/>
        </w:rPr>
        <w:t>市</w:t>
      </w:r>
      <w:proofErr w:type="gramStart"/>
      <w:r w:rsidRPr="00C56690">
        <w:rPr>
          <w:rFonts w:hint="eastAsia"/>
          <w:sz w:val="24"/>
          <w:szCs w:val="24"/>
        </w:rPr>
        <w:t>普道公路</w:t>
      </w:r>
      <w:r w:rsidRPr="00920D94">
        <w:rPr>
          <w:rFonts w:hint="eastAsia"/>
          <w:sz w:val="24"/>
          <w:szCs w:val="24"/>
        </w:rPr>
        <w:t>非</w:t>
      </w:r>
      <w:proofErr w:type="gramEnd"/>
      <w:r w:rsidRPr="00920D94">
        <w:rPr>
          <w:rFonts w:hint="eastAsia"/>
          <w:sz w:val="24"/>
          <w:szCs w:val="24"/>
        </w:rPr>
        <w:t>现场执法</w:t>
      </w:r>
      <w:r>
        <w:rPr>
          <w:rFonts w:hint="eastAsia"/>
          <w:sz w:val="24"/>
          <w:szCs w:val="24"/>
        </w:rPr>
        <w:t>治超站超限</w:t>
      </w:r>
      <w:r w:rsidRPr="00C56690">
        <w:rPr>
          <w:rFonts w:hint="eastAsia"/>
          <w:sz w:val="24"/>
          <w:szCs w:val="24"/>
        </w:rPr>
        <w:t>车辆比例统计表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850"/>
        <w:gridCol w:w="1701"/>
        <w:gridCol w:w="2693"/>
        <w:gridCol w:w="2631"/>
      </w:tblGrid>
      <w:tr w:rsidR="00D9052A" w:rsidTr="00132E36">
        <w:tc>
          <w:tcPr>
            <w:tcW w:w="993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季度</w:t>
            </w:r>
          </w:p>
        </w:tc>
        <w:tc>
          <w:tcPr>
            <w:tcW w:w="850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170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总体超限比例</w:t>
            </w:r>
          </w:p>
        </w:tc>
        <w:tc>
          <w:tcPr>
            <w:tcW w:w="2693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超限</w:t>
            </w:r>
            <w:r>
              <w:rPr>
                <w:rFonts w:hint="eastAsia"/>
                <w:sz w:val="24"/>
                <w:szCs w:val="24"/>
              </w:rPr>
              <w:t>30%</w:t>
            </w:r>
            <w:r>
              <w:rPr>
                <w:rFonts w:hint="eastAsia"/>
                <w:sz w:val="24"/>
                <w:szCs w:val="24"/>
              </w:rPr>
              <w:t>以内车辆比例</w:t>
            </w:r>
          </w:p>
        </w:tc>
        <w:tc>
          <w:tcPr>
            <w:tcW w:w="263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超限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以上车辆比例</w:t>
            </w:r>
          </w:p>
        </w:tc>
      </w:tr>
      <w:tr w:rsidR="00D9052A" w:rsidTr="00132E36">
        <w:tc>
          <w:tcPr>
            <w:tcW w:w="993" w:type="dxa"/>
            <w:vMerge w:val="restart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一季度</w:t>
            </w:r>
          </w:p>
        </w:tc>
        <w:tc>
          <w:tcPr>
            <w:tcW w:w="850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3.84%</w:t>
            </w:r>
          </w:p>
        </w:tc>
        <w:tc>
          <w:tcPr>
            <w:tcW w:w="2693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2.00%</w:t>
            </w:r>
          </w:p>
        </w:tc>
        <w:tc>
          <w:tcPr>
            <w:tcW w:w="263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1.84%</w:t>
            </w:r>
          </w:p>
        </w:tc>
      </w:tr>
      <w:tr w:rsidR="00D9052A" w:rsidTr="00132E36">
        <w:tc>
          <w:tcPr>
            <w:tcW w:w="993" w:type="dxa"/>
            <w:vMerge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4.13%</w:t>
            </w:r>
          </w:p>
        </w:tc>
        <w:tc>
          <w:tcPr>
            <w:tcW w:w="2693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1.98%</w:t>
            </w:r>
          </w:p>
        </w:tc>
        <w:tc>
          <w:tcPr>
            <w:tcW w:w="263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2.16%</w:t>
            </w:r>
          </w:p>
        </w:tc>
      </w:tr>
      <w:tr w:rsidR="00D9052A" w:rsidTr="00132E36">
        <w:tc>
          <w:tcPr>
            <w:tcW w:w="993" w:type="dxa"/>
            <w:vMerge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2.82%</w:t>
            </w:r>
          </w:p>
        </w:tc>
        <w:tc>
          <w:tcPr>
            <w:tcW w:w="2693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1.64%</w:t>
            </w:r>
          </w:p>
        </w:tc>
        <w:tc>
          <w:tcPr>
            <w:tcW w:w="263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1.18%</w:t>
            </w:r>
          </w:p>
        </w:tc>
      </w:tr>
      <w:tr w:rsidR="00D9052A" w:rsidTr="00132E36">
        <w:tc>
          <w:tcPr>
            <w:tcW w:w="993" w:type="dxa"/>
            <w:vMerge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701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2.09%</w:t>
            </w:r>
          </w:p>
        </w:tc>
        <w:tc>
          <w:tcPr>
            <w:tcW w:w="2693" w:type="dxa"/>
            <w:vAlign w:val="center"/>
          </w:tcPr>
          <w:p w:rsidR="00D9052A" w:rsidRDefault="00D9052A" w:rsidP="00132E3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1.28%</w:t>
            </w:r>
          </w:p>
        </w:tc>
        <w:tc>
          <w:tcPr>
            <w:tcW w:w="2631" w:type="dxa"/>
            <w:vAlign w:val="center"/>
          </w:tcPr>
          <w:p w:rsidR="00D9052A" w:rsidRDefault="00D9052A" w:rsidP="00D9052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81%</w:t>
            </w:r>
          </w:p>
        </w:tc>
      </w:tr>
    </w:tbl>
    <w:p w:rsidR="00865D4B" w:rsidRDefault="0010228A" w:rsidP="0010228A">
      <w:pPr>
        <w:pStyle w:val="a3"/>
        <w:spacing w:line="360" w:lineRule="auto"/>
        <w:ind w:left="2" w:firstLineChars="0" w:hanging="2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76575"/>
            <wp:effectExtent l="0" t="0" r="2540" b="9525"/>
            <wp:docPr id="49" name="图表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10228A" w:rsidRDefault="0010228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228A" w:rsidRDefault="0010228A" w:rsidP="00132E36">
      <w:pPr>
        <w:pStyle w:val="a3"/>
        <w:numPr>
          <w:ilvl w:val="0"/>
          <w:numId w:val="2"/>
        </w:numPr>
        <w:spacing w:line="360" w:lineRule="auto"/>
        <w:ind w:leftChars="-63" w:left="2" w:hangingChars="56" w:hanging="134"/>
        <w:outlineLvl w:val="0"/>
        <w:rPr>
          <w:sz w:val="24"/>
          <w:szCs w:val="24"/>
        </w:rPr>
      </w:pPr>
      <w:bookmarkStart w:id="9" w:name="_Toc510467207"/>
      <w:r>
        <w:rPr>
          <w:rFonts w:hint="eastAsia"/>
          <w:sz w:val="24"/>
          <w:szCs w:val="24"/>
        </w:rPr>
        <w:lastRenderedPageBreak/>
        <w:t>超限车型结构分析</w:t>
      </w:r>
      <w:bookmarkEnd w:id="9"/>
    </w:p>
    <w:p w:rsidR="0010228A" w:rsidRDefault="00BA245F" w:rsidP="00132E36">
      <w:pPr>
        <w:pStyle w:val="a3"/>
        <w:spacing w:line="360" w:lineRule="auto"/>
        <w:ind w:left="2" w:firstLineChars="0" w:firstLine="0"/>
        <w:outlineLvl w:val="1"/>
        <w:rPr>
          <w:sz w:val="24"/>
          <w:szCs w:val="24"/>
        </w:rPr>
      </w:pPr>
      <w:bookmarkStart w:id="10" w:name="_Toc510467208"/>
      <w:r>
        <w:rPr>
          <w:rFonts w:hint="eastAsia"/>
          <w:sz w:val="24"/>
          <w:szCs w:val="24"/>
        </w:rPr>
        <w:t>（一）、按</w:t>
      </w:r>
      <w:r w:rsidR="00D120E2">
        <w:rPr>
          <w:rFonts w:hint="eastAsia"/>
          <w:sz w:val="24"/>
          <w:szCs w:val="24"/>
        </w:rPr>
        <w:t>车货总重</w:t>
      </w:r>
      <w:r>
        <w:rPr>
          <w:rFonts w:hint="eastAsia"/>
          <w:sz w:val="24"/>
          <w:szCs w:val="24"/>
        </w:rPr>
        <w:t>分类</w:t>
      </w:r>
      <w:bookmarkEnd w:id="10"/>
    </w:p>
    <w:p w:rsidR="00BA245F" w:rsidRDefault="00D120E2" w:rsidP="00A55B3E">
      <w:pPr>
        <w:pStyle w:val="a3"/>
        <w:spacing w:line="360" w:lineRule="auto"/>
        <w:ind w:left="142" w:firstLine="480"/>
        <w:rPr>
          <w:sz w:val="24"/>
          <w:szCs w:val="24"/>
        </w:rPr>
      </w:pPr>
      <w:r w:rsidRPr="00D120E2">
        <w:rPr>
          <w:rFonts w:hint="eastAsia"/>
          <w:sz w:val="24"/>
          <w:szCs w:val="24"/>
        </w:rPr>
        <w:t>全</w:t>
      </w:r>
      <w:r>
        <w:rPr>
          <w:rFonts w:hint="eastAsia"/>
          <w:sz w:val="24"/>
          <w:szCs w:val="24"/>
        </w:rPr>
        <w:t>市</w:t>
      </w:r>
      <w:r w:rsidRPr="00D120E2">
        <w:rPr>
          <w:rFonts w:hint="eastAsia"/>
          <w:sz w:val="24"/>
          <w:szCs w:val="24"/>
        </w:rPr>
        <w:t>普通公路超限车中占比最高的为</w:t>
      </w:r>
      <w:r w:rsidRPr="00D120E2">
        <w:rPr>
          <w:rFonts w:hint="eastAsia"/>
          <w:sz w:val="24"/>
          <w:szCs w:val="24"/>
        </w:rPr>
        <w:t xml:space="preserve"> 55-100 </w:t>
      </w:r>
      <w:r w:rsidRPr="00D120E2">
        <w:rPr>
          <w:rFonts w:hint="eastAsia"/>
          <w:sz w:val="24"/>
          <w:szCs w:val="24"/>
        </w:rPr>
        <w:t>吨之间的货车</w:t>
      </w:r>
      <w:r>
        <w:rPr>
          <w:rFonts w:hint="eastAsia"/>
          <w:sz w:val="24"/>
          <w:szCs w:val="24"/>
        </w:rPr>
        <w:t>，</w:t>
      </w:r>
      <w:r w:rsidRPr="00D120E2">
        <w:rPr>
          <w:rFonts w:hint="eastAsia"/>
          <w:sz w:val="24"/>
          <w:szCs w:val="24"/>
        </w:rPr>
        <w:t>占比为</w:t>
      </w:r>
      <w:r w:rsidRPr="00D120E2">
        <w:rPr>
          <w:rFonts w:hint="eastAsia"/>
          <w:sz w:val="24"/>
          <w:szCs w:val="24"/>
        </w:rPr>
        <w:t xml:space="preserve"> 57.92%</w:t>
      </w:r>
      <w:r w:rsidR="006D5B15">
        <w:rPr>
          <w:rFonts w:hint="eastAsia"/>
          <w:sz w:val="24"/>
          <w:szCs w:val="24"/>
        </w:rPr>
        <w:t>：</w:t>
      </w:r>
      <w:r w:rsidRPr="00D120E2">
        <w:rPr>
          <w:rFonts w:hint="eastAsia"/>
          <w:sz w:val="24"/>
          <w:szCs w:val="24"/>
        </w:rPr>
        <w:t>其次为</w:t>
      </w:r>
      <w:r w:rsidRPr="00D120E2">
        <w:rPr>
          <w:rFonts w:hint="eastAsia"/>
          <w:sz w:val="24"/>
          <w:szCs w:val="24"/>
        </w:rPr>
        <w:t xml:space="preserve"> 20-30 </w:t>
      </w:r>
      <w:r w:rsidRPr="00D120E2">
        <w:rPr>
          <w:rFonts w:hint="eastAsia"/>
          <w:sz w:val="24"/>
          <w:szCs w:val="24"/>
        </w:rPr>
        <w:t>吨的货车</w:t>
      </w:r>
      <w:r>
        <w:rPr>
          <w:rFonts w:hint="eastAsia"/>
          <w:sz w:val="24"/>
          <w:szCs w:val="24"/>
        </w:rPr>
        <w:t>，</w:t>
      </w:r>
      <w:r w:rsidRPr="00D120E2">
        <w:rPr>
          <w:rFonts w:hint="eastAsia"/>
          <w:sz w:val="24"/>
          <w:szCs w:val="24"/>
        </w:rPr>
        <w:t>占</w:t>
      </w:r>
      <w:r w:rsidRPr="00D120E2">
        <w:rPr>
          <w:rFonts w:hint="eastAsia"/>
          <w:sz w:val="24"/>
          <w:szCs w:val="24"/>
        </w:rPr>
        <w:t xml:space="preserve"> 10.68%</w:t>
      </w:r>
      <w:r>
        <w:rPr>
          <w:rFonts w:hint="eastAsia"/>
          <w:sz w:val="24"/>
          <w:szCs w:val="24"/>
        </w:rPr>
        <w:t>；</w:t>
      </w:r>
      <w:r w:rsidRPr="00D120E2">
        <w:rPr>
          <w:rFonts w:hint="eastAsia"/>
          <w:sz w:val="24"/>
          <w:szCs w:val="24"/>
        </w:rPr>
        <w:t>其他车重区间超限车占比均在</w:t>
      </w:r>
      <w:r w:rsidRPr="00D120E2">
        <w:rPr>
          <w:rFonts w:hint="eastAsia"/>
          <w:sz w:val="24"/>
          <w:szCs w:val="24"/>
        </w:rPr>
        <w:t xml:space="preserve"> 8%</w:t>
      </w:r>
      <w:r w:rsidRPr="00D120E2">
        <w:rPr>
          <w:rFonts w:hint="eastAsia"/>
          <w:sz w:val="24"/>
          <w:szCs w:val="24"/>
        </w:rPr>
        <w:t>左右。在超限</w:t>
      </w:r>
      <w:r w:rsidRPr="00D120E2">
        <w:rPr>
          <w:rFonts w:hint="eastAsia"/>
          <w:sz w:val="24"/>
          <w:szCs w:val="24"/>
        </w:rPr>
        <w:t xml:space="preserve"> 30%</w:t>
      </w:r>
      <w:r w:rsidRPr="00D120E2">
        <w:rPr>
          <w:rFonts w:hint="eastAsia"/>
          <w:sz w:val="24"/>
          <w:szCs w:val="24"/>
        </w:rPr>
        <w:t>以上货车中</w:t>
      </w:r>
      <w:r w:rsidR="006D5B15">
        <w:rPr>
          <w:rFonts w:hint="eastAsia"/>
          <w:sz w:val="24"/>
          <w:szCs w:val="24"/>
        </w:rPr>
        <w:t>，</w:t>
      </w:r>
      <w:r w:rsidRPr="00D120E2">
        <w:rPr>
          <w:rFonts w:hint="eastAsia"/>
          <w:sz w:val="24"/>
          <w:szCs w:val="24"/>
        </w:rPr>
        <w:t xml:space="preserve">55-100 </w:t>
      </w:r>
      <w:r w:rsidRPr="00D120E2">
        <w:rPr>
          <w:rFonts w:hint="eastAsia"/>
          <w:sz w:val="24"/>
          <w:szCs w:val="24"/>
        </w:rPr>
        <w:t>吨的超跟货车占到</w:t>
      </w:r>
      <w:r w:rsidRPr="00D120E2">
        <w:rPr>
          <w:rFonts w:hint="eastAsia"/>
          <w:sz w:val="24"/>
          <w:szCs w:val="24"/>
        </w:rPr>
        <w:t xml:space="preserve"> 65</w:t>
      </w:r>
      <w:r>
        <w:rPr>
          <w:rFonts w:hint="eastAsia"/>
          <w:sz w:val="24"/>
          <w:szCs w:val="24"/>
        </w:rPr>
        <w:t>.</w:t>
      </w:r>
      <w:r w:rsidRPr="00D120E2">
        <w:rPr>
          <w:rFonts w:hint="eastAsia"/>
          <w:sz w:val="24"/>
          <w:szCs w:val="24"/>
        </w:rPr>
        <w:t>61%</w:t>
      </w:r>
      <w:r w:rsidRPr="00D120E2">
        <w:rPr>
          <w:rFonts w:hint="eastAsia"/>
          <w:sz w:val="24"/>
          <w:szCs w:val="24"/>
        </w:rPr>
        <w:t>而其在超限</w:t>
      </w:r>
      <w:r w:rsidRPr="00D120E2">
        <w:rPr>
          <w:rFonts w:hint="eastAsia"/>
          <w:sz w:val="24"/>
          <w:szCs w:val="24"/>
        </w:rPr>
        <w:t xml:space="preserve"> 30%-50%</w:t>
      </w:r>
      <w:r w:rsidRPr="00D120E2">
        <w:rPr>
          <w:rFonts w:hint="eastAsia"/>
          <w:sz w:val="24"/>
          <w:szCs w:val="24"/>
        </w:rPr>
        <w:t>和</w:t>
      </w:r>
      <w:r w:rsidRPr="00D120E2">
        <w:rPr>
          <w:rFonts w:hint="eastAsia"/>
          <w:sz w:val="24"/>
          <w:szCs w:val="24"/>
        </w:rPr>
        <w:t xml:space="preserve"> 50%-100%</w:t>
      </w:r>
      <w:r w:rsidRPr="00D120E2">
        <w:rPr>
          <w:rFonts w:hint="eastAsia"/>
          <w:sz w:val="24"/>
          <w:szCs w:val="24"/>
        </w:rPr>
        <w:t>的区间</w:t>
      </w:r>
      <w:r>
        <w:rPr>
          <w:rFonts w:hint="eastAsia"/>
          <w:sz w:val="24"/>
          <w:szCs w:val="24"/>
        </w:rPr>
        <w:t>占比</w:t>
      </w:r>
      <w:r w:rsidRPr="00D120E2">
        <w:rPr>
          <w:rFonts w:hint="eastAsia"/>
          <w:sz w:val="24"/>
          <w:szCs w:val="24"/>
        </w:rPr>
        <w:t>亦高达</w:t>
      </w:r>
      <w:r w:rsidRPr="00D120E2">
        <w:rPr>
          <w:rFonts w:hint="eastAsia"/>
          <w:sz w:val="24"/>
          <w:szCs w:val="24"/>
        </w:rPr>
        <w:t xml:space="preserve"> 77.97%</w:t>
      </w:r>
      <w:r w:rsidRPr="00D120E2">
        <w:rPr>
          <w:rFonts w:hint="eastAsia"/>
          <w:sz w:val="24"/>
          <w:szCs w:val="24"/>
        </w:rPr>
        <w:t>和</w:t>
      </w:r>
      <w:r w:rsidRPr="00D120E2">
        <w:rPr>
          <w:rFonts w:hint="eastAsia"/>
          <w:sz w:val="24"/>
          <w:szCs w:val="24"/>
        </w:rPr>
        <w:t xml:space="preserve"> 6906%</w:t>
      </w:r>
      <w:r>
        <w:rPr>
          <w:rFonts w:hint="eastAsia"/>
          <w:sz w:val="24"/>
          <w:szCs w:val="24"/>
        </w:rPr>
        <w:t>，</w:t>
      </w:r>
      <w:r w:rsidRPr="00D120E2">
        <w:rPr>
          <w:rFonts w:hint="eastAsia"/>
          <w:sz w:val="24"/>
          <w:szCs w:val="24"/>
        </w:rPr>
        <w:t>严重超限运输的车重类型更为集中。超限</w:t>
      </w:r>
      <w:r w:rsidRPr="00D120E2">
        <w:rPr>
          <w:rFonts w:hint="eastAsia"/>
          <w:sz w:val="24"/>
          <w:szCs w:val="24"/>
        </w:rPr>
        <w:t xml:space="preserve"> 100%</w:t>
      </w:r>
      <w:r w:rsidRPr="00D120E2">
        <w:rPr>
          <w:rFonts w:hint="eastAsia"/>
          <w:sz w:val="24"/>
          <w:szCs w:val="24"/>
        </w:rPr>
        <w:t>以上车辆则主要集中在</w:t>
      </w:r>
      <w:r w:rsidRPr="00D120E2">
        <w:rPr>
          <w:rFonts w:hint="eastAsia"/>
          <w:sz w:val="24"/>
          <w:szCs w:val="24"/>
        </w:rPr>
        <w:t xml:space="preserve"> 100 </w:t>
      </w:r>
      <w:r w:rsidRPr="00D120E2">
        <w:rPr>
          <w:rFonts w:hint="eastAsia"/>
          <w:sz w:val="24"/>
          <w:szCs w:val="24"/>
        </w:rPr>
        <w:t>吨以上货车类型</w:t>
      </w:r>
      <w:r w:rsidR="006D5B15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占</w:t>
      </w:r>
      <w:r w:rsidRPr="00D120E2">
        <w:rPr>
          <w:rFonts w:hint="eastAsia"/>
          <w:sz w:val="24"/>
          <w:szCs w:val="24"/>
        </w:rPr>
        <w:t>比达</w:t>
      </w:r>
      <w:r w:rsidRPr="00D120E2">
        <w:rPr>
          <w:rFonts w:hint="eastAsia"/>
          <w:sz w:val="24"/>
          <w:szCs w:val="24"/>
        </w:rPr>
        <w:t xml:space="preserve"> 72.10%</w:t>
      </w:r>
      <w:r w:rsidR="006875B4" w:rsidRPr="006875B4">
        <w:rPr>
          <w:rFonts w:hint="eastAsia"/>
          <w:sz w:val="24"/>
          <w:szCs w:val="24"/>
        </w:rPr>
        <w:t>。</w:t>
      </w:r>
    </w:p>
    <w:p w:rsidR="00D120E2" w:rsidRDefault="00D120E2" w:rsidP="00D120E2">
      <w:pPr>
        <w:pStyle w:val="a3"/>
        <w:spacing w:line="360" w:lineRule="auto"/>
        <w:ind w:leftChars="-537" w:hangingChars="470" w:hanging="1128"/>
        <w:rPr>
          <w:rFonts w:hint="eastAsia"/>
          <w:sz w:val="24"/>
          <w:szCs w:val="24"/>
        </w:rPr>
      </w:pPr>
      <w:r w:rsidRPr="00D120E2">
        <w:rPr>
          <w:rFonts w:hint="eastAsia"/>
          <w:sz w:val="24"/>
          <w:szCs w:val="24"/>
        </w:rPr>
        <w:t>表</w:t>
      </w:r>
      <w:r w:rsidRPr="00D120E2">
        <w:rPr>
          <w:rFonts w:hint="eastAsia"/>
          <w:sz w:val="24"/>
          <w:szCs w:val="24"/>
        </w:rPr>
        <w:t xml:space="preserve"> 4-1:2 </w:t>
      </w:r>
      <w:r>
        <w:rPr>
          <w:sz w:val="24"/>
          <w:szCs w:val="24"/>
        </w:rPr>
        <w:t>一</w:t>
      </w:r>
      <w:r w:rsidRPr="00D120E2">
        <w:rPr>
          <w:rFonts w:hint="eastAsia"/>
          <w:sz w:val="24"/>
          <w:szCs w:val="24"/>
        </w:rPr>
        <w:t>季度普通公路</w:t>
      </w:r>
      <w:r w:rsidR="00E87C6B">
        <w:rPr>
          <w:rFonts w:hint="eastAsia"/>
          <w:sz w:val="24"/>
          <w:szCs w:val="24"/>
        </w:rPr>
        <w:t>超限车辆按车货总重</w:t>
      </w:r>
      <w:r w:rsidRPr="00D120E2">
        <w:rPr>
          <w:rFonts w:hint="eastAsia"/>
          <w:sz w:val="24"/>
          <w:szCs w:val="24"/>
        </w:rPr>
        <w:t>分类结构统计表</w:t>
      </w:r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1276"/>
        <w:gridCol w:w="1276"/>
        <w:gridCol w:w="1842"/>
        <w:gridCol w:w="1560"/>
        <w:gridCol w:w="1842"/>
        <w:gridCol w:w="1560"/>
      </w:tblGrid>
      <w:tr w:rsidR="00C9334F" w:rsidTr="00532F31">
        <w:tc>
          <w:tcPr>
            <w:tcW w:w="1418" w:type="dxa"/>
            <w:vMerge w:val="restart"/>
            <w:vAlign w:val="center"/>
          </w:tcPr>
          <w:p w:rsidR="00C9334F" w:rsidRDefault="00C9334F" w:rsidP="00532F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车型</w:t>
            </w:r>
          </w:p>
        </w:tc>
        <w:tc>
          <w:tcPr>
            <w:tcW w:w="1276" w:type="dxa"/>
            <w:vMerge w:val="restart"/>
            <w:vAlign w:val="center"/>
          </w:tcPr>
          <w:p w:rsidR="00C9334F" w:rsidRDefault="00C9334F" w:rsidP="00532F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超限车辆总体结构</w:t>
            </w:r>
          </w:p>
        </w:tc>
        <w:tc>
          <w:tcPr>
            <w:tcW w:w="1276" w:type="dxa"/>
            <w:vMerge w:val="restart"/>
            <w:vAlign w:val="center"/>
          </w:tcPr>
          <w:p w:rsidR="00C9334F" w:rsidRDefault="00C9334F" w:rsidP="00532F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30%</w:t>
            </w:r>
            <w:r>
              <w:rPr>
                <w:rFonts w:hint="eastAsia"/>
                <w:sz w:val="24"/>
                <w:szCs w:val="24"/>
              </w:rPr>
              <w:t>以内车型结构</w:t>
            </w:r>
          </w:p>
        </w:tc>
        <w:tc>
          <w:tcPr>
            <w:tcW w:w="6804" w:type="dxa"/>
            <w:gridSpan w:val="4"/>
            <w:vAlign w:val="center"/>
          </w:tcPr>
          <w:p w:rsidR="00C9334F" w:rsidRDefault="00C9334F" w:rsidP="00532F3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30%</w:t>
            </w:r>
            <w:r>
              <w:rPr>
                <w:rFonts w:hint="eastAsia"/>
                <w:sz w:val="24"/>
                <w:szCs w:val="24"/>
              </w:rPr>
              <w:t>以上车型结构</w:t>
            </w:r>
          </w:p>
        </w:tc>
      </w:tr>
      <w:tr w:rsidR="00C9334F" w:rsidTr="00C9334F">
        <w:tc>
          <w:tcPr>
            <w:tcW w:w="1418" w:type="dxa"/>
            <w:vMerge/>
            <w:vAlign w:val="center"/>
          </w:tcPr>
          <w:p w:rsidR="00C9334F" w:rsidRDefault="00C9334F" w:rsidP="00C9334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9334F" w:rsidRPr="00214A31" w:rsidRDefault="00C9334F" w:rsidP="00C9334F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C9334F" w:rsidRPr="003E1FFB" w:rsidRDefault="00C9334F" w:rsidP="00C9334F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334F" w:rsidRDefault="00C9334F" w:rsidP="00C9334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30%</w:t>
            </w:r>
            <w:r>
              <w:rPr>
                <w:rFonts w:hint="eastAsia"/>
                <w:sz w:val="24"/>
                <w:szCs w:val="24"/>
              </w:rPr>
              <w:t>以上小计</w:t>
            </w:r>
          </w:p>
        </w:tc>
        <w:tc>
          <w:tcPr>
            <w:tcW w:w="1560" w:type="dxa"/>
            <w:vAlign w:val="center"/>
          </w:tcPr>
          <w:p w:rsidR="00C9334F" w:rsidRDefault="00C9334F" w:rsidP="00C9334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-50%</w:t>
            </w:r>
          </w:p>
        </w:tc>
        <w:tc>
          <w:tcPr>
            <w:tcW w:w="1842" w:type="dxa"/>
            <w:vAlign w:val="center"/>
          </w:tcPr>
          <w:p w:rsidR="00C9334F" w:rsidRDefault="00C9334F" w:rsidP="00C9334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50%-100%</w:t>
            </w:r>
          </w:p>
        </w:tc>
        <w:tc>
          <w:tcPr>
            <w:tcW w:w="1560" w:type="dxa"/>
            <w:vAlign w:val="center"/>
          </w:tcPr>
          <w:p w:rsidR="00C9334F" w:rsidRDefault="00C9334F" w:rsidP="00C9334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20-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吨</w:t>
            </w:r>
          </w:p>
        </w:tc>
        <w:tc>
          <w:tcPr>
            <w:tcW w:w="1276" w:type="dxa"/>
            <w:vAlign w:val="center"/>
          </w:tcPr>
          <w:p w:rsidR="00B46D90" w:rsidRPr="00AB78DE" w:rsidRDefault="00B46D90" w:rsidP="00B46D90">
            <w:pPr>
              <w:jc w:val="center"/>
            </w:pPr>
            <w:r w:rsidRPr="00AB78DE">
              <w:t>10.68%</w:t>
            </w:r>
          </w:p>
        </w:tc>
        <w:tc>
          <w:tcPr>
            <w:tcW w:w="1276" w:type="dxa"/>
            <w:vAlign w:val="center"/>
          </w:tcPr>
          <w:p w:rsidR="00B46D90" w:rsidRPr="00676DCC" w:rsidRDefault="00B46D90" w:rsidP="00B46D90">
            <w:pPr>
              <w:jc w:val="center"/>
            </w:pPr>
            <w:r w:rsidRPr="00676DCC">
              <w:t>14.10%</w:t>
            </w:r>
          </w:p>
        </w:tc>
        <w:tc>
          <w:tcPr>
            <w:tcW w:w="1842" w:type="dxa"/>
            <w:vAlign w:val="center"/>
          </w:tcPr>
          <w:p w:rsidR="00B46D90" w:rsidRPr="002E4038" w:rsidRDefault="00B46D90" w:rsidP="00B46D90">
            <w:pPr>
              <w:jc w:val="center"/>
            </w:pPr>
            <w:r w:rsidRPr="002E4038">
              <w:t>2</w:t>
            </w:r>
            <w:r>
              <w:t>.</w:t>
            </w:r>
            <w:r w:rsidRPr="002E4038">
              <w:t>49%</w:t>
            </w:r>
          </w:p>
        </w:tc>
        <w:tc>
          <w:tcPr>
            <w:tcW w:w="1560" w:type="dxa"/>
            <w:vAlign w:val="center"/>
          </w:tcPr>
          <w:p w:rsidR="00B46D90" w:rsidRPr="00297081" w:rsidRDefault="00B46D90" w:rsidP="00B46D90">
            <w:pPr>
              <w:jc w:val="center"/>
            </w:pPr>
            <w:r w:rsidRPr="00297081">
              <w:t>6.08%</w:t>
            </w:r>
          </w:p>
        </w:tc>
        <w:tc>
          <w:tcPr>
            <w:tcW w:w="1842" w:type="dxa"/>
            <w:vAlign w:val="center"/>
          </w:tcPr>
          <w:p w:rsidR="00B46D90" w:rsidRPr="00513857" w:rsidRDefault="00B46D90" w:rsidP="00B46D90">
            <w:pPr>
              <w:jc w:val="center"/>
            </w:pPr>
            <w:r w:rsidRPr="00513857">
              <w:t>0.00%</w:t>
            </w:r>
          </w:p>
        </w:tc>
        <w:tc>
          <w:tcPr>
            <w:tcW w:w="1560" w:type="dxa"/>
            <w:vAlign w:val="center"/>
          </w:tcPr>
          <w:p w:rsidR="00B46D90" w:rsidRPr="00007193" w:rsidRDefault="00B46D90" w:rsidP="00B46D90">
            <w:pPr>
              <w:jc w:val="center"/>
            </w:pPr>
            <w:r w:rsidRPr="00007193">
              <w:t>0.04%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30-</w:t>
            </w:r>
            <w:r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吨</w:t>
            </w:r>
          </w:p>
        </w:tc>
        <w:tc>
          <w:tcPr>
            <w:tcW w:w="1276" w:type="dxa"/>
            <w:vAlign w:val="center"/>
          </w:tcPr>
          <w:p w:rsidR="00B46D90" w:rsidRPr="00AB78DE" w:rsidRDefault="00B46D90" w:rsidP="00B46D90">
            <w:pPr>
              <w:jc w:val="center"/>
            </w:pPr>
            <w:r w:rsidRPr="00AB78DE">
              <w:t>8</w:t>
            </w:r>
            <w:r>
              <w:t>.</w:t>
            </w:r>
            <w:r w:rsidRPr="00AB78DE">
              <w:t>61%</w:t>
            </w:r>
          </w:p>
        </w:tc>
        <w:tc>
          <w:tcPr>
            <w:tcW w:w="1276" w:type="dxa"/>
            <w:vAlign w:val="center"/>
          </w:tcPr>
          <w:p w:rsidR="00B46D90" w:rsidRPr="00676DCC" w:rsidRDefault="00B46D90" w:rsidP="00B46D90">
            <w:pPr>
              <w:jc w:val="center"/>
            </w:pPr>
            <w:r w:rsidRPr="00676DCC">
              <w:t>1.10%</w:t>
            </w:r>
          </w:p>
        </w:tc>
        <w:tc>
          <w:tcPr>
            <w:tcW w:w="1842" w:type="dxa"/>
            <w:vAlign w:val="center"/>
          </w:tcPr>
          <w:p w:rsidR="00B46D90" w:rsidRPr="002E4038" w:rsidRDefault="00B46D90" w:rsidP="00B46D90">
            <w:pPr>
              <w:jc w:val="center"/>
            </w:pPr>
            <w:r w:rsidRPr="002E4038">
              <w:t>2.65</w:t>
            </w:r>
            <w:r>
              <w:t>%</w:t>
            </w:r>
          </w:p>
        </w:tc>
        <w:tc>
          <w:tcPr>
            <w:tcW w:w="1560" w:type="dxa"/>
            <w:vAlign w:val="center"/>
          </w:tcPr>
          <w:p w:rsidR="00B46D90" w:rsidRPr="00297081" w:rsidRDefault="00B46D90" w:rsidP="00B46D90">
            <w:pPr>
              <w:jc w:val="center"/>
            </w:pPr>
            <w:r w:rsidRPr="00297081">
              <w:t>2.54%</w:t>
            </w:r>
          </w:p>
        </w:tc>
        <w:tc>
          <w:tcPr>
            <w:tcW w:w="1842" w:type="dxa"/>
            <w:vAlign w:val="center"/>
          </w:tcPr>
          <w:p w:rsidR="00B46D90" w:rsidRPr="00513857" w:rsidRDefault="00B46D90" w:rsidP="00B46D90">
            <w:pPr>
              <w:jc w:val="center"/>
            </w:pPr>
            <w:r w:rsidRPr="00513857">
              <w:t>3.75%</w:t>
            </w:r>
          </w:p>
        </w:tc>
        <w:tc>
          <w:tcPr>
            <w:tcW w:w="1560" w:type="dxa"/>
            <w:vAlign w:val="center"/>
          </w:tcPr>
          <w:p w:rsidR="00B46D90" w:rsidRPr="00007193" w:rsidRDefault="00B46D90" w:rsidP="00B46D90">
            <w:pPr>
              <w:jc w:val="center"/>
            </w:pPr>
            <w:r w:rsidRPr="00007193">
              <w:t>0.00%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40-</w:t>
            </w:r>
            <w:r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吨</w:t>
            </w:r>
          </w:p>
        </w:tc>
        <w:tc>
          <w:tcPr>
            <w:tcW w:w="1276" w:type="dxa"/>
            <w:vAlign w:val="center"/>
          </w:tcPr>
          <w:p w:rsidR="00B46D90" w:rsidRPr="00AB78DE" w:rsidRDefault="00B46D90" w:rsidP="00B46D90">
            <w:pPr>
              <w:jc w:val="center"/>
            </w:pPr>
            <w:r w:rsidRPr="00AB78DE">
              <w:t>8.11%</w:t>
            </w:r>
          </w:p>
        </w:tc>
        <w:tc>
          <w:tcPr>
            <w:tcW w:w="1276" w:type="dxa"/>
            <w:vAlign w:val="center"/>
          </w:tcPr>
          <w:p w:rsidR="00B46D90" w:rsidRPr="00676DCC" w:rsidRDefault="00B46D90" w:rsidP="00B46D90">
            <w:pPr>
              <w:jc w:val="center"/>
            </w:pPr>
            <w:r w:rsidRPr="00676DCC">
              <w:t>9.67</w:t>
            </w:r>
            <w:r>
              <w:t>%</w:t>
            </w:r>
          </w:p>
        </w:tc>
        <w:tc>
          <w:tcPr>
            <w:tcW w:w="1842" w:type="dxa"/>
            <w:vAlign w:val="center"/>
          </w:tcPr>
          <w:p w:rsidR="00B46D90" w:rsidRPr="002E4038" w:rsidRDefault="00B46D90" w:rsidP="00B46D90">
            <w:pPr>
              <w:jc w:val="center"/>
            </w:pPr>
            <w:r w:rsidRPr="002E4038">
              <w:t>4.39%</w:t>
            </w:r>
          </w:p>
        </w:tc>
        <w:tc>
          <w:tcPr>
            <w:tcW w:w="1560" w:type="dxa"/>
            <w:vAlign w:val="center"/>
          </w:tcPr>
          <w:p w:rsidR="00B46D90" w:rsidRPr="00297081" w:rsidRDefault="00B46D90" w:rsidP="00B46D90">
            <w:pPr>
              <w:jc w:val="center"/>
            </w:pPr>
            <w:r w:rsidRPr="00297081">
              <w:t>9</w:t>
            </w:r>
            <w:r>
              <w:t>.</w:t>
            </w:r>
            <w:r w:rsidRPr="00297081">
              <w:t>84</w:t>
            </w:r>
            <w:r>
              <w:t>%</w:t>
            </w:r>
          </w:p>
        </w:tc>
        <w:tc>
          <w:tcPr>
            <w:tcW w:w="1842" w:type="dxa"/>
            <w:vAlign w:val="center"/>
          </w:tcPr>
          <w:p w:rsidR="00B46D90" w:rsidRPr="00513857" w:rsidRDefault="00B46D90" w:rsidP="00B46D90">
            <w:pPr>
              <w:jc w:val="center"/>
            </w:pPr>
            <w:r w:rsidRPr="00513857">
              <w:t>0.41</w:t>
            </w:r>
            <w:r>
              <w:t>%</w:t>
            </w:r>
          </w:p>
        </w:tc>
        <w:tc>
          <w:tcPr>
            <w:tcW w:w="1560" w:type="dxa"/>
            <w:vAlign w:val="center"/>
          </w:tcPr>
          <w:p w:rsidR="00B46D90" w:rsidRPr="00007193" w:rsidRDefault="00B46D90" w:rsidP="00B46D90">
            <w:pPr>
              <w:jc w:val="center"/>
            </w:pPr>
            <w:r w:rsidRPr="00007193">
              <w:t>1.26%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46-</w:t>
            </w:r>
            <w:r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吨</w:t>
            </w:r>
          </w:p>
        </w:tc>
        <w:tc>
          <w:tcPr>
            <w:tcW w:w="1276" w:type="dxa"/>
            <w:vAlign w:val="center"/>
          </w:tcPr>
          <w:p w:rsidR="00B46D90" w:rsidRPr="00AB78DE" w:rsidRDefault="00B46D90" w:rsidP="00B46D90">
            <w:pPr>
              <w:jc w:val="center"/>
            </w:pPr>
            <w:r w:rsidRPr="00AB78DE">
              <w:t>8</w:t>
            </w:r>
            <w:r>
              <w:t>.</w:t>
            </w:r>
            <w:r w:rsidRPr="00AB78DE">
              <w:t>67</w:t>
            </w:r>
            <w:r>
              <w:t>%</w:t>
            </w:r>
          </w:p>
        </w:tc>
        <w:tc>
          <w:tcPr>
            <w:tcW w:w="1276" w:type="dxa"/>
            <w:vAlign w:val="center"/>
          </w:tcPr>
          <w:p w:rsidR="00B46D90" w:rsidRPr="00676DCC" w:rsidRDefault="00B46D90" w:rsidP="00B46D90">
            <w:pPr>
              <w:jc w:val="center"/>
            </w:pPr>
            <w:r w:rsidRPr="00676DCC">
              <w:t>10.39%</w:t>
            </w:r>
          </w:p>
        </w:tc>
        <w:tc>
          <w:tcPr>
            <w:tcW w:w="1842" w:type="dxa"/>
            <w:vAlign w:val="center"/>
          </w:tcPr>
          <w:p w:rsidR="00B46D90" w:rsidRPr="002E4038" w:rsidRDefault="00B46D90" w:rsidP="00B46D90">
            <w:pPr>
              <w:jc w:val="center"/>
            </w:pPr>
            <w:r w:rsidRPr="002E4038">
              <w:t>4.54</w:t>
            </w:r>
            <w:r>
              <w:t>%</w:t>
            </w:r>
          </w:p>
        </w:tc>
        <w:tc>
          <w:tcPr>
            <w:tcW w:w="1560" w:type="dxa"/>
            <w:vAlign w:val="center"/>
          </w:tcPr>
          <w:p w:rsidR="00B46D90" w:rsidRPr="00297081" w:rsidRDefault="00B46D90" w:rsidP="00B46D90">
            <w:pPr>
              <w:jc w:val="center"/>
            </w:pPr>
            <w:r w:rsidRPr="00297081">
              <w:t>3.53%</w:t>
            </w:r>
          </w:p>
        </w:tc>
        <w:tc>
          <w:tcPr>
            <w:tcW w:w="1842" w:type="dxa"/>
            <w:vAlign w:val="center"/>
          </w:tcPr>
          <w:p w:rsidR="00B46D90" w:rsidRPr="00513857" w:rsidRDefault="00B46D90" w:rsidP="00B46D90">
            <w:pPr>
              <w:jc w:val="center"/>
            </w:pPr>
            <w:r w:rsidRPr="00513857">
              <w:t>6</w:t>
            </w:r>
            <w:r>
              <w:t>.</w:t>
            </w:r>
            <w:r w:rsidRPr="00513857">
              <w:t>67%</w:t>
            </w:r>
          </w:p>
        </w:tc>
        <w:tc>
          <w:tcPr>
            <w:tcW w:w="1560" w:type="dxa"/>
            <w:vAlign w:val="center"/>
          </w:tcPr>
          <w:p w:rsidR="00B46D90" w:rsidRPr="00007193" w:rsidRDefault="00B46D90" w:rsidP="00B46D90">
            <w:pPr>
              <w:jc w:val="center"/>
            </w:pPr>
            <w:r w:rsidRPr="00007193">
              <w:t>1</w:t>
            </w:r>
            <w:r>
              <w:t>.</w:t>
            </w:r>
            <w:r w:rsidRPr="00007193">
              <w:t>38%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55-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吨</w:t>
            </w:r>
          </w:p>
        </w:tc>
        <w:tc>
          <w:tcPr>
            <w:tcW w:w="1276" w:type="dxa"/>
            <w:vAlign w:val="center"/>
          </w:tcPr>
          <w:p w:rsidR="00B46D90" w:rsidRPr="00AB78DE" w:rsidRDefault="00B46D90" w:rsidP="00B46D90">
            <w:pPr>
              <w:jc w:val="center"/>
            </w:pPr>
            <w:r w:rsidRPr="00AB78DE">
              <w:t>57</w:t>
            </w:r>
            <w:r>
              <w:t>.</w:t>
            </w:r>
            <w:r w:rsidRPr="00AB78DE">
              <w:t>92</w:t>
            </w:r>
            <w:r>
              <w:t>%</w:t>
            </w:r>
          </w:p>
        </w:tc>
        <w:tc>
          <w:tcPr>
            <w:tcW w:w="1276" w:type="dxa"/>
            <w:vAlign w:val="center"/>
          </w:tcPr>
          <w:p w:rsidR="00B46D90" w:rsidRPr="00676DCC" w:rsidRDefault="00B46D90" w:rsidP="00B46D90">
            <w:pPr>
              <w:jc w:val="center"/>
            </w:pPr>
            <w:r w:rsidRPr="00676DCC">
              <w:t>54.71</w:t>
            </w:r>
            <w:r>
              <w:t>%</w:t>
            </w:r>
          </w:p>
        </w:tc>
        <w:tc>
          <w:tcPr>
            <w:tcW w:w="1842" w:type="dxa"/>
            <w:vAlign w:val="center"/>
          </w:tcPr>
          <w:p w:rsidR="00B46D90" w:rsidRPr="002E4038" w:rsidRDefault="00B46D90" w:rsidP="00B46D90">
            <w:pPr>
              <w:jc w:val="center"/>
            </w:pPr>
            <w:r w:rsidRPr="002E4038">
              <w:t>65.61</w:t>
            </w:r>
            <w:r>
              <w:t>%</w:t>
            </w:r>
          </w:p>
        </w:tc>
        <w:tc>
          <w:tcPr>
            <w:tcW w:w="1560" w:type="dxa"/>
            <w:vAlign w:val="center"/>
          </w:tcPr>
          <w:p w:rsidR="00B46D90" w:rsidRPr="00297081" w:rsidRDefault="00B46D90" w:rsidP="00B46D90">
            <w:pPr>
              <w:jc w:val="center"/>
            </w:pPr>
            <w:r w:rsidRPr="00297081">
              <w:t>77</w:t>
            </w:r>
            <w:r>
              <w:t>.</w:t>
            </w:r>
            <w:r w:rsidRPr="00297081">
              <w:t>97</w:t>
            </w:r>
            <w:r>
              <w:t>%</w:t>
            </w:r>
          </w:p>
        </w:tc>
        <w:tc>
          <w:tcPr>
            <w:tcW w:w="1842" w:type="dxa"/>
            <w:vAlign w:val="center"/>
          </w:tcPr>
          <w:p w:rsidR="00B46D90" w:rsidRPr="00513857" w:rsidRDefault="00B46D90" w:rsidP="00B46D90">
            <w:pPr>
              <w:jc w:val="center"/>
            </w:pPr>
            <w:r w:rsidRPr="00513857">
              <w:t>69</w:t>
            </w:r>
            <w:r>
              <w:t>.</w:t>
            </w:r>
            <w:r w:rsidRPr="00513857">
              <w:t>06%</w:t>
            </w:r>
          </w:p>
        </w:tc>
        <w:tc>
          <w:tcPr>
            <w:tcW w:w="1560" w:type="dxa"/>
            <w:vAlign w:val="center"/>
          </w:tcPr>
          <w:p w:rsidR="00B46D90" w:rsidRPr="00007193" w:rsidRDefault="00B46D90" w:rsidP="00B46D90">
            <w:pPr>
              <w:jc w:val="center"/>
            </w:pPr>
            <w:r w:rsidRPr="00007193">
              <w:t>25.22%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吨以上</w:t>
            </w:r>
          </w:p>
        </w:tc>
        <w:tc>
          <w:tcPr>
            <w:tcW w:w="1276" w:type="dxa"/>
            <w:vAlign w:val="center"/>
          </w:tcPr>
          <w:p w:rsidR="00B46D90" w:rsidRPr="00AB78DE" w:rsidRDefault="00B46D90" w:rsidP="00B46D90">
            <w:pPr>
              <w:jc w:val="center"/>
            </w:pPr>
            <w:r w:rsidRPr="00AB78DE">
              <w:t>6</w:t>
            </w:r>
            <w:r>
              <w:t>.</w:t>
            </w:r>
            <w:r w:rsidRPr="00AB78DE">
              <w:t>01%</w:t>
            </w:r>
          </w:p>
        </w:tc>
        <w:tc>
          <w:tcPr>
            <w:tcW w:w="1276" w:type="dxa"/>
            <w:vAlign w:val="center"/>
          </w:tcPr>
          <w:p w:rsidR="00B46D90" w:rsidRPr="00676DCC" w:rsidRDefault="00B46D90" w:rsidP="00B46D90">
            <w:pPr>
              <w:jc w:val="center"/>
            </w:pPr>
            <w:r w:rsidRPr="00676DCC">
              <w:t>0.04</w:t>
            </w:r>
            <w:r>
              <w:t>%</w:t>
            </w:r>
          </w:p>
        </w:tc>
        <w:tc>
          <w:tcPr>
            <w:tcW w:w="1842" w:type="dxa"/>
            <w:vAlign w:val="center"/>
          </w:tcPr>
          <w:p w:rsidR="00B46D90" w:rsidRPr="002E4038" w:rsidRDefault="00B46D90" w:rsidP="00B46D90">
            <w:pPr>
              <w:jc w:val="center"/>
            </w:pPr>
            <w:r w:rsidRPr="002E4038">
              <w:t>20.32</w:t>
            </w:r>
            <w:r>
              <w:t>%</w:t>
            </w:r>
          </w:p>
        </w:tc>
        <w:tc>
          <w:tcPr>
            <w:tcW w:w="1560" w:type="dxa"/>
            <w:vAlign w:val="center"/>
          </w:tcPr>
          <w:p w:rsidR="00B46D90" w:rsidRPr="00297081" w:rsidRDefault="00B46D90" w:rsidP="00B46D90">
            <w:pPr>
              <w:jc w:val="center"/>
            </w:pPr>
            <w:r w:rsidRPr="00297081">
              <w:t>0.04%</w:t>
            </w:r>
          </w:p>
        </w:tc>
        <w:tc>
          <w:tcPr>
            <w:tcW w:w="1842" w:type="dxa"/>
            <w:vAlign w:val="center"/>
          </w:tcPr>
          <w:p w:rsidR="00B46D90" w:rsidRPr="00513857" w:rsidRDefault="00B46D90" w:rsidP="00B46D90">
            <w:pPr>
              <w:jc w:val="center"/>
            </w:pPr>
            <w:r w:rsidRPr="00513857">
              <w:t>20.11%</w:t>
            </w:r>
          </w:p>
        </w:tc>
        <w:tc>
          <w:tcPr>
            <w:tcW w:w="1560" w:type="dxa"/>
            <w:vAlign w:val="center"/>
          </w:tcPr>
          <w:p w:rsidR="00B46D90" w:rsidRPr="00007193" w:rsidRDefault="00B46D90" w:rsidP="00B46D90">
            <w:pPr>
              <w:jc w:val="center"/>
            </w:pPr>
            <w:r w:rsidRPr="00007193">
              <w:t>72</w:t>
            </w:r>
            <w:r>
              <w:t>.</w:t>
            </w:r>
            <w:r w:rsidRPr="00007193">
              <w:t>10</w:t>
            </w:r>
            <w:r>
              <w:t>%</w:t>
            </w:r>
          </w:p>
        </w:tc>
      </w:tr>
      <w:tr w:rsidR="00B46D90" w:rsidTr="00B46D90">
        <w:tc>
          <w:tcPr>
            <w:tcW w:w="1418" w:type="dxa"/>
            <w:vAlign w:val="center"/>
          </w:tcPr>
          <w:p w:rsidR="00B46D90" w:rsidRDefault="00B46D90" w:rsidP="00B46D9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  <w:vAlign w:val="center"/>
          </w:tcPr>
          <w:p w:rsidR="00B46D90" w:rsidRDefault="00B46D90" w:rsidP="00B46D90">
            <w:pPr>
              <w:jc w:val="center"/>
            </w:pPr>
            <w:r w:rsidRPr="00AB78DE">
              <w:t>100</w:t>
            </w:r>
            <w:r w:rsidR="006D5B15">
              <w:t>，</w:t>
            </w:r>
            <w:r w:rsidRPr="00AB78DE">
              <w:t>00</w:t>
            </w:r>
            <w:r>
              <w:t>%</w:t>
            </w:r>
          </w:p>
        </w:tc>
        <w:tc>
          <w:tcPr>
            <w:tcW w:w="1276" w:type="dxa"/>
            <w:vAlign w:val="center"/>
          </w:tcPr>
          <w:p w:rsidR="00B46D90" w:rsidRDefault="00B46D90" w:rsidP="00B46D90">
            <w:pPr>
              <w:jc w:val="center"/>
            </w:pPr>
            <w:r w:rsidRPr="00676DCC">
              <w:t>100</w:t>
            </w:r>
            <w:r>
              <w:t>.</w:t>
            </w:r>
            <w:r w:rsidRPr="00676DCC">
              <w:t>00%</w:t>
            </w:r>
          </w:p>
        </w:tc>
        <w:tc>
          <w:tcPr>
            <w:tcW w:w="1842" w:type="dxa"/>
            <w:vAlign w:val="center"/>
          </w:tcPr>
          <w:p w:rsidR="00B46D90" w:rsidRDefault="00B46D90" w:rsidP="00B46D90">
            <w:pPr>
              <w:jc w:val="center"/>
            </w:pPr>
            <w:r w:rsidRPr="002E4038">
              <w:t>100.00</w:t>
            </w:r>
            <w:r>
              <w:t>%</w:t>
            </w:r>
          </w:p>
        </w:tc>
        <w:tc>
          <w:tcPr>
            <w:tcW w:w="1560" w:type="dxa"/>
            <w:vAlign w:val="center"/>
          </w:tcPr>
          <w:p w:rsidR="00B46D90" w:rsidRDefault="00B46D90" w:rsidP="00B46D90">
            <w:pPr>
              <w:jc w:val="center"/>
            </w:pPr>
            <w:r w:rsidRPr="00297081">
              <w:t>100.00%</w:t>
            </w:r>
          </w:p>
        </w:tc>
        <w:tc>
          <w:tcPr>
            <w:tcW w:w="1842" w:type="dxa"/>
            <w:vAlign w:val="center"/>
          </w:tcPr>
          <w:p w:rsidR="00B46D90" w:rsidRDefault="00B46D90" w:rsidP="00B46D90">
            <w:pPr>
              <w:jc w:val="center"/>
            </w:pPr>
            <w:r w:rsidRPr="00513857">
              <w:t>100</w:t>
            </w:r>
            <w:r>
              <w:t>.</w:t>
            </w:r>
            <w:r w:rsidRPr="00513857">
              <w:t>00%</w:t>
            </w:r>
          </w:p>
        </w:tc>
        <w:tc>
          <w:tcPr>
            <w:tcW w:w="1560" w:type="dxa"/>
            <w:vAlign w:val="center"/>
          </w:tcPr>
          <w:p w:rsidR="00B46D90" w:rsidRDefault="00B46D90" w:rsidP="00B46D90">
            <w:pPr>
              <w:jc w:val="center"/>
            </w:pPr>
            <w:r w:rsidRPr="00007193">
              <w:t>100.00%</w:t>
            </w:r>
          </w:p>
        </w:tc>
      </w:tr>
    </w:tbl>
    <w:p w:rsidR="00E87C6B" w:rsidRDefault="00E87C6B" w:rsidP="006875B4">
      <w:pPr>
        <w:pStyle w:val="a3"/>
        <w:spacing w:line="360" w:lineRule="auto"/>
        <w:ind w:left="561" w:firstLine="480"/>
        <w:rPr>
          <w:sz w:val="24"/>
          <w:szCs w:val="24"/>
        </w:rPr>
      </w:pPr>
    </w:p>
    <w:p w:rsidR="00E87C6B" w:rsidRDefault="00E87C6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7C6B" w:rsidRDefault="00E87C6B" w:rsidP="00132E36">
      <w:pPr>
        <w:pStyle w:val="a3"/>
        <w:numPr>
          <w:ilvl w:val="0"/>
          <w:numId w:val="2"/>
        </w:numPr>
        <w:spacing w:line="360" w:lineRule="auto"/>
        <w:ind w:leftChars="-63" w:left="2" w:hangingChars="56" w:hanging="134"/>
        <w:outlineLvl w:val="0"/>
        <w:rPr>
          <w:sz w:val="24"/>
          <w:szCs w:val="24"/>
        </w:rPr>
      </w:pPr>
      <w:bookmarkStart w:id="11" w:name="_Toc510467209"/>
      <w:r>
        <w:rPr>
          <w:rFonts w:hint="eastAsia"/>
          <w:sz w:val="24"/>
          <w:szCs w:val="24"/>
        </w:rPr>
        <w:lastRenderedPageBreak/>
        <w:t>超限车辆车籍分析</w:t>
      </w:r>
      <w:bookmarkEnd w:id="11"/>
    </w:p>
    <w:p w:rsidR="006875B4" w:rsidRDefault="00643DEC" w:rsidP="00132E36">
      <w:pPr>
        <w:pStyle w:val="a3"/>
        <w:spacing w:line="360" w:lineRule="auto"/>
        <w:ind w:left="2" w:firstLineChars="0" w:firstLine="0"/>
        <w:outlineLvl w:val="1"/>
        <w:rPr>
          <w:sz w:val="24"/>
          <w:szCs w:val="24"/>
        </w:rPr>
      </w:pPr>
      <w:bookmarkStart w:id="12" w:name="_Toc510467210"/>
      <w:r>
        <w:rPr>
          <w:rFonts w:hint="eastAsia"/>
          <w:sz w:val="24"/>
          <w:szCs w:val="24"/>
        </w:rPr>
        <w:t>（一）、货车车籍结构</w:t>
      </w:r>
      <w:bookmarkEnd w:id="12"/>
    </w:p>
    <w:p w:rsidR="00531B0D" w:rsidRPr="00531B0D" w:rsidRDefault="00531B0D" w:rsidP="00531B0D">
      <w:pPr>
        <w:pStyle w:val="a3"/>
        <w:spacing w:line="360" w:lineRule="auto"/>
        <w:ind w:left="2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 w:rsidRPr="00531B0D">
        <w:rPr>
          <w:rFonts w:hint="eastAsia"/>
          <w:sz w:val="24"/>
          <w:szCs w:val="24"/>
        </w:rPr>
        <w:t>季度</w:t>
      </w:r>
      <w:r w:rsidR="006D5B15">
        <w:rPr>
          <w:rFonts w:hint="eastAsia"/>
          <w:sz w:val="24"/>
          <w:szCs w:val="24"/>
        </w:rPr>
        <w:t>，</w:t>
      </w:r>
      <w:r w:rsidRPr="00531B0D">
        <w:rPr>
          <w:rFonts w:hint="eastAsia"/>
          <w:sz w:val="24"/>
          <w:szCs w:val="24"/>
        </w:rPr>
        <w:t>全</w:t>
      </w:r>
      <w:r>
        <w:rPr>
          <w:rFonts w:hint="eastAsia"/>
          <w:sz w:val="24"/>
          <w:szCs w:val="24"/>
        </w:rPr>
        <w:t>市</w:t>
      </w:r>
      <w:r w:rsidRPr="00531B0D">
        <w:rPr>
          <w:rFonts w:hint="eastAsia"/>
          <w:sz w:val="24"/>
          <w:szCs w:val="24"/>
        </w:rPr>
        <w:t>普通公路通行车辆的车籍识别率为</w:t>
      </w:r>
      <w:r w:rsidRPr="00531B0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95</w:t>
      </w:r>
      <w:r w:rsidRPr="00531B0D">
        <w:rPr>
          <w:rFonts w:hint="eastAsia"/>
          <w:sz w:val="24"/>
          <w:szCs w:val="24"/>
        </w:rPr>
        <w:t>.58%</w:t>
      </w:r>
      <w:r w:rsidRPr="00531B0D">
        <w:rPr>
          <w:rFonts w:hint="eastAsia"/>
          <w:sz w:val="24"/>
          <w:szCs w:val="24"/>
        </w:rPr>
        <w:t>。在可识别车辆中</w:t>
      </w:r>
      <w:r>
        <w:rPr>
          <w:rFonts w:hint="eastAsia"/>
          <w:sz w:val="24"/>
          <w:szCs w:val="24"/>
        </w:rPr>
        <w:t>，</w:t>
      </w:r>
      <w:r w:rsidRPr="00531B0D">
        <w:rPr>
          <w:rFonts w:hint="eastAsia"/>
          <w:sz w:val="24"/>
          <w:szCs w:val="24"/>
        </w:rPr>
        <w:t>本省车辆占</w:t>
      </w:r>
      <w:r w:rsidRPr="00531B0D">
        <w:rPr>
          <w:rFonts w:hint="eastAsia"/>
          <w:sz w:val="24"/>
          <w:szCs w:val="24"/>
        </w:rPr>
        <w:t xml:space="preserve"> </w:t>
      </w:r>
      <w:r w:rsidR="001A4CEF" w:rsidRPr="001A4CEF">
        <w:rPr>
          <w:sz w:val="24"/>
          <w:szCs w:val="24"/>
        </w:rPr>
        <w:t>86.51%</w:t>
      </w:r>
      <w:r>
        <w:rPr>
          <w:rFonts w:hint="eastAsia"/>
          <w:sz w:val="24"/>
          <w:szCs w:val="24"/>
        </w:rPr>
        <w:t>，</w:t>
      </w:r>
      <w:r w:rsidRPr="00531B0D">
        <w:rPr>
          <w:rFonts w:hint="eastAsia"/>
          <w:sz w:val="24"/>
          <w:szCs w:val="24"/>
        </w:rPr>
        <w:t>外省车辆占</w:t>
      </w:r>
      <w:r w:rsidR="001A4CEF" w:rsidRPr="001A4CEF">
        <w:rPr>
          <w:sz w:val="24"/>
          <w:szCs w:val="24"/>
        </w:rPr>
        <w:t>13.49%</w:t>
      </w:r>
      <w:r>
        <w:rPr>
          <w:rFonts w:hint="eastAsia"/>
          <w:sz w:val="24"/>
          <w:szCs w:val="24"/>
        </w:rPr>
        <w:t>，</w:t>
      </w:r>
      <w:r w:rsidRPr="00531B0D">
        <w:rPr>
          <w:rFonts w:hint="eastAsia"/>
          <w:sz w:val="24"/>
          <w:szCs w:val="24"/>
        </w:rPr>
        <w:t>外省车辆中以</w:t>
      </w:r>
      <w:r w:rsidR="001A4CEF" w:rsidRPr="001A4CEF">
        <w:rPr>
          <w:rFonts w:hint="eastAsia"/>
          <w:sz w:val="24"/>
          <w:szCs w:val="24"/>
        </w:rPr>
        <w:t>陕西</w:t>
      </w:r>
      <w:r w:rsidRPr="00531B0D">
        <w:rPr>
          <w:rFonts w:hint="eastAsia"/>
          <w:sz w:val="24"/>
          <w:szCs w:val="24"/>
        </w:rPr>
        <w:t>及</w:t>
      </w:r>
      <w:r w:rsidR="001A4CEF" w:rsidRPr="001A4CEF">
        <w:rPr>
          <w:rFonts w:hint="eastAsia"/>
          <w:sz w:val="24"/>
          <w:szCs w:val="24"/>
        </w:rPr>
        <w:t>广东</w:t>
      </w:r>
      <w:r w:rsidRPr="00531B0D">
        <w:rPr>
          <w:rFonts w:hint="eastAsia"/>
          <w:sz w:val="24"/>
          <w:szCs w:val="24"/>
        </w:rPr>
        <w:t>车籍车辆最多</w:t>
      </w:r>
      <w:r>
        <w:rPr>
          <w:rFonts w:hint="eastAsia"/>
          <w:sz w:val="24"/>
          <w:szCs w:val="24"/>
        </w:rPr>
        <w:t>，</w:t>
      </w:r>
      <w:r w:rsidRPr="00531B0D">
        <w:rPr>
          <w:rFonts w:hint="eastAsia"/>
          <w:sz w:val="24"/>
          <w:szCs w:val="24"/>
        </w:rPr>
        <w:t>占</w:t>
      </w:r>
      <w:r w:rsidRPr="00531B0D">
        <w:rPr>
          <w:rFonts w:hint="eastAsia"/>
          <w:sz w:val="24"/>
          <w:szCs w:val="24"/>
        </w:rPr>
        <w:t xml:space="preserve"> </w:t>
      </w:r>
      <w:r w:rsidR="001A4CEF" w:rsidRPr="001A4CEF">
        <w:rPr>
          <w:sz w:val="24"/>
          <w:szCs w:val="24"/>
        </w:rPr>
        <w:t>54.28</w:t>
      </w:r>
      <w:r w:rsidRPr="00531B0D">
        <w:rPr>
          <w:rFonts w:hint="eastAsia"/>
          <w:sz w:val="24"/>
          <w:szCs w:val="24"/>
        </w:rPr>
        <w:t>%</w:t>
      </w:r>
      <w:r w:rsidRPr="00531B0D">
        <w:rPr>
          <w:rFonts w:hint="eastAsia"/>
          <w:sz w:val="24"/>
          <w:szCs w:val="24"/>
        </w:rPr>
        <w:t>。其他依次为</w:t>
      </w:r>
      <w:r w:rsidR="001A4CEF">
        <w:rPr>
          <w:rFonts w:hint="eastAsia"/>
          <w:sz w:val="24"/>
          <w:szCs w:val="24"/>
        </w:rPr>
        <w:t>山东、江西、四川</w:t>
      </w:r>
      <w:r w:rsidRPr="00531B0D">
        <w:rPr>
          <w:rFonts w:hint="eastAsia"/>
          <w:sz w:val="24"/>
          <w:szCs w:val="24"/>
        </w:rPr>
        <w:t>。</w:t>
      </w:r>
    </w:p>
    <w:p w:rsidR="00643DEC" w:rsidRPr="00D120E2" w:rsidRDefault="00531B0D" w:rsidP="00531B0D">
      <w:pPr>
        <w:pStyle w:val="a3"/>
        <w:spacing w:line="360" w:lineRule="auto"/>
        <w:ind w:left="2" w:firstLineChars="0" w:firstLine="0"/>
        <w:rPr>
          <w:rFonts w:hint="eastAsia"/>
          <w:sz w:val="24"/>
          <w:szCs w:val="24"/>
        </w:rPr>
      </w:pPr>
      <w:r w:rsidRPr="00531B0D">
        <w:rPr>
          <w:rFonts w:hint="eastAsia"/>
          <w:sz w:val="24"/>
          <w:szCs w:val="24"/>
        </w:rPr>
        <w:t>表</w:t>
      </w:r>
      <w:r w:rsidRPr="00531B0D">
        <w:rPr>
          <w:rFonts w:hint="eastAsia"/>
          <w:sz w:val="24"/>
          <w:szCs w:val="24"/>
        </w:rPr>
        <w:t xml:space="preserve"> </w:t>
      </w:r>
      <w:r w:rsidR="00F63226">
        <w:rPr>
          <w:sz w:val="24"/>
          <w:szCs w:val="24"/>
        </w:rPr>
        <w:t>4</w:t>
      </w:r>
      <w:r w:rsidRPr="00531B0D">
        <w:rPr>
          <w:rFonts w:hint="eastAsia"/>
          <w:sz w:val="24"/>
          <w:szCs w:val="24"/>
        </w:rPr>
        <w:t xml:space="preserve">-1:2 </w:t>
      </w:r>
      <w:r w:rsidR="00F63226">
        <w:rPr>
          <w:rFonts w:hint="eastAsia"/>
          <w:sz w:val="24"/>
          <w:szCs w:val="24"/>
        </w:rPr>
        <w:t>一</w:t>
      </w:r>
      <w:r w:rsidRPr="00531B0D">
        <w:rPr>
          <w:rFonts w:hint="eastAsia"/>
          <w:sz w:val="24"/>
          <w:szCs w:val="24"/>
        </w:rPr>
        <w:t>季度全</w:t>
      </w:r>
      <w:r w:rsidR="00F63226">
        <w:rPr>
          <w:rFonts w:hint="eastAsia"/>
          <w:sz w:val="24"/>
          <w:szCs w:val="24"/>
        </w:rPr>
        <w:t>市</w:t>
      </w:r>
      <w:r w:rsidRPr="00531B0D">
        <w:rPr>
          <w:rFonts w:hint="eastAsia"/>
          <w:sz w:val="24"/>
          <w:szCs w:val="24"/>
        </w:rPr>
        <w:t>普通公路可识别车籍车辆统计表</w:t>
      </w:r>
    </w:p>
    <w:tbl>
      <w:tblPr>
        <w:tblStyle w:val="a4"/>
        <w:tblW w:w="0" w:type="auto"/>
        <w:tblInd w:w="2" w:type="dxa"/>
        <w:tblLook w:val="04A0" w:firstRow="1" w:lastRow="0" w:firstColumn="1" w:lastColumn="0" w:noHBand="0" w:noVBand="1"/>
      </w:tblPr>
      <w:tblGrid>
        <w:gridCol w:w="986"/>
        <w:gridCol w:w="2566"/>
        <w:gridCol w:w="2559"/>
        <w:gridCol w:w="2183"/>
      </w:tblGrid>
      <w:tr w:rsidR="00F63226" w:rsidTr="00F63226">
        <w:tc>
          <w:tcPr>
            <w:tcW w:w="986" w:type="dxa"/>
            <w:vAlign w:val="center"/>
          </w:tcPr>
          <w:p w:rsidR="00F63226" w:rsidRDefault="00F63226" w:rsidP="00F6322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66" w:type="dxa"/>
            <w:vAlign w:val="center"/>
          </w:tcPr>
          <w:p w:rsidR="00F63226" w:rsidRDefault="00F63226" w:rsidP="00F6322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车籍</w:t>
            </w:r>
          </w:p>
        </w:tc>
        <w:tc>
          <w:tcPr>
            <w:tcW w:w="2559" w:type="dxa"/>
            <w:vAlign w:val="center"/>
          </w:tcPr>
          <w:p w:rsidR="00F63226" w:rsidRDefault="00F63226" w:rsidP="00F6322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</w:t>
            </w:r>
          </w:p>
        </w:tc>
        <w:tc>
          <w:tcPr>
            <w:tcW w:w="2183" w:type="dxa"/>
            <w:vAlign w:val="center"/>
          </w:tcPr>
          <w:p w:rsidR="00F63226" w:rsidRDefault="00F63226" w:rsidP="00F6322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比例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株洲市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227000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35.65%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湘潭市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78000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12.25%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长沙市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37000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5.81%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岳阳市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105000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16.49%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常德市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67800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10.65%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怀化市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52900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8.31%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娄底市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69000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10.84%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域内小计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636700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86.51%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陕西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30800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31.02%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四川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13000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13.09%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江西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15300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15.41%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山东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17100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17.22%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广东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23100</w:t>
            </w:r>
          </w:p>
        </w:tc>
        <w:tc>
          <w:tcPr>
            <w:tcW w:w="2183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23.26%</w:t>
            </w:r>
          </w:p>
        </w:tc>
      </w:tr>
      <w:tr w:rsidR="00591019" w:rsidTr="00591019">
        <w:tc>
          <w:tcPr>
            <w:tcW w:w="98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566" w:type="dxa"/>
            <w:vAlign w:val="center"/>
          </w:tcPr>
          <w:p w:rsidR="00591019" w:rsidRDefault="00591019" w:rsidP="00591019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域外小计</w:t>
            </w:r>
          </w:p>
        </w:tc>
        <w:tc>
          <w:tcPr>
            <w:tcW w:w="2559" w:type="dxa"/>
            <w:vAlign w:val="center"/>
          </w:tcPr>
          <w:p w:rsidR="00591019" w:rsidRPr="00B7019B" w:rsidRDefault="00591019" w:rsidP="00591019">
            <w:pPr>
              <w:jc w:val="center"/>
            </w:pPr>
            <w:r w:rsidRPr="00B7019B">
              <w:t>99300</w:t>
            </w:r>
          </w:p>
        </w:tc>
        <w:tc>
          <w:tcPr>
            <w:tcW w:w="2183" w:type="dxa"/>
            <w:vAlign w:val="center"/>
          </w:tcPr>
          <w:p w:rsidR="00591019" w:rsidRDefault="00591019" w:rsidP="00591019">
            <w:pPr>
              <w:jc w:val="center"/>
            </w:pPr>
            <w:r w:rsidRPr="00B7019B">
              <w:t>13.49%</w:t>
            </w:r>
          </w:p>
        </w:tc>
      </w:tr>
    </w:tbl>
    <w:p w:rsidR="00920D94" w:rsidRDefault="002C4603" w:rsidP="00132E36">
      <w:pPr>
        <w:pStyle w:val="a3"/>
        <w:spacing w:line="360" w:lineRule="auto"/>
        <w:ind w:left="2" w:firstLineChars="0" w:firstLine="0"/>
        <w:outlineLvl w:val="1"/>
        <w:rPr>
          <w:sz w:val="24"/>
          <w:szCs w:val="24"/>
        </w:rPr>
      </w:pPr>
      <w:bookmarkStart w:id="13" w:name="_Toc510467211"/>
      <w:r>
        <w:rPr>
          <w:rFonts w:hint="eastAsia"/>
          <w:sz w:val="24"/>
          <w:szCs w:val="24"/>
        </w:rPr>
        <w:t>（二）、超限车籍结构</w:t>
      </w:r>
      <w:bookmarkEnd w:id="13"/>
    </w:p>
    <w:p w:rsidR="002C4603" w:rsidRPr="00F22310" w:rsidRDefault="006D5B15" w:rsidP="006D5B15">
      <w:pPr>
        <w:pStyle w:val="a3"/>
        <w:spacing w:line="360" w:lineRule="auto"/>
        <w:ind w:left="2" w:firstLine="480"/>
        <w:rPr>
          <w:rFonts w:hint="eastAsia"/>
          <w:sz w:val="24"/>
          <w:szCs w:val="24"/>
        </w:rPr>
      </w:pPr>
      <w:r w:rsidRPr="006D5B15">
        <w:rPr>
          <w:rFonts w:hint="eastAsia"/>
          <w:sz w:val="24"/>
          <w:szCs w:val="24"/>
        </w:rPr>
        <w:t>在可识别车籍的超限车辆中</w:t>
      </w:r>
      <w:r>
        <w:rPr>
          <w:rFonts w:hint="eastAsia"/>
          <w:sz w:val="24"/>
          <w:szCs w:val="24"/>
        </w:rPr>
        <w:t>，一</w:t>
      </w:r>
      <w:r w:rsidRPr="006D5B15">
        <w:rPr>
          <w:rFonts w:hint="eastAsia"/>
          <w:sz w:val="24"/>
          <w:szCs w:val="24"/>
        </w:rPr>
        <w:t>季度本</w:t>
      </w:r>
      <w:r>
        <w:rPr>
          <w:rFonts w:hint="eastAsia"/>
          <w:sz w:val="24"/>
          <w:szCs w:val="24"/>
        </w:rPr>
        <w:t>市</w:t>
      </w:r>
      <w:r w:rsidRPr="006D5B15">
        <w:rPr>
          <w:rFonts w:hint="eastAsia"/>
          <w:sz w:val="24"/>
          <w:szCs w:val="24"/>
        </w:rPr>
        <w:t>籍超限车辆占比为</w:t>
      </w:r>
      <w:r w:rsidRPr="006D5B15">
        <w:rPr>
          <w:sz w:val="24"/>
          <w:szCs w:val="24"/>
        </w:rPr>
        <w:t>86.51%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高于外省籍货车</w:t>
      </w:r>
      <w:r w:rsidRPr="006D5B15">
        <w:rPr>
          <w:sz w:val="24"/>
          <w:szCs w:val="24"/>
        </w:rPr>
        <w:t>73.02</w:t>
      </w:r>
      <w:r>
        <w:rPr>
          <w:rFonts w:hint="eastAsia"/>
          <w:sz w:val="24"/>
          <w:szCs w:val="24"/>
        </w:rPr>
        <w:t>个百分点。本市</w:t>
      </w:r>
      <w:r w:rsidRPr="006D5B15">
        <w:rPr>
          <w:rFonts w:hint="eastAsia"/>
          <w:sz w:val="24"/>
          <w:szCs w:val="24"/>
        </w:rPr>
        <w:t>车辆</w:t>
      </w:r>
      <w:proofErr w:type="gramStart"/>
      <w:r w:rsidRPr="006D5B15">
        <w:rPr>
          <w:rFonts w:hint="eastAsia"/>
          <w:sz w:val="24"/>
          <w:szCs w:val="24"/>
        </w:rPr>
        <w:t>占比较</w:t>
      </w:r>
      <w:proofErr w:type="gramEnd"/>
      <w:r w:rsidRPr="006D5B15"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为</w:t>
      </w:r>
      <w:r w:rsidRPr="006D5B15">
        <w:rPr>
          <w:sz w:val="24"/>
          <w:szCs w:val="24"/>
        </w:rPr>
        <w:t>35.65%</w:t>
      </w:r>
      <w:r>
        <w:rPr>
          <w:rFonts w:hint="eastAsia"/>
          <w:sz w:val="24"/>
          <w:szCs w:val="24"/>
        </w:rPr>
        <w:t>：</w:t>
      </w:r>
      <w:r w:rsidRPr="006D5B15">
        <w:rPr>
          <w:rFonts w:hint="eastAsia"/>
          <w:sz w:val="24"/>
          <w:szCs w:val="24"/>
        </w:rPr>
        <w:t>外省籍中以</w:t>
      </w:r>
      <w:r>
        <w:rPr>
          <w:rFonts w:hint="eastAsia"/>
          <w:sz w:val="24"/>
          <w:szCs w:val="24"/>
        </w:rPr>
        <w:t>陕西</w:t>
      </w:r>
      <w:r w:rsidRPr="006D5B1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广东</w:t>
      </w:r>
      <w:r w:rsidRPr="006D5B15">
        <w:rPr>
          <w:rFonts w:hint="eastAsia"/>
          <w:sz w:val="24"/>
          <w:szCs w:val="24"/>
        </w:rPr>
        <w:t>地区超限车辆为主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占比分别为</w:t>
      </w:r>
      <w:r w:rsidRPr="006D5B15">
        <w:rPr>
          <w:rFonts w:hint="eastAsia"/>
          <w:sz w:val="24"/>
          <w:szCs w:val="24"/>
        </w:rPr>
        <w:t xml:space="preserve"> </w:t>
      </w:r>
      <w:r w:rsidRPr="006D5B15">
        <w:rPr>
          <w:sz w:val="24"/>
          <w:szCs w:val="24"/>
        </w:rPr>
        <w:t>31.02%</w:t>
      </w:r>
      <w:r w:rsidRPr="006D5B15">
        <w:rPr>
          <w:rFonts w:hint="eastAsia"/>
          <w:sz w:val="24"/>
          <w:szCs w:val="24"/>
        </w:rPr>
        <w:t>和</w:t>
      </w:r>
      <w:r w:rsidRPr="006D5B15">
        <w:rPr>
          <w:sz w:val="24"/>
          <w:szCs w:val="24"/>
        </w:rPr>
        <w:t>23.26%</w:t>
      </w:r>
      <w:r>
        <w:rPr>
          <w:rFonts w:hint="eastAsia"/>
          <w:sz w:val="24"/>
          <w:szCs w:val="24"/>
        </w:rPr>
        <w:t>。超限</w:t>
      </w:r>
      <w:r w:rsidRPr="006D5B15">
        <w:rPr>
          <w:rFonts w:hint="eastAsia"/>
          <w:sz w:val="24"/>
          <w:szCs w:val="24"/>
        </w:rPr>
        <w:t>30%</w:t>
      </w:r>
      <w:r w:rsidRPr="006D5B15">
        <w:rPr>
          <w:rFonts w:hint="eastAsia"/>
          <w:sz w:val="24"/>
          <w:szCs w:val="24"/>
        </w:rPr>
        <w:t>以上的车辆中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本省籍比重占比进一步增加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高达</w:t>
      </w:r>
      <w:r w:rsidRPr="006D5B15">
        <w:rPr>
          <w:rFonts w:hint="eastAsia"/>
          <w:sz w:val="24"/>
          <w:szCs w:val="24"/>
        </w:rPr>
        <w:t>62.72%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其中超限</w:t>
      </w:r>
      <w:r w:rsidRPr="006D5B15">
        <w:rPr>
          <w:rFonts w:hint="eastAsia"/>
          <w:sz w:val="24"/>
          <w:szCs w:val="24"/>
        </w:rPr>
        <w:t>30%</w:t>
      </w:r>
      <w:r w:rsidRPr="006D5B15">
        <w:rPr>
          <w:rFonts w:hint="eastAsia"/>
          <w:sz w:val="24"/>
          <w:szCs w:val="24"/>
        </w:rPr>
        <w:t>至</w:t>
      </w:r>
      <w:r w:rsidRPr="006D5B15">
        <w:rPr>
          <w:rFonts w:hint="eastAsia"/>
          <w:sz w:val="24"/>
          <w:szCs w:val="24"/>
        </w:rPr>
        <w:t>100%</w:t>
      </w:r>
      <w:r w:rsidRPr="006D5B15">
        <w:rPr>
          <w:rFonts w:hint="eastAsia"/>
          <w:sz w:val="24"/>
          <w:szCs w:val="24"/>
        </w:rPr>
        <w:t>车辆中</w:t>
      </w:r>
      <w:r w:rsidR="00E07703" w:rsidRPr="00E07703">
        <w:rPr>
          <w:rFonts w:hint="eastAsia"/>
          <w:sz w:val="24"/>
          <w:szCs w:val="24"/>
        </w:rPr>
        <w:t>陕西籍</w:t>
      </w:r>
      <w:r w:rsidRPr="006D5B15">
        <w:rPr>
          <w:rFonts w:hint="eastAsia"/>
          <w:sz w:val="24"/>
          <w:szCs w:val="24"/>
        </w:rPr>
        <w:t>占比居全</w:t>
      </w:r>
      <w:r w:rsidR="00E07703">
        <w:rPr>
          <w:rFonts w:hint="eastAsia"/>
          <w:sz w:val="24"/>
          <w:szCs w:val="24"/>
        </w:rPr>
        <w:t>市</w:t>
      </w:r>
      <w:r w:rsidRPr="006D5B15">
        <w:rPr>
          <w:rFonts w:hint="eastAsia"/>
          <w:sz w:val="24"/>
          <w:szCs w:val="24"/>
        </w:rPr>
        <w:t>之首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而超限</w:t>
      </w:r>
      <w:r w:rsidRPr="006D5B15">
        <w:rPr>
          <w:rFonts w:hint="eastAsia"/>
          <w:sz w:val="24"/>
          <w:szCs w:val="24"/>
        </w:rPr>
        <w:t>100%</w:t>
      </w:r>
      <w:r w:rsidRPr="006D5B15">
        <w:rPr>
          <w:rFonts w:hint="eastAsia"/>
          <w:sz w:val="24"/>
          <w:szCs w:val="24"/>
        </w:rPr>
        <w:t>以上车辆中</w:t>
      </w:r>
      <w:r w:rsidR="00297572" w:rsidRPr="00297572">
        <w:rPr>
          <w:rFonts w:hint="eastAsia"/>
          <w:sz w:val="24"/>
          <w:szCs w:val="24"/>
        </w:rPr>
        <w:t>株洲</w:t>
      </w:r>
      <w:proofErr w:type="gramStart"/>
      <w:r w:rsidR="00297572" w:rsidRPr="00297572">
        <w:rPr>
          <w:rFonts w:hint="eastAsia"/>
          <w:sz w:val="24"/>
          <w:szCs w:val="24"/>
        </w:rPr>
        <w:t>籍</w:t>
      </w:r>
      <w:r w:rsidRPr="006D5B15">
        <w:rPr>
          <w:rFonts w:hint="eastAsia"/>
          <w:sz w:val="24"/>
          <w:szCs w:val="24"/>
        </w:rPr>
        <w:t>车辆</w:t>
      </w:r>
      <w:proofErr w:type="gramEnd"/>
      <w:r w:rsidRPr="006D5B15">
        <w:rPr>
          <w:rFonts w:hint="eastAsia"/>
          <w:sz w:val="24"/>
          <w:szCs w:val="24"/>
        </w:rPr>
        <w:t>较上季度増长明显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并超过</w:t>
      </w:r>
      <w:r w:rsidR="00297572" w:rsidRPr="00297572">
        <w:rPr>
          <w:rFonts w:hint="eastAsia"/>
          <w:sz w:val="24"/>
          <w:szCs w:val="24"/>
        </w:rPr>
        <w:t>岳阳</w:t>
      </w:r>
      <w:proofErr w:type="gramStart"/>
      <w:r w:rsidR="00297572" w:rsidRPr="00297572">
        <w:rPr>
          <w:rFonts w:hint="eastAsia"/>
          <w:sz w:val="24"/>
          <w:szCs w:val="24"/>
        </w:rPr>
        <w:t>籍</w:t>
      </w:r>
      <w:r w:rsidRPr="006D5B15">
        <w:rPr>
          <w:rFonts w:hint="eastAsia"/>
          <w:sz w:val="24"/>
          <w:szCs w:val="24"/>
        </w:rPr>
        <w:t>车辆</w:t>
      </w:r>
      <w:proofErr w:type="gramEnd"/>
      <w:r w:rsidRPr="006D5B15">
        <w:rPr>
          <w:rFonts w:hint="eastAsia"/>
          <w:sz w:val="24"/>
          <w:szCs w:val="24"/>
        </w:rPr>
        <w:t>上升至全</w:t>
      </w:r>
      <w:r w:rsidR="00E07703">
        <w:rPr>
          <w:rFonts w:hint="eastAsia"/>
          <w:sz w:val="24"/>
          <w:szCs w:val="24"/>
        </w:rPr>
        <w:t>市</w:t>
      </w:r>
      <w:r w:rsidRPr="006D5B15">
        <w:rPr>
          <w:rFonts w:hint="eastAsia"/>
          <w:sz w:val="24"/>
          <w:szCs w:val="24"/>
        </w:rPr>
        <w:t>第—占比达</w:t>
      </w:r>
      <w:r w:rsidRPr="006D5B15">
        <w:rPr>
          <w:rFonts w:hint="eastAsia"/>
          <w:sz w:val="24"/>
          <w:szCs w:val="24"/>
        </w:rPr>
        <w:t xml:space="preserve"> </w:t>
      </w:r>
      <w:r w:rsidR="00E07703" w:rsidRPr="00E07703">
        <w:rPr>
          <w:sz w:val="24"/>
          <w:szCs w:val="24"/>
        </w:rPr>
        <w:t>3.22%</w:t>
      </w:r>
      <w:r w:rsidR="00E07703">
        <w:rPr>
          <w:rFonts w:hint="eastAsia"/>
          <w:sz w:val="24"/>
          <w:szCs w:val="24"/>
        </w:rPr>
        <w:t>。</w:t>
      </w:r>
      <w:r w:rsidRPr="006D5B15">
        <w:rPr>
          <w:rFonts w:hint="eastAsia"/>
          <w:sz w:val="24"/>
          <w:szCs w:val="24"/>
        </w:rPr>
        <w:t>因此</w:t>
      </w:r>
      <w:r>
        <w:rPr>
          <w:rFonts w:hint="eastAsia"/>
          <w:sz w:val="24"/>
          <w:szCs w:val="24"/>
        </w:rPr>
        <w:t>：</w:t>
      </w:r>
      <w:r w:rsidRPr="006D5B15">
        <w:rPr>
          <w:rFonts w:hint="eastAsia"/>
          <w:sz w:val="24"/>
          <w:szCs w:val="24"/>
        </w:rPr>
        <w:t>应当加强本</w:t>
      </w:r>
      <w:r w:rsidR="008E0391">
        <w:rPr>
          <w:rFonts w:hint="eastAsia"/>
          <w:sz w:val="24"/>
          <w:szCs w:val="24"/>
        </w:rPr>
        <w:t>市</w:t>
      </w:r>
      <w:r w:rsidRPr="006D5B15">
        <w:rPr>
          <w:rFonts w:hint="eastAsia"/>
          <w:sz w:val="24"/>
          <w:szCs w:val="24"/>
        </w:rPr>
        <w:t>严重超限车辆治理</w:t>
      </w:r>
      <w:r>
        <w:rPr>
          <w:rFonts w:hint="eastAsia"/>
          <w:sz w:val="24"/>
          <w:szCs w:val="24"/>
        </w:rPr>
        <w:t>，</w:t>
      </w:r>
      <w:r w:rsidRPr="006D5B15">
        <w:rPr>
          <w:rFonts w:hint="eastAsia"/>
          <w:sz w:val="24"/>
          <w:szCs w:val="24"/>
        </w:rPr>
        <w:t>才能有效遏制严重超限运输车辆</w:t>
      </w:r>
      <w:r>
        <w:rPr>
          <w:rFonts w:hint="eastAsia"/>
          <w:sz w:val="24"/>
          <w:szCs w:val="24"/>
        </w:rPr>
        <w:t>。</w:t>
      </w:r>
    </w:p>
    <w:p w:rsidR="00E07703" w:rsidRDefault="00E07703" w:rsidP="00E07703">
      <w:pPr>
        <w:pStyle w:val="a3"/>
        <w:spacing w:line="360" w:lineRule="auto"/>
        <w:ind w:leftChars="-338" w:hangingChars="296" w:hanging="710"/>
      </w:pPr>
      <w:r w:rsidRPr="00531B0D">
        <w:rPr>
          <w:rFonts w:hint="eastAsia"/>
          <w:sz w:val="24"/>
          <w:szCs w:val="24"/>
        </w:rPr>
        <w:lastRenderedPageBreak/>
        <w:t>表</w:t>
      </w:r>
      <w:r w:rsidRPr="00531B0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31B0D">
        <w:rPr>
          <w:rFonts w:hint="eastAsia"/>
          <w:sz w:val="24"/>
          <w:szCs w:val="24"/>
        </w:rPr>
        <w:t xml:space="preserve">-1:2 </w:t>
      </w:r>
      <w:r>
        <w:rPr>
          <w:rFonts w:hint="eastAsia"/>
          <w:sz w:val="24"/>
          <w:szCs w:val="24"/>
        </w:rPr>
        <w:t>一</w:t>
      </w:r>
      <w:r w:rsidRPr="00531B0D">
        <w:rPr>
          <w:rFonts w:hint="eastAsia"/>
          <w:sz w:val="24"/>
          <w:szCs w:val="24"/>
        </w:rPr>
        <w:t>季度全</w:t>
      </w:r>
      <w:r>
        <w:rPr>
          <w:rFonts w:hint="eastAsia"/>
          <w:sz w:val="24"/>
          <w:szCs w:val="24"/>
        </w:rPr>
        <w:t>市</w:t>
      </w:r>
      <w:r w:rsidRPr="00531B0D">
        <w:rPr>
          <w:rFonts w:hint="eastAsia"/>
          <w:sz w:val="24"/>
          <w:szCs w:val="24"/>
        </w:rPr>
        <w:t>普通公路可识别车籍车辆统计表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"D:\\QQ File\\252524857\\FileRecv\\</w:instrText>
      </w:r>
      <w:r>
        <w:rPr>
          <w:rFonts w:hint="eastAsia"/>
        </w:rPr>
        <w:instrText>株洲市治超站</w:instrText>
      </w:r>
      <w:r>
        <w:rPr>
          <w:rFonts w:hint="eastAsia"/>
        </w:rPr>
        <w:instrText>.xlsx" "Sheet2!R22C3:R37C9" \a \f 4 \h</w:instrText>
      </w:r>
      <w:r>
        <w:instrText xml:space="preserve">  \* MERGEFORMAT </w:instrText>
      </w:r>
      <w:r>
        <w:fldChar w:fldCharType="separate"/>
      </w:r>
    </w:p>
    <w:tbl>
      <w:tblPr>
        <w:tblW w:w="10242" w:type="dxa"/>
        <w:tblInd w:w="-856" w:type="dxa"/>
        <w:tblLook w:val="04A0" w:firstRow="1" w:lastRow="0" w:firstColumn="1" w:lastColumn="0" w:noHBand="0" w:noVBand="1"/>
      </w:tblPr>
      <w:tblGrid>
        <w:gridCol w:w="1135"/>
        <w:gridCol w:w="1984"/>
        <w:gridCol w:w="1985"/>
        <w:gridCol w:w="1701"/>
        <w:gridCol w:w="1134"/>
        <w:gridCol w:w="1134"/>
        <w:gridCol w:w="1169"/>
      </w:tblGrid>
      <w:tr w:rsidR="00E07703" w:rsidRPr="00E07703" w:rsidTr="00E07703">
        <w:trPr>
          <w:divId w:val="27030867"/>
          <w:trHeight w:val="28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车籍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超限车车</w:t>
            </w:r>
            <w:proofErr w:type="gramStart"/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籍结构</w:t>
            </w:r>
            <w:proofErr w:type="gram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30%以内车籍结构</w:t>
            </w:r>
          </w:p>
        </w:tc>
        <w:tc>
          <w:tcPr>
            <w:tcW w:w="51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30%以上车</w:t>
            </w:r>
            <w:proofErr w:type="gramStart"/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籍结构</w:t>
            </w:r>
            <w:proofErr w:type="gramEnd"/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30%以上小计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30%-50%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50%-100%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100%以上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株洲籍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35.65%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8.80%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湘潭藉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12.25%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长沙籍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5.81%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岳阳籍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16.49%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6.54%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常德籍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10.65%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2.86%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怀化籍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8.31%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1.84%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娄底籍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10.84%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本省小计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86.51%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24.11%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25.95%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4.76%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陕西籍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31.02%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9.80%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13.09%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1.44%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15.41%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8.90%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17.22%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23.26%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10.26%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6.45%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0.32%</w:t>
            </w:r>
          </w:p>
        </w:tc>
      </w:tr>
      <w:tr w:rsidR="00E07703" w:rsidRPr="00E07703" w:rsidTr="00E07703">
        <w:trPr>
          <w:divId w:val="27030867"/>
          <w:trHeight w:val="28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外省小计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E0770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13.49%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44.07%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22.20%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703" w:rsidRPr="00E07703" w:rsidRDefault="00E07703" w:rsidP="00E0770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77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7.58%</w:t>
            </w:r>
          </w:p>
        </w:tc>
      </w:tr>
    </w:tbl>
    <w:p w:rsidR="00E07703" w:rsidRPr="00C12E35" w:rsidRDefault="00E07703" w:rsidP="00F22310">
      <w:pPr>
        <w:pStyle w:val="a3"/>
        <w:spacing w:line="360" w:lineRule="auto"/>
        <w:ind w:left="2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3A1C4A" w:rsidRPr="00267E12" w:rsidRDefault="003A1C4A" w:rsidP="003A1C4A">
      <w:pPr>
        <w:pStyle w:val="a3"/>
        <w:spacing w:line="360" w:lineRule="auto"/>
        <w:ind w:left="420" w:firstLine="480"/>
        <w:rPr>
          <w:rFonts w:hint="eastAsia"/>
          <w:sz w:val="24"/>
          <w:szCs w:val="24"/>
        </w:rPr>
      </w:pPr>
    </w:p>
    <w:sectPr w:rsidR="003A1C4A" w:rsidRPr="00267E12" w:rsidSect="00466C29">
      <w:headerReference w:type="default" r:id="rId57"/>
      <w:footerReference w:type="default" r:id="rId5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D99" w:rsidRDefault="00311D99" w:rsidP="00466C29">
      <w:r>
        <w:separator/>
      </w:r>
    </w:p>
  </w:endnote>
  <w:endnote w:type="continuationSeparator" w:id="0">
    <w:p w:rsidR="00311D99" w:rsidRDefault="00311D99" w:rsidP="0046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4665055"/>
      <w:docPartObj>
        <w:docPartGallery w:val="Page Numbers (Bottom of Page)"/>
        <w:docPartUnique/>
      </w:docPartObj>
    </w:sdtPr>
    <w:sdtContent>
      <w:p w:rsidR="00466C29" w:rsidRDefault="00466C2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66C29">
          <w:rPr>
            <w:noProof/>
            <w:lang w:val="zh-CN"/>
          </w:rPr>
          <w:t>1</w:t>
        </w:r>
        <w:r>
          <w:fldChar w:fldCharType="end"/>
        </w:r>
      </w:p>
    </w:sdtContent>
  </w:sdt>
  <w:p w:rsidR="00466C29" w:rsidRDefault="00466C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D99" w:rsidRDefault="00311D99" w:rsidP="00466C29">
      <w:r>
        <w:separator/>
      </w:r>
    </w:p>
  </w:footnote>
  <w:footnote w:type="continuationSeparator" w:id="0">
    <w:p w:rsidR="00311D99" w:rsidRDefault="00311D99" w:rsidP="00466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29" w:rsidRDefault="00466C2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3388"/>
    <w:multiLevelType w:val="hybridMultilevel"/>
    <w:tmpl w:val="424EFB2C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74047FBC"/>
    <w:multiLevelType w:val="hybridMultilevel"/>
    <w:tmpl w:val="2E18935A"/>
    <w:lvl w:ilvl="0" w:tplc="18FE4DF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86"/>
    <w:rsid w:val="00022193"/>
    <w:rsid w:val="00093BF0"/>
    <w:rsid w:val="0010228A"/>
    <w:rsid w:val="00127262"/>
    <w:rsid w:val="00132E36"/>
    <w:rsid w:val="00180F84"/>
    <w:rsid w:val="001A4CEF"/>
    <w:rsid w:val="00267E12"/>
    <w:rsid w:val="00280F0D"/>
    <w:rsid w:val="00285D38"/>
    <w:rsid w:val="00297572"/>
    <w:rsid w:val="002C4603"/>
    <w:rsid w:val="002C4C0C"/>
    <w:rsid w:val="002E6121"/>
    <w:rsid w:val="00311D99"/>
    <w:rsid w:val="003422BB"/>
    <w:rsid w:val="003A1C4A"/>
    <w:rsid w:val="00420DC2"/>
    <w:rsid w:val="0044121B"/>
    <w:rsid w:val="00466C29"/>
    <w:rsid w:val="00477B72"/>
    <w:rsid w:val="00506C5B"/>
    <w:rsid w:val="00531B0D"/>
    <w:rsid w:val="00532F31"/>
    <w:rsid w:val="00584DEA"/>
    <w:rsid w:val="00591019"/>
    <w:rsid w:val="0060764E"/>
    <w:rsid w:val="0061394C"/>
    <w:rsid w:val="00643DEC"/>
    <w:rsid w:val="006875B4"/>
    <w:rsid w:val="006C454C"/>
    <w:rsid w:val="006D5B15"/>
    <w:rsid w:val="00721F79"/>
    <w:rsid w:val="00744270"/>
    <w:rsid w:val="007E7196"/>
    <w:rsid w:val="007F01DB"/>
    <w:rsid w:val="008525BA"/>
    <w:rsid w:val="00865D4B"/>
    <w:rsid w:val="008E0391"/>
    <w:rsid w:val="00920D94"/>
    <w:rsid w:val="00922450"/>
    <w:rsid w:val="00941628"/>
    <w:rsid w:val="00946357"/>
    <w:rsid w:val="00992D06"/>
    <w:rsid w:val="009B3886"/>
    <w:rsid w:val="009F43CC"/>
    <w:rsid w:val="00A0579C"/>
    <w:rsid w:val="00A55B3E"/>
    <w:rsid w:val="00AA5CB2"/>
    <w:rsid w:val="00B01799"/>
    <w:rsid w:val="00B46D90"/>
    <w:rsid w:val="00BA245F"/>
    <w:rsid w:val="00BB333E"/>
    <w:rsid w:val="00BC5C05"/>
    <w:rsid w:val="00BD7D6B"/>
    <w:rsid w:val="00BE7A0B"/>
    <w:rsid w:val="00C12E35"/>
    <w:rsid w:val="00C30131"/>
    <w:rsid w:val="00C56690"/>
    <w:rsid w:val="00C9334F"/>
    <w:rsid w:val="00C9549E"/>
    <w:rsid w:val="00D120E2"/>
    <w:rsid w:val="00D14136"/>
    <w:rsid w:val="00D444DA"/>
    <w:rsid w:val="00D46A90"/>
    <w:rsid w:val="00D57875"/>
    <w:rsid w:val="00D671A3"/>
    <w:rsid w:val="00D80659"/>
    <w:rsid w:val="00D9052A"/>
    <w:rsid w:val="00DD7C88"/>
    <w:rsid w:val="00E07703"/>
    <w:rsid w:val="00E2700E"/>
    <w:rsid w:val="00E722CD"/>
    <w:rsid w:val="00E87C22"/>
    <w:rsid w:val="00E87C6B"/>
    <w:rsid w:val="00EB2E97"/>
    <w:rsid w:val="00F05452"/>
    <w:rsid w:val="00F07DAA"/>
    <w:rsid w:val="00F22310"/>
    <w:rsid w:val="00F63226"/>
    <w:rsid w:val="00F95FA3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22ECB-BECC-4E0E-95D8-C9ADC17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C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6121"/>
    <w:pPr>
      <w:ind w:firstLineChars="200" w:firstLine="420"/>
    </w:pPr>
  </w:style>
  <w:style w:type="table" w:styleId="a4">
    <w:name w:val="Table Grid"/>
    <w:basedOn w:val="a1"/>
    <w:uiPriority w:val="39"/>
    <w:rsid w:val="00C30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2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466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6C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6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6C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66C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6C29"/>
  </w:style>
  <w:style w:type="paragraph" w:styleId="20">
    <w:name w:val="toc 2"/>
    <w:basedOn w:val="a"/>
    <w:next w:val="a"/>
    <w:autoRedefine/>
    <w:uiPriority w:val="39"/>
    <w:unhideWhenUsed/>
    <w:rsid w:val="00466C29"/>
    <w:pPr>
      <w:ind w:leftChars="200" w:left="420"/>
    </w:pPr>
  </w:style>
  <w:style w:type="character" w:styleId="a7">
    <w:name w:val="Hyperlink"/>
    <w:basedOn w:val="a0"/>
    <w:uiPriority w:val="99"/>
    <w:unhideWhenUsed/>
    <w:rsid w:val="00466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chart" Target="charts/chart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固定治超站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总体超限比例</c:v>
                </c:pt>
                <c:pt idx="1">
                  <c:v>超限30%以内车辆比例</c:v>
                </c:pt>
                <c:pt idx="2">
                  <c:v>超限30%以上车辆比例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1.89E-2</c:v>
                </c:pt>
                <c:pt idx="1">
                  <c:v>1.47E-2</c:v>
                </c:pt>
                <c:pt idx="2">
                  <c:v>4.1999999999999997E-3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非现场执法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总体超限比例</c:v>
                </c:pt>
                <c:pt idx="1">
                  <c:v>超限30%以内车辆比例</c:v>
                </c:pt>
                <c:pt idx="2">
                  <c:v>超限30%以上车辆比例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2.0899999999999998E-2</c:v>
                </c:pt>
                <c:pt idx="1">
                  <c:v>1.2800000000000001E-2</c:v>
                </c:pt>
                <c:pt idx="2">
                  <c:v>8.0999999999999996E-3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总体超限比例</c:v>
                </c:pt>
                <c:pt idx="1">
                  <c:v>超限30%以内车辆比例</c:v>
                </c:pt>
                <c:pt idx="2">
                  <c:v>超限30%以上车辆比例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6677008"/>
        <c:axId val="576682496"/>
      </c:barChart>
      <c:catAx>
        <c:axId val="57667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682496"/>
        <c:crosses val="autoZero"/>
        <c:auto val="1"/>
        <c:lblAlgn val="ctr"/>
        <c:lblOffset val="100"/>
        <c:noMultiLvlLbl val="0"/>
      </c:catAx>
      <c:valAx>
        <c:axId val="57668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67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8DCDE-485B-47DD-A56B-F962801B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80</cp:revision>
  <dcterms:created xsi:type="dcterms:W3CDTF">2018-04-02T08:55:00Z</dcterms:created>
  <dcterms:modified xsi:type="dcterms:W3CDTF">2018-04-02T13:18:00Z</dcterms:modified>
</cp:coreProperties>
</file>