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Calibri" w:hAnsi="Calibri" w:eastAsia="Microsoft YaHei"/>
          <w:b/>
          <w:color w:val="1F4D78"/>
          <w:sz w:val="40"/>
        </w:rPr>
        <w:t>PAC-Test v2.1 问题回应与修改建议</w:t>
      </w:r>
    </w:p>
    <w:p>
      <w:pPr>
        <w:spacing w:before="0" w:after="280" w:line="240" w:lineRule="auto"/>
        <w:jc w:val="center"/>
      </w:pPr>
      <w:r>
        <w:rPr>
          <w:rFonts w:ascii="Calibri" w:hAnsi="Calibri" w:eastAsia="Microsoft YaHei"/>
          <w:b w:val="0"/>
          <w:color w:val="6B7280"/>
          <w:sz w:val="20"/>
        </w:rPr>
        <w:t>基于当前已完成结果与原始返回内容的核查稿 | 2026-07-12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核查结论： 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字段保持与干扰捕获率均可由现有评分逻辑复现；Qwen3-8B 的异常低分不是 API 调用失败，而是大量输出未遵守“只输出最终代码”的格式要求，并在 192 token 上限处截断；PAC-D 热图的 0、0.5、1 来自每个条件仅 2 条样本的离散均值。建议保留原始结果，但对其解释和图表呈现作透明修订。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一、核查范围与结论边界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本次核查使用当前 PAC v2.1 的去重汇总结果、条件级汇总表、错误类型表和 Qwen3-8B 原始返回内容。核查目的不是重跑或改写原始分数，而是确认指标计算、异常结果与图表呈现是否存在误读风险。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本回应不修改任何原始预测、得分或 API 返回记录。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建议修改的是论文中的方法说明、图表表达和结论边界，而不是用人工方式修正模型结果。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二、字段保持与干扰捕获率的计算口径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字段保持（Field Retention）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每条样本都包含 m 个必须同时保持正确绑定关系的目标字段，例如三段代码或多实体对应值。对一条模型输出，先在完整输出文本中逐项检查是否命中了每一个目标值，再以命中字段数除以字段总数得到该样本的字段准确率：</w:t>
      </w:r>
    </w:p>
    <w:p>
      <w:pPr>
        <w:spacing w:before="80" w:after="120" w:line="240" w:lineRule="auto"/>
        <w:jc w:val="center"/>
      </w:pPr>
      <w:r>
        <w:rPr>
          <w:rFonts w:ascii="Calibri" w:hAnsi="Calibri" w:eastAsia="Microsoft YaHei"/>
          <w:b/>
          <w:color w:val="1F4D78"/>
          <w:sz w:val="22"/>
        </w:rPr>
        <w:t>Field Accuracy_i = 正确命中的目标字段数 / 该样本目标字段总数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表格中的“字段保持”不是只看完整答对的样本，而是先对每个子实验内的字段准确率取平均，再对 PAC-A、PAC-B、PAC-C、PAC-D 四个子实验做等权平均并转换为百分比。它反映模型在完整答案失败时，是否仍保留了部分实体-属性或链路字段的正确绑定。评分时只使用 API 正常返回的样本。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干扰捕获率（Decoy Capture Rate）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每条样本在正确证据旁放入了具有高相似形式、但实体、状态、批次、时间、通道或验证条件不满足要求的干扰值。若模型输出未构成完整正确答案，却包含任一预设干扰值，该样本被标记为 decoy_value_capture。子实验层面的干扰捕获率为：</w:t>
      </w:r>
    </w:p>
    <w:p>
      <w:pPr>
        <w:spacing w:before="80" w:after="120" w:line="240" w:lineRule="auto"/>
        <w:jc w:val="center"/>
      </w:pPr>
      <w:r>
        <w:rPr>
          <w:rFonts w:ascii="Calibri" w:hAnsi="Calibri" w:eastAsia="Microsoft YaHei"/>
          <w:b/>
          <w:color w:val="1F4D78"/>
          <w:sz w:val="22"/>
        </w:rPr>
        <w:t>Decoy Capture Rate_s = 干扰值被错误选入的样本数 / 子实验 s 的正常返回样本数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表格中的“干扰捕获率”同样是四个子实验率的等权平均，数值越低越好。该指标与字段保持互补：前者描述模型是否被相似但不合格的证据带偏，后者描述模型保留了多少正确字段。论文中应在首次出现该表时补充以上两句定义，并注明两个汇总指标均为子实验等权平均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三、Qwen3-8B 全部或接近全部为 0 的原因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结论是：这不是 API 未返回导致的 0，也不能直接当成 Qwen3-8B 完全没有长上下文推理能力。它是当前“精确答案 + 192 token 输出上限”评测配置下，输出格式失配与截断共同造成的异常表现。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1750"/>
        <w:gridCol w:w="3600"/>
        <w:gridCol w:w="4010"/>
      </w:tblGrid>
      <w:tr>
        <w:tc>
          <w:tcPr>
            <w:tcW w:type="dxa" w:w="17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核查项</w:t>
            </w:r>
          </w:p>
        </w:tc>
        <w:tc>
          <w:tcPr>
            <w:tcW w:type="dxa" w:w="36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核查结果</w:t>
            </w:r>
          </w:p>
        </w:tc>
        <w:tc>
          <w:tcPr>
            <w:tcW w:type="dxa" w:w="40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含义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调用是否成功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231 / 231 条均为正常 API 返回；API error 为 0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排除“调用失败后按 0 计分”的可能。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精确正确数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PAC-A 0 / 75；PAC-B 3 / 72；PAC-C 0 / 72；PAC-D 0 / 12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完整答案严格匹配时只有 PAC-B 的 3 条成功。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输出长度触顶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200 / 231 条（86.6%）达到 192 token 上限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大量回答在给出最终代码前被截断。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原始输出形态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多数样本先输出英文分步解释、证据复述和推理过程，而非直接输出 V1|V2|V3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与任务要求的“只输出最终答案”不一致，降低了精确匹配得分。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评分器已在完整返回文本中检索目标代码，并非只取最后一行；因此这不是简单的“答案在前面却没有被识别”。但在输出被截断的样本中，模型通常没有给出完整三段答案，或未能保留足够的正确字段。当前结果可被保留为“该解码配置下的端到端任务表现”，但不宜单独用作模型内在长上下文能力的强结论。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建议的论文处理： 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保留 Qwen3-8B 原始数据与附表，不建议悄悄删改；在正文主比较图中将其标注为“输出格式/长度受限的诊断样本”，或移至附录并明确说明原因。若将来有预算，只对该模型用更严格的结构化输出约束和更高输出上限复测，才能作公平的能力比较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四、PAC-C / PAC-D 热图为何出现 0、0.5、1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这不是热图程序错误，而是条件单元样本量较小造成的离散均值。PAC-C 每个“绑定容量 K / 查询数 Q”条件下有 8 条样本，因此准确率以 1/8 = 0.125 为最小步长；PAC-D 每个“跳数 / 假链数”条件下只有 2 条样本，因此准确率只能以 1/2 = 0.5 为最小步长。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250"/>
        <w:gridCol w:w="1900"/>
        <w:gridCol w:w="2100"/>
        <w:gridCol w:w="3110"/>
      </w:tblGrid>
      <w:tr>
        <w:tc>
          <w:tcPr>
            <w:tcW w:type="dxa" w:w="225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图表</w:t>
            </w:r>
          </w:p>
        </w:tc>
        <w:tc>
          <w:tcPr>
            <w:tcW w:type="dxa" w:w="19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条件级重复数</w:t>
            </w:r>
          </w:p>
        </w:tc>
        <w:tc>
          <w:tcPr>
            <w:tcW w:type="dxa" w:w="21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数值表现</w:t>
            </w:r>
          </w:p>
        </w:tc>
        <w:tc>
          <w:tcPr>
            <w:tcW w:type="dxa" w:w="311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可否作为主结论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PAC-C 绑定容量热图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通常为 8 条 / 单元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可出现 0、0.125、0.25、…、1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可用于展示趋势，但应避免过度解释单个格子的细微差别。</w:t>
            </w:r>
          </w:p>
        </w:tc>
      </w:tr>
      <w:tr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PAC-D 多跳假链热图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通常为 2 条 / 单元；Qwen3-14B-T 个别单元更少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只能出现 0、0.5、1</w:t>
            </w:r>
          </w:p>
        </w:tc>
        <w:tc>
          <w:tcPr>
            <w:tcW w:type="dxa" w:w="3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应定位为探索性或有效性验证，不宜作为精细的模型排序证据。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因此，图 4-6 中大量 0、0.5、1 的根源是 PAC-D 的设计规模，而不是计算错误。论文修改时建议将 PAC-D 热图替换为“按模型汇总的平均准确率 + 条件说明”的柱状图或点图，并在图注中写明“每个条件重复 2 次”。这样既保持结果透明，也避免视觉上像连续精确估计。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五、图表重叠与后续修改建议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sz w:val="22"/>
        </w:rPr>
        <w:t>当前“PAC v2.1 error tendency”图中，图例位于下方并与横轴模型标签/横轴标题发生视觉重叠。这是排版问题，不涉及数值计算。Qwen3-8B 在该图中仍会显得异常，原因与上一节相同：大量格式失配和输出截断导致其 exact accuracy 极低。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000"/>
        <w:gridCol w:w="4200"/>
        <w:gridCol w:w="3160"/>
      </w:tblGrid>
      <w:tr>
        <w:tc>
          <w:tcPr>
            <w:tcW w:type="dxa" w:w="20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问题</w:t>
            </w:r>
          </w:p>
        </w:tc>
        <w:tc>
          <w:tcPr>
            <w:tcW w:type="dxa" w:w="42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建议修改</w:t>
            </w:r>
          </w:p>
        </w:tc>
        <w:tc>
          <w:tcPr>
            <w:tcW w:type="dxa" w:w="31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目的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图例与横轴文字重叠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把图例移到图框外下方，增加底部边距，或改为图上直接标注。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保证图可直接插入论文且不遮挡标签。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PAC-D 离散热图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正文改为模型级汇总图；条件级热图保留在附录，并在图注注明每格 2 条样本。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避免把小样本离散均值误读为稳定曲线。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Qwen3-8B 异常低分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正文单列“输出格式失配诊断”，原始结果与说明放附录。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透明呈现异常，同时不把协议问题误写成纯能力差距。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指标定义缺失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在 PAC-Test 方法或表注中补充字段保持、干扰捕获率、精确准确率的定义和方向。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icrosoft YaHei"/>
                <w:b w:val="0"/>
                <w:sz w:val="20"/>
              </w:rPr>
              <w:t>使读者能够自行理解表中的综合指标。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六、可直接补入论文的说明文字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指标说明（表格前或表注）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建议文字： 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除完整答案准确率外，本文报告字段保持率与干扰捕获率。字段保持率计算模型输出中被正确保留的目标字段比例，用于刻画完整答案失败时的部分绑定保持能力；干扰捕获率计算模型将预设高相似干扰值误选入输出的比例，数值越低代表抗干扰能力越强。两项指标均先在各子实验内计算，再在 PAC-A 至 PAC-D 之间进行等权汇总。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PAC-D 图注或正文说明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建议文字： 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PAC-D 用于验证多跳假链条件下的链路追踪失效。由于本轮每个跳数与假链数条件仅包含 2 条测试样本，条件级结果呈现为 0、0.5 和 1 等离散取值；因此本文将其作为机制性探索证据，并以模型级汇总结果作为主要描述，不对单个条件格作过度统计推断。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Qwen3-8B 结果说明</w:t>
      </w:r>
    </w:p>
    <w:tbl>
      <w:tblPr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shd w:fill="F4F6F9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建议文字： 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Qwen3-8B 在当前协议下表现出明显的输出格式失配：其多数返回以长推理文本展开，并频繁达到输出长度上限，导致完整代码串未能按要求生成。该结果反映该模型在本评测协议下的端到端可用性限制，本文将其与其他模型的任务能力比较分开讨论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七、最终建议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字段保持和干扰捕获率可以保留，但必须补充定义、计算方向和“子实验等权平均”的说明。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Qwen3-8B 不应当被伪装成普通低分样本；它是正常 API 返回但严重输出截断的诊断性异常，应透明说明。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PAC-D 的条件级热图不适合作为核心统计图；保留其机制验证价值，同时弱化其细粒度排名含义。</w:t>
      </w:r>
    </w:p>
    <w:p>
      <w:pPr>
        <w:pStyle w:val="ListBullet"/>
        <w:spacing w:before="0" w:after="100" w:line="280" w:lineRule="auto"/>
        <w:ind w:left="720" w:hanging="360"/>
      </w:pPr>
      <w:r>
        <w:rPr>
          <w:rFonts w:ascii="Calibri" w:hAnsi="Calibri" w:eastAsia="Microsoft YaHei"/>
          <w:b w:val="0"/>
          <w:sz w:val="22"/>
        </w:rPr>
        <w:t>先处理图例重叠、PAC-D 图形替换和指标定义，再将图表插入正文，会比直接改数更稳妥。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b w:val="0"/>
        <w:color w:val="6B7280"/>
        <w:sz w:val="18"/>
      </w:rPr>
      <w:t>PAC-Test v2.1 | 问题回应与修改建议（审阅稿）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