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5789" w14:textId="77777777" w:rsidR="00844558" w:rsidRDefault="00000000">
      <w:pPr>
        <w:spacing w:after="80"/>
        <w:jc w:val="center"/>
      </w:pPr>
      <w:r>
        <w:rPr>
          <w:b/>
          <w:bCs/>
          <w:sz w:val="36"/>
          <w:szCs w:val="36"/>
        </w:rPr>
        <w:t>Methodology</w:t>
      </w:r>
    </w:p>
    <w:p w14:paraId="1BDADD24" w14:textId="77777777" w:rsidR="00844558" w:rsidRDefault="00000000">
      <w:pPr>
        <w:spacing w:after="400"/>
        <w:jc w:val="center"/>
      </w:pPr>
      <w:r>
        <w:rPr>
          <w:i/>
          <w:iCs/>
        </w:rPr>
        <w:t>DRAFT — A Flow-Based Definition of Gentrification: Analysing Socio-Economic Displacement in London Using Census Origin-Destination Data (2011–2021)</w:t>
      </w:r>
    </w:p>
    <w:p w14:paraId="366274A9" w14:textId="50BC077C" w:rsidR="00844558" w:rsidRDefault="006954B6">
      <w:pPr>
        <w:pStyle w:val="Heading1"/>
      </w:pPr>
      <w:r>
        <w:t>3.1 Research</w:t>
      </w:r>
      <w:r w:rsidR="00000000">
        <w:t xml:space="preserve"> Design and Analytical Strategy</w:t>
      </w:r>
    </w:p>
    <w:p w14:paraId="7A225547" w14:textId="77777777" w:rsidR="00844558" w:rsidRDefault="00000000">
      <w:pPr>
        <w:spacing w:after="120" w:line="276" w:lineRule="auto"/>
      </w:pPr>
      <w:r>
        <w:t xml:space="preserve">This study adopts a quantitative, secondary-data approach grounded in spatial analysis to operationalise a </w:t>
      </w:r>
      <w:r>
        <w:rPr>
          <w:i/>
          <w:iCs/>
        </w:rPr>
        <w:t>flow-based</w:t>
      </w:r>
      <w:r>
        <w:t xml:space="preserve"> definition of gentrification in London. Rather than relying solely on changes in area-level indicators (house prices, deprivation scores, or socio-economic composition), the methodology tracks the actual residential migration of people between neighbourhoods of differing deprivation levels. The central analytical instrument is a novel </w:t>
      </w:r>
      <w:r>
        <w:rPr>
          <w:b/>
          <w:bCs/>
        </w:rPr>
        <w:t>Cascading Flow Index (CFI)</w:t>
      </w:r>
      <w:r>
        <w:t>, which captures the degree to which affluent in-migrants displace lower-income residents to more deprived destinations—the signature pattern of cascading displacement described in the gentrification literature (Atkinson, 2000; Marcuse, 1985).</w:t>
      </w:r>
    </w:p>
    <w:p w14:paraId="122E757D" w14:textId="77777777" w:rsidR="00844558" w:rsidRDefault="00000000">
      <w:pPr>
        <w:spacing w:after="120" w:line="276" w:lineRule="auto"/>
      </w:pPr>
      <w:r>
        <w:t xml:space="preserve">The analysis proceeds through four broad stages: (1) data assembly and geographic harmonisation; (2) deprivation classification using a fixed IMD baseline; (3) construction of origin–destination flow matrices and computation of the CFI at two time points; and (4) validation of the CFI against independent deprivation change and classification of MSOAs into a gentrification typology. All analysis is conducted in Python using pandas, NumPy, SciPy, Matplotlib, and Seaborn, with reproducible </w:t>
      </w:r>
      <w:proofErr w:type="spellStart"/>
      <w:r>
        <w:t>Jupyter</w:t>
      </w:r>
      <w:proofErr w:type="spellEnd"/>
      <w:r>
        <w:t xml:space="preserve"> notebooks.</w:t>
      </w:r>
    </w:p>
    <w:p w14:paraId="1B5DF715" w14:textId="0D66EEE4" w:rsidR="00844558" w:rsidRDefault="006954B6">
      <w:pPr>
        <w:pStyle w:val="Heading1"/>
      </w:pPr>
      <w:r>
        <w:t>3.2 Study</w:t>
      </w:r>
      <w:r w:rsidR="00000000">
        <w:t xml:space="preserve"> Area and Spatial Unit of Analysis</w:t>
      </w:r>
    </w:p>
    <w:p w14:paraId="7EDC9CB8" w14:textId="77777777" w:rsidR="00844558" w:rsidRDefault="00000000">
      <w:pPr>
        <w:spacing w:after="120" w:line="276" w:lineRule="auto"/>
      </w:pPr>
      <w:r>
        <w:t xml:space="preserve">The study area covers the 33 London boroughs (including the City of London). The spatial unit of analysis is the </w:t>
      </w:r>
      <w:r>
        <w:rPr>
          <w:b/>
          <w:bCs/>
        </w:rPr>
        <w:t>Middle Layer Super Output Area (MSOA)</w:t>
      </w:r>
      <w:r>
        <w:t>, a census geography containing approximately 7,000–15,000 residents. MSOAs are preferred over the finer-grained Lower Layer Super Output Areas (LSOAs) because the Census origin–destination migration tables are published at MSOA level for 2021, and OA-level data for 2011 must be aggregated upwards. Approximately 983 MSOAs fall within Greater London under 2011 boundaries.</w:t>
      </w:r>
    </w:p>
    <w:p w14:paraId="7075329B" w14:textId="77777777" w:rsidR="00844558" w:rsidRDefault="00000000">
      <w:pPr>
        <w:spacing w:after="120" w:line="276" w:lineRule="auto"/>
      </w:pPr>
      <w:r>
        <w:t xml:space="preserve">Because the ONS redrew a small number of MSOA boundaries between 2011 and 2021, all analysis is harmonised to </w:t>
      </w:r>
      <w:r>
        <w:rPr>
          <w:b/>
          <w:bCs/>
        </w:rPr>
        <w:t>2011 MSOA codes</w:t>
      </w:r>
      <w:r>
        <w:t>. The 2021 Census O-D data, published under 2021 codes, is mapped back to 2011 codes using the ONS MSOA 2011-to-2021 lookup table. Only MSOAs with a clean one-to-one correspondence between the two vintages are retained; those that were split or merged (roughly 2.5% nationally) are excluded to avoid introducing artificial flow artefacts. The 2011 Census O-D data, obtained at Output Area (OA) level from WICID, uses native 2011 codes and is aggregated to MSOA level via a postcode-to-MSOA lookup, with each OA confirmed to map to exactly one MSOA.</w:t>
      </w:r>
    </w:p>
    <w:p w14:paraId="5B235693" w14:textId="06325F28" w:rsidR="00844558" w:rsidRDefault="006954B6">
      <w:pPr>
        <w:pStyle w:val="Heading1"/>
      </w:pPr>
      <w:r>
        <w:lastRenderedPageBreak/>
        <w:t>3.3 Data</w:t>
      </w:r>
      <w:r w:rsidR="00000000">
        <w:t xml:space="preserve"> Sources</w:t>
      </w:r>
    </w:p>
    <w:p w14:paraId="75BD1F63" w14:textId="77777777" w:rsidR="00844558" w:rsidRDefault="00000000">
      <w:pPr>
        <w:spacing w:after="120" w:line="276" w:lineRule="auto"/>
      </w:pPr>
      <w:r>
        <w:t>The research relies entirely on secondary, anonymised, publicly accessible open data. Table 1 summarises the six principal datasets.</w:t>
      </w:r>
    </w:p>
    <w:p w14:paraId="736A1EEF" w14:textId="77777777" w:rsidR="00844558" w:rsidRDefault="00000000">
      <w:pPr>
        <w:spacing w:before="200" w:after="60"/>
      </w:pPr>
      <w:r>
        <w:rPr>
          <w:b/>
          <w:bCs/>
          <w:i/>
          <w:iCs/>
          <w:sz w:val="20"/>
          <w:szCs w:val="20"/>
        </w:rPr>
        <w:t xml:space="preserve">Table 1. </w:t>
      </w:r>
      <w:r>
        <w:rPr>
          <w:i/>
          <w:iCs/>
          <w:sz w:val="20"/>
          <w:szCs w:val="20"/>
        </w:rPr>
        <w:t>Principal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2000"/>
        <w:gridCol w:w="1960"/>
      </w:tblGrid>
      <w:tr w:rsidR="00844558" w14:paraId="715945C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4931AE56" w14:textId="77777777" w:rsidR="00844558" w:rsidRDefault="00000000">
            <w:r>
              <w:rPr>
                <w:b/>
                <w:bCs/>
                <w:sz w:val="20"/>
                <w:szCs w:val="20"/>
              </w:rPr>
              <w:t>Dataset</w:t>
            </w:r>
          </w:p>
        </w:tc>
        <w:tc>
          <w:tcPr>
            <w:tcW w:w="3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11F9E84B" w14:textId="77777777" w:rsidR="00844558" w:rsidRDefault="00000000">
            <w:r>
              <w:rPr>
                <w:b/>
                <w:bCs/>
                <w:sz w:val="20"/>
                <w:szCs w:val="20"/>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B5150ED" w14:textId="77777777" w:rsidR="00844558" w:rsidRDefault="00000000">
            <w:r>
              <w:rPr>
                <w:b/>
                <w:bCs/>
                <w:sz w:val="20"/>
                <w:szCs w:val="20"/>
              </w:rPr>
              <w:t>Geography</w:t>
            </w:r>
          </w:p>
        </w:tc>
        <w:tc>
          <w:tcPr>
            <w:tcW w:w="19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99A591B" w14:textId="77777777" w:rsidR="00844558" w:rsidRDefault="00000000">
            <w:r>
              <w:rPr>
                <w:b/>
                <w:bCs/>
                <w:sz w:val="20"/>
                <w:szCs w:val="20"/>
              </w:rPr>
              <w:t>Source</w:t>
            </w:r>
          </w:p>
        </w:tc>
      </w:tr>
      <w:tr w:rsidR="00844558" w14:paraId="7DAE69F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D810B6" w14:textId="77777777" w:rsidR="00844558" w:rsidRDefault="00000000">
            <w:r>
              <w:rPr>
                <w:sz w:val="20"/>
                <w:szCs w:val="20"/>
              </w:rPr>
              <w:t>Census O-D 2021 (ODMG01EW)</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05C8FE" w14:textId="504D4822" w:rsidR="00844558" w:rsidRDefault="00000000">
            <w:r>
              <w:rPr>
                <w:sz w:val="20"/>
                <w:szCs w:val="20"/>
              </w:rPr>
              <w:t xml:space="preserve">Residential migration flows by MSOA of origin and destination, 1 year before </w:t>
            </w:r>
            <w:r w:rsidR="006954B6">
              <w:rPr>
                <w:sz w:val="20"/>
                <w:szCs w:val="20"/>
              </w:rPr>
              <w:t>Census Day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C9EED" w14:textId="77777777" w:rsidR="00844558" w:rsidRDefault="00000000">
            <w:r>
              <w:rPr>
                <w:sz w:val="20"/>
                <w:szCs w:val="20"/>
              </w:rPr>
              <w:t>MSOA (2021 codes)</w:t>
            </w:r>
          </w:p>
        </w:tc>
        <w:tc>
          <w:tcPr>
            <w:tcW w:w="1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69BE18" w14:textId="77777777" w:rsidR="00844558" w:rsidRDefault="00000000">
            <w:r>
              <w:rPr>
                <w:sz w:val="20"/>
                <w:szCs w:val="20"/>
              </w:rPr>
              <w:t>Nomis / ONS</w:t>
            </w:r>
          </w:p>
        </w:tc>
      </w:tr>
      <w:tr w:rsidR="00844558" w14:paraId="7603EED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2350D7" w14:textId="77777777" w:rsidR="00844558" w:rsidRDefault="00000000">
            <w:r>
              <w:rPr>
                <w:sz w:val="20"/>
                <w:szCs w:val="20"/>
              </w:rPr>
              <w:t>Census O-D 2011 (MF01EW)</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E11F8D" w14:textId="77777777" w:rsidR="00844558" w:rsidRDefault="00000000">
            <w:r>
              <w:rPr>
                <w:sz w:val="20"/>
                <w:szCs w:val="20"/>
              </w:rPr>
              <w:t>Residential migration flows at OA level (safeguarded; accessed via WICID)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8416BA" w14:textId="77777777" w:rsidR="00844558" w:rsidRDefault="00000000">
            <w:r>
              <w:rPr>
                <w:sz w:val="20"/>
                <w:szCs w:val="20"/>
              </w:rPr>
              <w:t>OA (2011 codes)</w:t>
            </w:r>
          </w:p>
        </w:tc>
        <w:tc>
          <w:tcPr>
            <w:tcW w:w="1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68A162" w14:textId="77777777" w:rsidR="00844558" w:rsidRDefault="00000000">
            <w:r>
              <w:rPr>
                <w:sz w:val="20"/>
                <w:szCs w:val="20"/>
              </w:rPr>
              <w:t>WICID / ONS</w:t>
            </w:r>
          </w:p>
        </w:tc>
      </w:tr>
      <w:tr w:rsidR="00844558" w14:paraId="1316E4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EE7777" w14:textId="77777777" w:rsidR="00844558" w:rsidRDefault="00000000">
            <w:r>
              <w:rPr>
                <w:sz w:val="20"/>
                <w:szCs w:val="20"/>
              </w:rPr>
              <w:t>IMD 2010</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69BD1D" w14:textId="77777777" w:rsidR="00844558" w:rsidRDefault="00000000">
            <w:r>
              <w:rPr>
                <w:sz w:val="20"/>
                <w:szCs w:val="20"/>
              </w:rPr>
              <w:t>Index of Multiple Deprivation scores at LSOA level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88D3CE" w14:textId="77777777" w:rsidR="00844558" w:rsidRDefault="00000000">
            <w:r>
              <w:rPr>
                <w:sz w:val="20"/>
                <w:szCs w:val="20"/>
              </w:rPr>
              <w:t>LSOA (2001/2011)</w:t>
            </w:r>
          </w:p>
        </w:tc>
        <w:tc>
          <w:tcPr>
            <w:tcW w:w="1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32709B" w14:textId="77777777" w:rsidR="00844558" w:rsidRDefault="00000000">
            <w:r>
              <w:rPr>
                <w:sz w:val="20"/>
                <w:szCs w:val="20"/>
              </w:rPr>
              <w:t>GOV.UK (MHCLG)</w:t>
            </w:r>
          </w:p>
        </w:tc>
      </w:tr>
      <w:tr w:rsidR="00844558" w14:paraId="0CAD930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40DFFE" w14:textId="77777777" w:rsidR="00844558" w:rsidRDefault="00000000">
            <w:r>
              <w:rPr>
                <w:sz w:val="20"/>
                <w:szCs w:val="20"/>
              </w:rPr>
              <w:t>IMD 2019</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DE0FCF" w14:textId="77777777" w:rsidR="00844558" w:rsidRDefault="00000000">
            <w:r>
              <w:rPr>
                <w:sz w:val="20"/>
                <w:szCs w:val="20"/>
              </w:rPr>
              <w:t>Updated IMD scores at LSOA level (used for temporal validation and robustness checks)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112753" w14:textId="77777777" w:rsidR="00844558" w:rsidRDefault="00000000">
            <w:r>
              <w:rPr>
                <w:sz w:val="20"/>
                <w:szCs w:val="20"/>
              </w:rPr>
              <w:t>LSOA (2011)</w:t>
            </w:r>
          </w:p>
        </w:tc>
        <w:tc>
          <w:tcPr>
            <w:tcW w:w="1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1EA506" w14:textId="77777777" w:rsidR="00844558" w:rsidRDefault="00000000">
            <w:r>
              <w:rPr>
                <w:sz w:val="20"/>
                <w:szCs w:val="20"/>
              </w:rPr>
              <w:t>GOV.UK (MHCLG)</w:t>
            </w:r>
          </w:p>
        </w:tc>
      </w:tr>
      <w:tr w:rsidR="00844558" w14:paraId="0D0C61F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EF1237" w14:textId="77777777" w:rsidR="00844558" w:rsidRDefault="00000000">
            <w:r>
              <w:rPr>
                <w:sz w:val="20"/>
                <w:szCs w:val="20"/>
              </w:rPr>
              <w:t>NSPCL Nov 2022 Postcode Lookup</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9AC688" w14:textId="77777777" w:rsidR="00844558" w:rsidRDefault="00000000">
            <w:r>
              <w:rPr>
                <w:sz w:val="20"/>
                <w:szCs w:val="20"/>
              </w:rPr>
              <w:t>Maps postcodes to OA, LSOA, MSOA, and Local Authority codes (2011 geographies)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BF47AB" w14:textId="77777777" w:rsidR="00844558" w:rsidRDefault="00000000">
            <w:r>
              <w:rPr>
                <w:sz w:val="20"/>
                <w:szCs w:val="20"/>
              </w:rPr>
              <w:t>All levels</w:t>
            </w:r>
          </w:p>
        </w:tc>
        <w:tc>
          <w:tcPr>
            <w:tcW w:w="1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D330E" w14:textId="77777777" w:rsidR="00844558" w:rsidRDefault="00000000">
            <w:r>
              <w:rPr>
                <w:sz w:val="20"/>
                <w:szCs w:val="20"/>
              </w:rPr>
              <w:t>ONS Open Geography</w:t>
            </w:r>
          </w:p>
        </w:tc>
      </w:tr>
      <w:tr w:rsidR="00844558" w14:paraId="27B53F5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167428" w14:textId="77777777" w:rsidR="00844558" w:rsidRDefault="00000000">
            <w:r>
              <w:rPr>
                <w:sz w:val="20"/>
                <w:szCs w:val="20"/>
              </w:rPr>
              <w:t>MSOA 2011-to-2021 Lookup</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72E3F2" w14:textId="77777777" w:rsidR="00844558" w:rsidRDefault="00000000">
            <w:r>
              <w:rPr>
                <w:sz w:val="20"/>
                <w:szCs w:val="20"/>
              </w:rPr>
              <w:t>One-to-one and one-to-many correspondence between 2011 and 2021 MSOA codes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9F8458" w14:textId="77777777" w:rsidR="00844558" w:rsidRDefault="00000000">
            <w:r>
              <w:rPr>
                <w:sz w:val="20"/>
                <w:szCs w:val="20"/>
              </w:rPr>
              <w:t>MSOA</w:t>
            </w:r>
          </w:p>
        </w:tc>
        <w:tc>
          <w:tcPr>
            <w:tcW w:w="1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A4FE1B" w14:textId="77777777" w:rsidR="00844558" w:rsidRDefault="00000000">
            <w:r>
              <w:rPr>
                <w:sz w:val="20"/>
                <w:szCs w:val="20"/>
              </w:rPr>
              <w:t>ONS Open Geography</w:t>
            </w:r>
          </w:p>
        </w:tc>
      </w:tr>
    </w:tbl>
    <w:p w14:paraId="6F4C4EF6" w14:textId="77777777" w:rsidR="00844558" w:rsidRDefault="00844558">
      <w:pPr>
        <w:spacing w:after="120" w:line="276" w:lineRule="auto"/>
      </w:pPr>
    </w:p>
    <w:p w14:paraId="5D7E2974" w14:textId="6D017F7B" w:rsidR="00844558" w:rsidRDefault="00000000">
      <w:pPr>
        <w:spacing w:after="120" w:line="276" w:lineRule="auto"/>
      </w:pPr>
      <w:r>
        <w:t xml:space="preserve">The Census O-D tables record the number of usual residents who, on </w:t>
      </w:r>
      <w:r w:rsidR="006954B6">
        <w:t>Census Day</w:t>
      </w:r>
      <w:r>
        <w:t>, were living at a different address from one year previously. The 2021 table (ODMG01EW) is published at MSOA level on Nomis, while the 2011 table (MF01EW) is available only at OA level via the UK Data Service’s WICID portal as safeguarded data. Both tables provide an origin code, a destination code, and a migrant headcount. Non-movers (origin equals destination) are excluded throughout.</w:t>
      </w:r>
    </w:p>
    <w:p w14:paraId="4C092B2B" w14:textId="27A56BDF" w:rsidR="00844558" w:rsidRDefault="006954B6">
      <w:pPr>
        <w:pStyle w:val="Heading1"/>
      </w:pPr>
      <w:r>
        <w:t>3.4 Deprivation</w:t>
      </w:r>
      <w:r w:rsidR="00000000">
        <w:t xml:space="preserve"> Classification: Fixed IMD 2010 Baseline</w:t>
      </w:r>
    </w:p>
    <w:p w14:paraId="16C9FD45" w14:textId="77777777" w:rsidR="00844558" w:rsidRDefault="00000000">
      <w:pPr>
        <w:spacing w:after="120" w:line="276" w:lineRule="auto"/>
      </w:pPr>
      <w:r>
        <w:t xml:space="preserve">Area deprivation is measured using the English </w:t>
      </w:r>
      <w:r>
        <w:rPr>
          <w:b/>
          <w:bCs/>
        </w:rPr>
        <w:t>Index of Multiple Deprivation (IMD)</w:t>
      </w:r>
      <w:r>
        <w:t xml:space="preserve">, a composite indicator covering seven domains (income, employment, education, health, crime, barriers to housing and services, and living environment) published at LSOA level. The IMD 2010 release is used as the </w:t>
      </w:r>
      <w:r>
        <w:rPr>
          <w:i/>
          <w:iCs/>
        </w:rPr>
        <w:t>fixed baseline</w:t>
      </w:r>
      <w:r>
        <w:t xml:space="preserve"> for classifying neighbourhoods at both time points (2011 and 2021). Using a single, pre-period baseline ensures that an MSOA’s deprivation classification does not change between the two Census observations, so that any difference in the CFI reflects a genuine change in migration dynamics rather than an artefact of reclassification.</w:t>
      </w:r>
    </w:p>
    <w:p w14:paraId="5E060214" w14:textId="77777777" w:rsidR="00844558" w:rsidRDefault="00000000">
      <w:pPr>
        <w:spacing w:after="120" w:line="276" w:lineRule="auto"/>
      </w:pPr>
      <w:r>
        <w:t xml:space="preserve">LSOA-level IMD 2010 scores are aggregated to the MSOA level by computing a population-weighted mean of the constituent LSOAs (linked via the postcode lookup). Each London MSOA is then assigned to a wealth decile (1 = most deprived, 10 = least deprived) based on its MSOA-level average IMD score, ranked within the </w:t>
      </w:r>
      <w:r>
        <w:lastRenderedPageBreak/>
        <w:t>London study area. This decile assignment is the basis for all subsequent flow classification.</w:t>
      </w:r>
    </w:p>
    <w:p w14:paraId="278A9415" w14:textId="77777777" w:rsidR="00844558" w:rsidRDefault="00000000">
      <w:pPr>
        <w:spacing w:after="120" w:line="276" w:lineRule="auto"/>
      </w:pPr>
      <w:r>
        <w:t xml:space="preserve">As a </w:t>
      </w:r>
      <w:r>
        <w:rPr>
          <w:b/>
          <w:bCs/>
        </w:rPr>
        <w:t>robustness check</w:t>
      </w:r>
      <w:r>
        <w:t>, the 2021 flows are also reprocessed using IMD 2019 deciles. If the two baselines produce concordant results (high rank correlation between the resulting CFI distributions), the index is robust to baseline choice. Conversely, divergent results would signal sensitivity to the timing of deprivation measurement, which must be discussed.</w:t>
      </w:r>
    </w:p>
    <w:p w14:paraId="0A5FA2CE" w14:textId="6D9E2341" w:rsidR="00844558" w:rsidRDefault="006954B6">
      <w:pPr>
        <w:pStyle w:val="Heading1"/>
      </w:pPr>
      <w:r>
        <w:t>3.5 Origin</w:t>
      </w:r>
      <w:r w:rsidR="00000000">
        <w:t>–Destination Flow Processing</w:t>
      </w:r>
    </w:p>
    <w:p w14:paraId="11F55CA8" w14:textId="77777777" w:rsidR="00844558" w:rsidRDefault="00000000">
      <w:pPr>
        <w:spacing w:after="120" w:line="276" w:lineRule="auto"/>
      </w:pPr>
      <w:r>
        <w:rPr>
          <w:b/>
          <w:bCs/>
        </w:rPr>
        <w:t xml:space="preserve">2021 flows. </w:t>
      </w:r>
      <w:r>
        <w:t xml:space="preserve">The ODMG01EW table provides MSOA-to-MSOA migrant counts directly. Each record’s origin and destination 2021 MSOA codes are mapped to their 2011 equivalents via the ONS lookup. Records where either endpoint maps to a split or merged MSOA are dropped. Only intra-London flows (both origin and destination within Greater London) are retained. Each flow is tagged with the </w:t>
      </w:r>
      <w:proofErr w:type="gramStart"/>
      <w:r>
        <w:t>origin’s</w:t>
      </w:r>
      <w:proofErr w:type="gramEnd"/>
      <w:r>
        <w:t xml:space="preserve"> and the destination’s IMD 2010 wealth decile, and a </w:t>
      </w:r>
      <w:r>
        <w:rPr>
          <w:i/>
          <w:iCs/>
        </w:rPr>
        <w:t>decile shift</w:t>
      </w:r>
      <w:r>
        <w:t xml:space="preserve"> is computed as destination decile minus origin decile.</w:t>
      </w:r>
    </w:p>
    <w:p w14:paraId="0CF045C4" w14:textId="77777777" w:rsidR="00844558" w:rsidRDefault="00000000">
      <w:pPr>
        <w:spacing w:after="120" w:line="276" w:lineRule="auto"/>
      </w:pPr>
      <w:r>
        <w:rPr>
          <w:b/>
          <w:bCs/>
        </w:rPr>
        <w:t xml:space="preserve">2011 flows. </w:t>
      </w:r>
      <w:r>
        <w:t>The MF01EW table records OA-to-OA migrant headcounts. Each OA code is mapped to its parent 2011 MSOA using the postcode lookup (with a one-to-one integrity check). Flows are then aggregated to the MSOA-to-MSOA level by summing headcounts over all constituent OA pairs. Non-movers are excluded. The same London filter and decile-tagging procedure is applied.</w:t>
      </w:r>
    </w:p>
    <w:p w14:paraId="78B13489" w14:textId="77777777" w:rsidR="00844558" w:rsidRDefault="00000000">
      <w:pPr>
        <w:spacing w:after="120" w:line="276" w:lineRule="auto"/>
      </w:pPr>
      <w:r>
        <w:t>The result of this stage, for each Census year, is a flow matrix cross-tabulating origin wealth decile by destination wealth decile, together with a record-level table retaining individual MSOA-pair flows and their decile shifts.</w:t>
      </w:r>
    </w:p>
    <w:p w14:paraId="41395EC9" w14:textId="3F2CF6BB" w:rsidR="00844558" w:rsidRDefault="006954B6">
      <w:pPr>
        <w:pStyle w:val="Heading1"/>
      </w:pPr>
      <w:r>
        <w:t>3.6 The</w:t>
      </w:r>
      <w:r w:rsidR="00000000">
        <w:t xml:space="preserve"> Cascading Flow Index (CFI)</w:t>
      </w:r>
    </w:p>
    <w:p w14:paraId="50F617F7" w14:textId="77777777" w:rsidR="00844558" w:rsidRDefault="00000000">
      <w:pPr>
        <w:spacing w:after="120" w:line="276" w:lineRule="auto"/>
      </w:pPr>
      <w:r>
        <w:t>The CFI is designed to capture the net displacement pressure on a given MSOA—specifically, the extent to which the neighbourhood simultaneously receives in-migrants from wealthier areas and loses out-migrants to more deprived areas. For each MSOA j, the following quantities are computed from the London-to-London flow table:</w:t>
      </w:r>
    </w:p>
    <w:p w14:paraId="0C023B7F" w14:textId="77777777" w:rsidR="00844558" w:rsidRDefault="00000000">
      <w:pPr>
        <w:spacing w:after="120" w:line="276" w:lineRule="auto"/>
        <w:ind w:left="720"/>
      </w:pPr>
      <w:r>
        <w:rPr>
          <w:i/>
          <w:iCs/>
        </w:rPr>
        <w:t>Inflow from wealthier areas</w:t>
      </w:r>
      <w:r>
        <w:t>: the total number of migrants arriving at MSOA j whose origin MSOA has a higher (less deprived) wealth decile than j’s own decile.</w:t>
      </w:r>
    </w:p>
    <w:p w14:paraId="4CB125AB" w14:textId="77777777" w:rsidR="00844558" w:rsidRDefault="00000000">
      <w:pPr>
        <w:spacing w:after="120" w:line="276" w:lineRule="auto"/>
        <w:ind w:left="720"/>
      </w:pPr>
      <w:r>
        <w:rPr>
          <w:i/>
          <w:iCs/>
        </w:rPr>
        <w:t>Outflow to more deprived areas</w:t>
      </w:r>
      <w:r>
        <w:t>: the total number of migrants leaving MSOA j whose destination MSOA has a lower (more deprived) wealth decile than j’s own decile.</w:t>
      </w:r>
    </w:p>
    <w:p w14:paraId="42FEE33E" w14:textId="77777777" w:rsidR="00844558" w:rsidRDefault="00000000">
      <w:pPr>
        <w:spacing w:after="120" w:line="276" w:lineRule="auto"/>
      </w:pPr>
      <w:r>
        <w:t xml:space="preserve">The </w:t>
      </w:r>
      <w:r>
        <w:rPr>
          <w:b/>
          <w:bCs/>
        </w:rPr>
        <w:t>Net Cascade</w:t>
      </w:r>
      <w:r>
        <w:t xml:space="preserve"> for MSOA j is then:</w:t>
      </w:r>
    </w:p>
    <w:p w14:paraId="47609E5C" w14:textId="77777777" w:rsidR="00844558" w:rsidRDefault="00000000">
      <w:pPr>
        <w:spacing w:before="200" w:after="200"/>
        <w:jc w:val="center"/>
      </w:pPr>
      <w:r>
        <w:rPr>
          <w:i/>
          <w:iCs/>
        </w:rPr>
        <w:t>Net Cascade</w:t>
      </w:r>
      <w:r>
        <w:t>(</w:t>
      </w:r>
      <w:proofErr w:type="gramStart"/>
      <w:r>
        <w:t>j)  =</w:t>
      </w:r>
      <w:proofErr w:type="gramEnd"/>
      <w:r>
        <w:t xml:space="preserve">  </w:t>
      </w:r>
      <w:proofErr w:type="spellStart"/>
      <w:r>
        <w:t>Inflow</w:t>
      </w:r>
      <w:r>
        <w:rPr>
          <w:sz w:val="20"/>
          <w:szCs w:val="20"/>
          <w:vertAlign w:val="subscript"/>
        </w:rPr>
        <w:t>wealthier</w:t>
      </w:r>
      <w:proofErr w:type="spellEnd"/>
      <w:r>
        <w:t>(</w:t>
      </w:r>
      <w:proofErr w:type="gramStart"/>
      <w:r>
        <w:t>j)  −</w:t>
      </w:r>
      <w:proofErr w:type="gramEnd"/>
      <w:r>
        <w:t xml:space="preserve">  </w:t>
      </w:r>
      <w:proofErr w:type="spellStart"/>
      <w:r>
        <w:t>Outflow</w:t>
      </w:r>
      <w:r>
        <w:rPr>
          <w:sz w:val="20"/>
          <w:szCs w:val="20"/>
          <w:vertAlign w:val="subscript"/>
        </w:rPr>
        <w:t>poorer</w:t>
      </w:r>
      <w:proofErr w:type="spellEnd"/>
      <w:r>
        <w:t>(j)</w:t>
      </w:r>
    </w:p>
    <w:p w14:paraId="60A80B48" w14:textId="77777777" w:rsidR="00844558" w:rsidRDefault="00000000">
      <w:pPr>
        <w:spacing w:after="120" w:line="276" w:lineRule="auto"/>
      </w:pPr>
      <w:r>
        <w:lastRenderedPageBreak/>
        <w:t>A positive Net Cascade indicates that more people are arriving from wealthier origins than are departing to more deprived destinations—a neighbourhood under gentrification pressure. A negative value suggests the reverse pattern. Two supplementary metrics are also recorded for each MSOA: the Cascade Ratio (Inflow from wealthier divided by Outflow to poorer, where values above 1.0 indicate gentrification pressure) and the Percentage of Inflow from Wealthier areas (the share of all incoming migrants originating from higher-decile MSOAs).</w:t>
      </w:r>
    </w:p>
    <w:p w14:paraId="29C5BD86" w14:textId="77777777" w:rsidR="00844558" w:rsidRDefault="00000000">
      <w:pPr>
        <w:spacing w:after="120" w:line="276" w:lineRule="auto"/>
      </w:pPr>
      <w:r>
        <w:t xml:space="preserve">The CFI is computed identically for both the 2011 and 2021 flow tables under the same fixed IMD 2010 decile classification. The </w:t>
      </w:r>
      <w:r>
        <w:rPr>
          <w:b/>
          <w:bCs/>
        </w:rPr>
        <w:t>change in cascade pressure</w:t>
      </w:r>
      <w:r>
        <w:t xml:space="preserve"> over the decade is measured as:</w:t>
      </w:r>
    </w:p>
    <w:p w14:paraId="22047488" w14:textId="77777777" w:rsidR="00844558" w:rsidRDefault="00000000">
      <w:pPr>
        <w:spacing w:before="200" w:after="200"/>
        <w:jc w:val="center"/>
      </w:pPr>
      <w:r>
        <w:t>ΔCFI(</w:t>
      </w:r>
      <w:proofErr w:type="gramStart"/>
      <w:r>
        <w:t>j)  =</w:t>
      </w:r>
      <w:proofErr w:type="gramEnd"/>
      <w:r>
        <w:t xml:space="preserve">  Net Cascade</w:t>
      </w:r>
      <w:r>
        <w:rPr>
          <w:sz w:val="20"/>
          <w:szCs w:val="20"/>
          <w:vertAlign w:val="subscript"/>
        </w:rPr>
        <w:t>2021</w:t>
      </w:r>
      <w:r>
        <w:t>(</w:t>
      </w:r>
      <w:proofErr w:type="gramStart"/>
      <w:r>
        <w:t>j)  −</w:t>
      </w:r>
      <w:proofErr w:type="gramEnd"/>
      <w:r>
        <w:t xml:space="preserve">  Net Cascade</w:t>
      </w:r>
      <w:r>
        <w:rPr>
          <w:sz w:val="20"/>
          <w:szCs w:val="20"/>
          <w:vertAlign w:val="subscript"/>
        </w:rPr>
        <w:t>2011</w:t>
      </w:r>
      <w:r>
        <w:t>(j)</w:t>
      </w:r>
    </w:p>
    <w:p w14:paraId="1FF73763" w14:textId="77777777" w:rsidR="00844558" w:rsidRDefault="00000000">
      <w:pPr>
        <w:spacing w:after="120" w:line="276" w:lineRule="auto"/>
      </w:pPr>
      <w:r>
        <w:t>A positive ΔCFI indicates that cascading displacement pressure intensified between the two Census periods; a negative value indicates that pressure weakened.</w:t>
      </w:r>
    </w:p>
    <w:p w14:paraId="6A148A5C" w14:textId="5D7C23F5" w:rsidR="00844558" w:rsidRDefault="006954B6">
      <w:pPr>
        <w:pStyle w:val="Heading1"/>
      </w:pPr>
      <w:r>
        <w:t>3.7 MSOA</w:t>
      </w:r>
      <w:r w:rsidR="00000000">
        <w:t xml:space="preserve"> Gentrification Typology</w:t>
      </w:r>
    </w:p>
    <w:p w14:paraId="310CCA82" w14:textId="77777777" w:rsidR="00844558" w:rsidRDefault="00000000">
      <w:pPr>
        <w:spacing w:after="120" w:line="276" w:lineRule="auto"/>
      </w:pPr>
      <w:r>
        <w:t>Using the sign of the Net Cascade at each time point, every London MSOA is classified into one of four gentrification trajectory types. Table 2 summarises the classification logic.</w:t>
      </w:r>
    </w:p>
    <w:p w14:paraId="52C1A3F5" w14:textId="77777777" w:rsidR="00844558" w:rsidRDefault="00000000">
      <w:pPr>
        <w:spacing w:before="200" w:after="60"/>
      </w:pPr>
      <w:r>
        <w:rPr>
          <w:b/>
          <w:bCs/>
          <w:i/>
          <w:iCs/>
          <w:sz w:val="20"/>
          <w:szCs w:val="20"/>
        </w:rPr>
        <w:t xml:space="preserve">Table 2. </w:t>
      </w:r>
      <w:r>
        <w:rPr>
          <w:i/>
          <w:iCs/>
          <w:sz w:val="20"/>
          <w:szCs w:val="20"/>
        </w:rPr>
        <w:t>MSOA gentrification typology based on two-period cascade pressure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844558" w14:paraId="5DD4469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9BBD9D3" w14:textId="77777777" w:rsidR="00844558" w:rsidRDefault="00000000">
            <w:r>
              <w:rPr>
                <w:b/>
                <w:bCs/>
                <w:sz w:val="20"/>
                <w:szCs w:val="20"/>
              </w:rPr>
              <w:t>Type</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6A05C1A" w14:textId="77777777" w:rsidR="00844558" w:rsidRDefault="00000000">
            <w:r>
              <w:rPr>
                <w:b/>
                <w:bCs/>
                <w:sz w:val="20"/>
                <w:szCs w:val="20"/>
              </w:rPr>
              <w:t>Net Cascade 2011</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0FA333A" w14:textId="77777777" w:rsidR="00844558" w:rsidRDefault="00000000">
            <w:r>
              <w:rPr>
                <w:b/>
                <w:bCs/>
                <w:sz w:val="20"/>
                <w:szCs w:val="20"/>
              </w:rPr>
              <w:t>Net Cascade 2021</w:t>
            </w:r>
          </w:p>
        </w:tc>
        <w:tc>
          <w:tcPr>
            <w:tcW w:w="29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98C137D" w14:textId="77777777" w:rsidR="00844558" w:rsidRDefault="00000000">
            <w:r>
              <w:rPr>
                <w:b/>
                <w:bCs/>
                <w:sz w:val="20"/>
                <w:szCs w:val="20"/>
              </w:rPr>
              <w:t>Interpretation</w:t>
            </w:r>
          </w:p>
        </w:tc>
      </w:tr>
      <w:tr w:rsidR="00844558" w14:paraId="7BCEDB3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A55185" w14:textId="77777777" w:rsidR="00844558" w:rsidRDefault="00000000">
            <w:r>
              <w:rPr>
                <w:sz w:val="20"/>
                <w:szCs w:val="20"/>
              </w:rPr>
              <w:t>Emerging</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353168" w14:textId="77777777" w:rsidR="00844558" w:rsidRDefault="00000000">
            <w:r>
              <w:rPr>
                <w:sz w:val="20"/>
                <w:szCs w:val="20"/>
              </w:rPr>
              <w:t>≤ 0</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B557AB" w14:textId="77777777" w:rsidR="00844558" w:rsidRDefault="00000000">
            <w:r>
              <w:rPr>
                <w:sz w:val="20"/>
                <w:szCs w:val="20"/>
              </w:rPr>
              <w:t>&gt; 0</w:t>
            </w:r>
          </w:p>
        </w:tc>
        <w:tc>
          <w:tcPr>
            <w:tcW w:w="2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F122BF" w14:textId="77777777" w:rsidR="00844558" w:rsidRDefault="00000000">
            <w:r>
              <w:rPr>
                <w:sz w:val="20"/>
                <w:szCs w:val="20"/>
              </w:rPr>
              <w:t>Newly gentrifying: cascade pressure appeared only in the 2021 period</w:t>
            </w:r>
          </w:p>
        </w:tc>
      </w:tr>
      <w:tr w:rsidR="00844558" w14:paraId="706A60E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BDBBE7" w14:textId="77777777" w:rsidR="00844558" w:rsidRDefault="00000000">
            <w:r>
              <w:rPr>
                <w:sz w:val="20"/>
                <w:szCs w:val="20"/>
              </w:rPr>
              <w:t>Sustained</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DE79CB" w14:textId="77777777" w:rsidR="00844558" w:rsidRDefault="00000000">
            <w:r>
              <w:rPr>
                <w:sz w:val="20"/>
                <w:szCs w:val="20"/>
              </w:rPr>
              <w:t>&gt; 0</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F3114E" w14:textId="77777777" w:rsidR="00844558" w:rsidRDefault="00000000">
            <w:r>
              <w:rPr>
                <w:sz w:val="20"/>
                <w:szCs w:val="20"/>
              </w:rPr>
              <w:t>&gt; 0</w:t>
            </w:r>
          </w:p>
        </w:tc>
        <w:tc>
          <w:tcPr>
            <w:tcW w:w="2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EB856D" w14:textId="77777777" w:rsidR="00844558" w:rsidRDefault="00000000">
            <w:r>
              <w:rPr>
                <w:sz w:val="20"/>
                <w:szCs w:val="20"/>
              </w:rPr>
              <w:t>Ongoing gentrification: cascade pressure present in both periods</w:t>
            </w:r>
          </w:p>
        </w:tc>
      </w:tr>
      <w:tr w:rsidR="00844558" w14:paraId="5587655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13F0CE" w14:textId="77777777" w:rsidR="00844558" w:rsidRDefault="00000000">
            <w:r>
              <w:rPr>
                <w:sz w:val="20"/>
                <w:szCs w:val="20"/>
              </w:rPr>
              <w:t>Stalled</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09F0EA" w14:textId="77777777" w:rsidR="00844558" w:rsidRDefault="00000000">
            <w:r>
              <w:rPr>
                <w:sz w:val="20"/>
                <w:szCs w:val="20"/>
              </w:rPr>
              <w:t>&gt; 0</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6C384B" w14:textId="77777777" w:rsidR="00844558" w:rsidRDefault="00000000">
            <w:r>
              <w:rPr>
                <w:sz w:val="20"/>
                <w:szCs w:val="20"/>
              </w:rPr>
              <w:t>≤ 0</w:t>
            </w:r>
          </w:p>
        </w:tc>
        <w:tc>
          <w:tcPr>
            <w:tcW w:w="2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B875AF" w14:textId="77777777" w:rsidR="00844558" w:rsidRDefault="00000000">
            <w:r>
              <w:rPr>
                <w:sz w:val="20"/>
                <w:szCs w:val="20"/>
              </w:rPr>
              <w:t>Gentrification pressure present in 2011 but lost by 2021</w:t>
            </w:r>
          </w:p>
        </w:tc>
      </w:tr>
      <w:tr w:rsidR="00844558" w14:paraId="4C0E11E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484965" w14:textId="77777777" w:rsidR="00844558" w:rsidRDefault="00000000">
            <w:r>
              <w:rPr>
                <w:sz w:val="20"/>
                <w:szCs w:val="20"/>
              </w:rPr>
              <w:t>Stable</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3492C3" w14:textId="77777777" w:rsidR="00844558" w:rsidRDefault="00000000">
            <w:r>
              <w:rPr>
                <w:sz w:val="20"/>
                <w:szCs w:val="20"/>
              </w:rPr>
              <w:t>≤ 0</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EF3256" w14:textId="77777777" w:rsidR="00844558" w:rsidRDefault="00000000">
            <w:r>
              <w:rPr>
                <w:sz w:val="20"/>
                <w:szCs w:val="20"/>
              </w:rPr>
              <w:t>≤ 0</w:t>
            </w:r>
          </w:p>
        </w:tc>
        <w:tc>
          <w:tcPr>
            <w:tcW w:w="2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6ACB81" w14:textId="77777777" w:rsidR="00844558" w:rsidRDefault="00000000">
            <w:r>
              <w:rPr>
                <w:sz w:val="20"/>
                <w:szCs w:val="20"/>
              </w:rPr>
              <w:t>No cascade pressure in either period</w:t>
            </w:r>
          </w:p>
        </w:tc>
      </w:tr>
    </w:tbl>
    <w:p w14:paraId="52D14599" w14:textId="77777777" w:rsidR="00844558" w:rsidRDefault="00844558">
      <w:pPr>
        <w:spacing w:after="120" w:line="276" w:lineRule="auto"/>
      </w:pPr>
    </w:p>
    <w:p w14:paraId="4167DC64" w14:textId="77777777" w:rsidR="00844558" w:rsidRDefault="00000000">
      <w:pPr>
        <w:spacing w:after="120" w:line="276" w:lineRule="auto"/>
      </w:pPr>
      <w:r>
        <w:t>This typology provides a simple but interpretable framework for comparing gentrification trajectories across boroughs and identifying areas where displacement dynamics are emerging, persisting, or receding.</w:t>
      </w:r>
    </w:p>
    <w:p w14:paraId="487ED20D" w14:textId="03020272" w:rsidR="00844558" w:rsidRDefault="006954B6">
      <w:pPr>
        <w:pStyle w:val="Heading1"/>
      </w:pPr>
      <w:r>
        <w:t>3.8 Validation</w:t>
      </w:r>
      <w:r w:rsidR="00000000">
        <w:t xml:space="preserve"> Strategy</w:t>
      </w:r>
    </w:p>
    <w:p w14:paraId="444D21E0" w14:textId="77777777" w:rsidR="00844558" w:rsidRDefault="00000000">
      <w:pPr>
        <w:spacing w:after="120" w:line="276" w:lineRule="auto"/>
      </w:pPr>
      <w:r>
        <w:t xml:space="preserve">Because the CFI is a novel measure, its validity must be tested against an independent indicator. The study employs a </w:t>
      </w:r>
      <w:r>
        <w:rPr>
          <w:b/>
          <w:bCs/>
        </w:rPr>
        <w:t>three-way triangulation</w:t>
      </w:r>
      <w:r>
        <w:t xml:space="preserve"> approach:</w:t>
      </w:r>
    </w:p>
    <w:p w14:paraId="5E197074" w14:textId="77777777" w:rsidR="00844558" w:rsidRDefault="00000000">
      <w:pPr>
        <w:spacing w:after="120" w:line="276" w:lineRule="auto"/>
      </w:pPr>
      <w:r>
        <w:rPr>
          <w:b/>
          <w:bCs/>
        </w:rPr>
        <w:t xml:space="preserve">(a) Cross-sectional validation. </w:t>
      </w:r>
      <w:r>
        <w:t xml:space="preserve">If the CFI captures gentrification pressure, MSOAs with high Net Cascade values should independently exhibit declining deprivation. </w:t>
      </w:r>
      <w:r>
        <w:lastRenderedPageBreak/>
        <w:t>The IMD change between 2010 and 2019 (ΔIMD = IMD 2019 − IMD 2010, where a negative value indicates falling deprivation) is computed for each MSOA. Pearson’s r is calculated between each cascade metric (Net Cascade 2011, Net Cascade 2021) and ΔIMD. A statistically significant negative correlation (high cascade pressure associated with falling deprivation) supports the index’s validity.</w:t>
      </w:r>
    </w:p>
    <w:p w14:paraId="10FC096E" w14:textId="77777777" w:rsidR="00844558" w:rsidRDefault="00000000">
      <w:pPr>
        <w:spacing w:after="120" w:line="276" w:lineRule="auto"/>
      </w:pPr>
      <w:r>
        <w:rPr>
          <w:b/>
          <w:bCs/>
        </w:rPr>
        <w:t xml:space="preserve">(b) Temporal validation. </w:t>
      </w:r>
      <w:r>
        <w:t>The ΔCFI is additionally correlated with ΔIMD. If intensification of cascade pressure predicts larger deprivation decline, this provides a stronger gentrification signal than the level at either single time point.</w:t>
      </w:r>
    </w:p>
    <w:p w14:paraId="30027B08" w14:textId="77777777" w:rsidR="00844558" w:rsidRDefault="00000000">
      <w:pPr>
        <w:spacing w:after="120" w:line="276" w:lineRule="auto"/>
      </w:pPr>
      <w:r>
        <w:rPr>
          <w:b/>
          <w:bCs/>
        </w:rPr>
        <w:t xml:space="preserve">(c) Typology validation. </w:t>
      </w:r>
      <w:r>
        <w:t>The mean ΔIMD is compared across the four gentrification types. If the typology is meaningful, Emerging and Sustained MSOAs should exhibit significantly greater deprivation decline than Stable MSOAs.</w:t>
      </w:r>
    </w:p>
    <w:p w14:paraId="6A36B2FA" w14:textId="33B6196C" w:rsidR="00844558" w:rsidRDefault="006954B6">
      <w:pPr>
        <w:pStyle w:val="Heading1"/>
      </w:pPr>
      <w:r>
        <w:t>3.9 Visualisation</w:t>
      </w:r>
    </w:p>
    <w:p w14:paraId="4F7D0F30" w14:textId="77777777" w:rsidR="00844558" w:rsidRDefault="00000000">
      <w:pPr>
        <w:spacing w:after="120" w:line="276" w:lineRule="auto"/>
      </w:pPr>
      <w:r>
        <w:t xml:space="preserve">The analysis employs several complementary visualisation techniques. Decile-to-decile flow matrices are presented as annotated heatmaps, enabling visual comparison of migration volumes between wealth tiers across the two Census periods. Decile shift distributions are plotted as bar charts to summarise the balance between upward, downward, and lateral moves. Scatter plots of Net Cascade against IMD change, coloured by wealth decile or cascade pressure, provide the primary validation visualisation. The MSOA typology is displayed on a scatter plot of 2011 versus 2021 Net Cascade, with quadrant boundaries at zero separating the four categories. Borough-level summaries present total cascade pressure and ΔCFI as horizontal bar charts. Planned extensions include choropleth maps of the typology using </w:t>
      </w:r>
      <w:proofErr w:type="spellStart"/>
      <w:r>
        <w:t>GeoPandas</w:t>
      </w:r>
      <w:proofErr w:type="spellEnd"/>
      <w:r>
        <w:t xml:space="preserve"> and alluvial (Sankey) diagrams illustrating how flow patterns shifted between 2011 and 2021.</w:t>
      </w:r>
    </w:p>
    <w:p w14:paraId="0BBC93A2" w14:textId="7304EBBB" w:rsidR="00844558" w:rsidRDefault="006954B6">
      <w:pPr>
        <w:pStyle w:val="Heading1"/>
      </w:pPr>
      <w:r>
        <w:t>3.10 Limitations</w:t>
      </w:r>
      <w:r w:rsidR="00000000">
        <w:t xml:space="preserve"> and Caveats</w:t>
      </w:r>
    </w:p>
    <w:p w14:paraId="5C78769B" w14:textId="77777777" w:rsidR="00844558" w:rsidRDefault="00000000">
      <w:pPr>
        <w:spacing w:after="120" w:line="276" w:lineRule="auto"/>
      </w:pPr>
      <w:r>
        <w:t xml:space="preserve">Several limitations should be acknowledged. First, the </w:t>
      </w:r>
      <w:r>
        <w:rPr>
          <w:b/>
          <w:bCs/>
        </w:rPr>
        <w:t>2021 Census</w:t>
      </w:r>
      <w:r>
        <w:t xml:space="preserve"> was conducted on 21 March 2021, during the COVID-19 pandemic, when residential mobility patterns were likely atypical (e.g., temporary migration to less dense areas, paused international in-migration). Comparing 2021 flows with a pre-pandemic 2011 baseline makes this caveat explicit rather than hidden, but results should be interpreted with caution.</w:t>
      </w:r>
    </w:p>
    <w:p w14:paraId="146B0076" w14:textId="77777777" w:rsidR="00844558" w:rsidRDefault="00000000">
      <w:pPr>
        <w:spacing w:after="120" w:line="276" w:lineRule="auto"/>
      </w:pPr>
      <w:r>
        <w:t xml:space="preserve">Second, the CFI uses </w:t>
      </w:r>
      <w:r>
        <w:rPr>
          <w:b/>
          <w:bCs/>
        </w:rPr>
        <w:t>area-based deprivation (IMD)</w:t>
      </w:r>
      <w:r>
        <w:t xml:space="preserve"> as a proxy for the socio-economic status of individual migrants. A person moving from a wealthy MSOA to a deprived one is classified as a ‘downward’ mover even if their personal income is low. Future extensions using NS-SEC-coded O-D data (table ODMG04EW) could partially address this ecological inference problem.</w:t>
      </w:r>
    </w:p>
    <w:p w14:paraId="67FD74C6" w14:textId="77777777" w:rsidR="00844558" w:rsidRDefault="00000000">
      <w:pPr>
        <w:spacing w:after="120" w:line="276" w:lineRule="auto"/>
      </w:pPr>
      <w:r>
        <w:t xml:space="preserve">Third, the exclusion of split and merged MSOAs removes a small number of neighbourhoods from the analysis. While this affects roughly 2.5% of MSOAs </w:t>
      </w:r>
      <w:r>
        <w:lastRenderedPageBreak/>
        <w:t>nationally, the proportion within London should be checked and reported, and any systematically excluded borough noted.</w:t>
      </w:r>
    </w:p>
    <w:p w14:paraId="0175BBD5" w14:textId="77777777" w:rsidR="00844558" w:rsidRDefault="00000000">
      <w:pPr>
        <w:spacing w:after="120" w:line="276" w:lineRule="auto"/>
      </w:pPr>
      <w:r>
        <w:t xml:space="preserve">Fourth, the current CFI is an </w:t>
      </w:r>
      <w:r>
        <w:rPr>
          <w:i/>
          <w:iCs/>
        </w:rPr>
        <w:t>absolute</w:t>
      </w:r>
      <w:r>
        <w:t xml:space="preserve"> count measure and is not normalised by the population at risk of moving (i.e., the total out-flow or in-flow volume). Larger MSOAs may mechanically produce larger cascade values. A population-normalised variant (dividing by total inflow or outflow) should be explored as an extension.</w:t>
      </w:r>
    </w:p>
    <w:p w14:paraId="1CB37D13" w14:textId="77777777" w:rsidR="00844558" w:rsidRDefault="00000000">
      <w:pPr>
        <w:spacing w:after="120" w:line="276" w:lineRule="auto"/>
      </w:pPr>
      <w:r>
        <w:t>Finally, the 2011 O-D data is aggregated from OA-level headcounts obtained via WICID. Rounding or disclosure-control perturbation in the source microdata may introduce minor noise, particularly for small flows.</w:t>
      </w:r>
    </w:p>
    <w:p w14:paraId="2CD1F934" w14:textId="529DDF77" w:rsidR="00844558" w:rsidRDefault="006954B6">
      <w:pPr>
        <w:pStyle w:val="Heading1"/>
      </w:pPr>
      <w:r>
        <w:t>3.11 Ethical</w:t>
      </w:r>
      <w:r w:rsidR="00000000">
        <w:t xml:space="preserve"> Considerations</w:t>
      </w:r>
    </w:p>
    <w:p w14:paraId="0E5200D2" w14:textId="77777777" w:rsidR="00844558" w:rsidRDefault="00000000">
      <w:pPr>
        <w:spacing w:after="120" w:line="276" w:lineRule="auto"/>
      </w:pPr>
      <w:r>
        <w:t xml:space="preserve">This research relies exclusively on secondary, anonymised, and publicly accessible datasets. The Census O-D tables report aggregate migrant counts between statistical geographies; no individual or household-level data is used. The IMD is a publicly released area-level indicator. No personal data is processed, and no ethical approval beyond standard institutional requirements is needed. The 2011 OA-level O-D data obtained from WICID is classified as safeguarded rather than </w:t>
      </w:r>
      <w:proofErr w:type="gramStart"/>
      <w:r>
        <w:t>secure, and</w:t>
      </w:r>
      <w:proofErr w:type="gramEnd"/>
      <w:r>
        <w:t xml:space="preserve"> is used under the applicable UK Data Service End User Licence conditions.</w:t>
      </w:r>
    </w:p>
    <w:sectPr w:rsidR="008445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937EB"/>
    <w:multiLevelType w:val="hybridMultilevel"/>
    <w:tmpl w:val="35E025A2"/>
    <w:lvl w:ilvl="0" w:tplc="2EEC6596">
      <w:start w:val="1"/>
      <w:numFmt w:val="bullet"/>
      <w:lvlText w:val="●"/>
      <w:lvlJc w:val="left"/>
      <w:pPr>
        <w:ind w:left="720" w:hanging="360"/>
      </w:pPr>
    </w:lvl>
    <w:lvl w:ilvl="1" w:tplc="CA0A5D00">
      <w:start w:val="1"/>
      <w:numFmt w:val="bullet"/>
      <w:lvlText w:val="○"/>
      <w:lvlJc w:val="left"/>
      <w:pPr>
        <w:ind w:left="1440" w:hanging="360"/>
      </w:pPr>
    </w:lvl>
    <w:lvl w:ilvl="2" w:tplc="36968D20">
      <w:start w:val="1"/>
      <w:numFmt w:val="bullet"/>
      <w:lvlText w:val="■"/>
      <w:lvlJc w:val="left"/>
      <w:pPr>
        <w:ind w:left="2160" w:hanging="360"/>
      </w:pPr>
    </w:lvl>
    <w:lvl w:ilvl="3" w:tplc="A8FEA5E4">
      <w:start w:val="1"/>
      <w:numFmt w:val="bullet"/>
      <w:lvlText w:val="●"/>
      <w:lvlJc w:val="left"/>
      <w:pPr>
        <w:ind w:left="2880" w:hanging="360"/>
      </w:pPr>
    </w:lvl>
    <w:lvl w:ilvl="4" w:tplc="9A843D30">
      <w:start w:val="1"/>
      <w:numFmt w:val="bullet"/>
      <w:lvlText w:val="○"/>
      <w:lvlJc w:val="left"/>
      <w:pPr>
        <w:ind w:left="3600" w:hanging="360"/>
      </w:pPr>
    </w:lvl>
    <w:lvl w:ilvl="5" w:tplc="AF9EEC66">
      <w:start w:val="1"/>
      <w:numFmt w:val="bullet"/>
      <w:lvlText w:val="■"/>
      <w:lvlJc w:val="left"/>
      <w:pPr>
        <w:ind w:left="4320" w:hanging="360"/>
      </w:pPr>
    </w:lvl>
    <w:lvl w:ilvl="6" w:tplc="AA7CEC20">
      <w:start w:val="1"/>
      <w:numFmt w:val="bullet"/>
      <w:lvlText w:val="●"/>
      <w:lvlJc w:val="left"/>
      <w:pPr>
        <w:ind w:left="5040" w:hanging="360"/>
      </w:pPr>
    </w:lvl>
    <w:lvl w:ilvl="7" w:tplc="20F229CE">
      <w:start w:val="1"/>
      <w:numFmt w:val="bullet"/>
      <w:lvlText w:val="●"/>
      <w:lvlJc w:val="left"/>
      <w:pPr>
        <w:ind w:left="5760" w:hanging="360"/>
      </w:pPr>
    </w:lvl>
    <w:lvl w:ilvl="8" w:tplc="1FB027D4">
      <w:start w:val="1"/>
      <w:numFmt w:val="bullet"/>
      <w:lvlText w:val="●"/>
      <w:lvlJc w:val="left"/>
      <w:pPr>
        <w:ind w:left="6480" w:hanging="360"/>
      </w:pPr>
    </w:lvl>
  </w:abstractNum>
  <w:num w:numId="1" w16cid:durableId="1448697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558"/>
    <w:rsid w:val="0035485C"/>
    <w:rsid w:val="006954B6"/>
    <w:rsid w:val="0084455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AC633D"/>
  <w15:docId w15:val="{8B634F39-A55B-3A4B-AF4D-A257C4C4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semiHidden/>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2034</Words>
  <Characters>11600</Characters>
  <Application>Microsoft Office Word</Application>
  <DocSecurity>0</DocSecurity>
  <Lines>96</Lines>
  <Paragraphs>27</Paragraphs>
  <ScaleCrop>false</ScaleCrop>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Olivia Xing</cp:lastModifiedBy>
  <cp:revision>2</cp:revision>
  <dcterms:created xsi:type="dcterms:W3CDTF">2026-05-14T16:03:00Z</dcterms:created>
  <dcterms:modified xsi:type="dcterms:W3CDTF">2026-05-14T16:08:00Z</dcterms:modified>
</cp:coreProperties>
</file>