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rFonts w:ascii="Times New Roman" w:cs="Times New Roman" w:eastAsia="Times New Roman" w:hAnsi="Times New Roman"/>
          <w:b/>
          <w:bCs/>
          <w:sz w:val="36"/>
          <w:szCs w:val="36"/>
        </w:rPr>
        <w:t xml:space="preserve">Appendices</w:t>
      </w:r>
    </w:p>
    <w:p>
      <w:pPr>
        <w:pStyle w:val="Heading1"/>
        <w:spacing w:after="200" w:before="400"/>
      </w:pPr>
      <w:r>
        <w:rPr>
          <w:rFonts w:ascii="Times New Roman" w:cs="Times New Roman" w:eastAsia="Times New Roman" w:hAnsi="Times New Roman"/>
          <w:b/>
          <w:bCs/>
          <w:sz w:val="28"/>
          <w:szCs w:val="28"/>
        </w:rPr>
        <w:t xml:space="preserve">Appendix A. Harmonisation and Exclusion Pipeline</w:t>
      </w:r>
    </w:p>
    <w:p>
      <w:pPr>
        <w:spacing w:after="120" w:line="360"/>
        <w:jc w:val="both"/>
      </w:pPr>
      <w:r>
        <w:rPr>
          <w:rFonts w:ascii="Times New Roman" w:cs="Times New Roman" w:eastAsia="Times New Roman" w:hAnsi="Times New Roman"/>
          <w:sz w:val="24"/>
          <w:szCs w:val="24"/>
        </w:rPr>
        <w:t xml:space="preserve">This appendix documents the spatial harmonisation procedure and exclusion criteria applied to Census origin–destination migration data before flow measures are constructed. All datasets are mapped to 2011 MSOA geography to ensure temporal consistency between the 2011 and 2021 census periods.</w:t>
      </w:r>
    </w:p>
    <w:p>
      <w:pPr>
        <w:pStyle w:val="Heading2"/>
        <w:spacing w:after="150" w:before="300"/>
      </w:pPr>
      <w:r>
        <w:rPr>
          <w:rFonts w:ascii="Times New Roman" w:cs="Times New Roman" w:eastAsia="Times New Roman" w:hAnsi="Times New Roman"/>
          <w:b/>
          <w:bCs/>
          <w:sz w:val="24"/>
          <w:szCs w:val="24"/>
        </w:rPr>
        <w:t xml:space="preserve">A.1 Geography Harmonisation</w:t>
      </w:r>
    </w:p>
    <w:p>
      <w:pPr>
        <w:spacing w:after="120" w:line="360"/>
        <w:jc w:val="both"/>
      </w:pPr>
      <w:r>
        <w:rPr>
          <w:rFonts w:ascii="Times New Roman" w:cs="Times New Roman" w:eastAsia="Times New Roman" w:hAnsi="Times New Roman"/>
          <w:sz w:val="24"/>
          <w:szCs w:val="24"/>
        </w:rPr>
        <w:t xml:space="preserve">The 2011 Census O-D data are recorded at Output Area level and aggregated to MSOAs using the ONS postcode-to-MSOA lookup. The 2021 Census O-D data are recorded at MSOA level using 2021 boundaries, which are mapped back to 2011 equivalents using the ONS MSOA 2011-to-2021 correspondence file.</w:t>
      </w:r>
    </w:p>
    <w:p>
      <w:pPr>
        <w:spacing w:after="120" w:line="360"/>
        <w:jc w:val="both"/>
      </w:pPr>
      <w:r>
        <w:rPr>
          <w:rFonts w:ascii="Times New Roman" w:cs="Times New Roman" w:eastAsia="Times New Roman" w:hAnsi="Times New Roman"/>
          <w:sz w:val="24"/>
          <w:szCs w:val="24"/>
        </w:rPr>
        <w:t xml:space="preserve">Three cases arise in the 2021-to-2011 mapping. Unchanged MSOAs (those with one-to-one correspondences between geographies) are mapped directly. Split MSOAs, where a single 2011 unit was divided into multiple 2021 units, are reconstructed by aggregating the 2021 children back to their 2011 parent. Merged MSOAs, where multiple 2011 units were combined into a single 2021 unit, are represented by the 2021 composite. One such merge occurs in Camden, where two adjacent 2011 MSOAs were consolidated into a single 2021 zone; flows involving either parent are attributed to the merged unit. These procedures produce 982 temporally consistent analytical zones.</w:t>
      </w:r>
    </w:p>
    <w:p>
      <w:pPr>
        <w:spacing w:after="120" w:line="360"/>
        <w:jc w:val="both"/>
      </w:pPr>
      <w:r>
        <w:rPr>
          <w:rFonts w:ascii="Times New Roman" w:cs="Times New Roman" w:eastAsia="Times New Roman" w:hAnsi="Times New Roman"/>
          <w:sz w:val="24"/>
          <w:szCs w:val="24"/>
        </w:rPr>
        <w:t xml:space="preserve">The earlier geography is retained because backward aggregation preserves observed flow totals. Mapping 2011 flows onto later split areas would require unobserved allocation of origins and destinations within the parent zone.</w:t>
      </w:r>
    </w:p>
    <w:p>
      <w:pPr>
        <w:pStyle w:val="Heading2"/>
        <w:spacing w:after="150" w:before="300"/>
      </w:pPr>
      <w:r>
        <w:rPr>
          <w:rFonts w:ascii="Times New Roman" w:cs="Times New Roman" w:eastAsia="Times New Roman" w:hAnsi="Times New Roman"/>
          <w:b/>
          <w:bCs/>
          <w:sz w:val="24"/>
          <w:szCs w:val="24"/>
        </w:rPr>
        <w:t xml:space="preserve">A.2 IMD Aggregation from LSOA to MSOA</w:t>
      </w:r>
    </w:p>
    <w:p>
      <w:pPr>
        <w:spacing w:after="120" w:line="360"/>
        <w:jc w:val="both"/>
      </w:pPr>
      <w:r>
        <w:rPr>
          <w:rFonts w:ascii="Times New Roman" w:cs="Times New Roman" w:eastAsia="Times New Roman" w:hAnsi="Times New Roman"/>
          <w:sz w:val="24"/>
          <w:szCs w:val="24"/>
        </w:rPr>
        <w:t xml:space="preserve">No official MSOA-level IMD file is available from MHCLG; IoD2019 summary measures were published only at Local Authority level. Both the 2010 and 2019 IMD releases are therefore aggregated from LSOA to MSOA using population-weighted mean scores, with year-matched population weights: 2011 Census usual-resident population (KS101EW) for IMD 2010, and mid-2015 population estimates (shipped in the IMD 2019 file) for IMD 2019. After aggregation, MSOAs are re-ranked on the aggregated score within each release, producing London-relative ranks and percentiles. This mirrors MHCLG’s “rank of average score” approach.</w:t>
      </w:r>
    </w:p>
    <w:p>
      <w:pPr>
        <w:spacing w:after="120" w:line="360"/>
        <w:jc w:val="both"/>
      </w:pPr>
      <w:r>
        <w:rPr>
          <w:rFonts w:ascii="Times New Roman" w:cs="Times New Roman" w:eastAsia="Times New Roman" w:hAnsi="Times New Roman"/>
          <w:sz w:val="24"/>
          <w:szCs w:val="24"/>
        </w:rPr>
        <w:t xml:space="preserve">Three sensitivity tests confirm that the aggregation is robust. First, re-aggregating 2010 scores using mid-2015 weights instead of 2011 Census weights produces a Spearman correlation of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sz w:val="24"/>
          <w:szCs w:val="24"/>
        </w:rPr>
        <w:t xml:space="preserve"> ≈ 1.00 with the baseline. Second, weighted and unweighted (simple mean) MSOA scores correlate at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sz w:val="24"/>
          <w:szCs w:val="24"/>
        </w:rPr>
        <w:t xml:space="preserve"> ≈ 1.00 for both releases. Third, percentile change computed with year-matched weights and with a single common weight (mid-2015) correlates at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sz w:val="24"/>
          <w:szCs w:val="24"/>
        </w:rPr>
        <w:t xml:space="preserve"> &gt; 0.99, with a mean absolute difference below 0.005. The population-weight choice is therefore immaterial to the analysis.</w:t>
      </w:r>
    </w:p>
    <w:p>
      <w:pPr>
        <w:pStyle w:val="Heading2"/>
        <w:spacing w:after="150" w:before="300"/>
      </w:pPr>
      <w:r>
        <w:rPr>
          <w:rFonts w:ascii="Times New Roman" w:cs="Times New Roman" w:eastAsia="Times New Roman" w:hAnsi="Times New Roman"/>
          <w:b/>
          <w:bCs/>
          <w:sz w:val="24"/>
          <w:szCs w:val="24"/>
        </w:rPr>
        <w:t xml:space="preserve">A.3 Endpoint Classification and Exclusion Waterfall</w:t>
      </w:r>
    </w:p>
    <w:p>
      <w:pPr>
        <w:spacing w:after="120" w:line="360"/>
        <w:jc w:val="both"/>
      </w:pPr>
      <w:r>
        <w:rPr>
          <w:rFonts w:ascii="Times New Roman" w:cs="Times New Roman" w:eastAsia="Times New Roman" w:hAnsi="Times New Roman"/>
          <w:sz w:val="24"/>
          <w:szCs w:val="24"/>
        </w:rPr>
        <w:t xml:space="preserve">Each origin and destination in the O-D data is classified into one of several endpoint categories before flows are filtered. A flow is retained in the London-internal dataset when both endpoints correspond to different London MSOAs with valid deprivation classifications. Within-MSOA moves are excluded because they cannot be positioned across the neighbourhood hierarchy. Flows with one London endpoint and one non-London endpoint are retained separately for the Frame C analysis, with all non-London locations represented by a synthetic external node.</w:t>
      </w:r>
    </w:p>
    <w:p>
      <w:pPr>
        <w:spacing w:after="120" w:line="360"/>
        <w:jc w:val="both"/>
      </w:pPr>
      <w:r>
        <w:rPr>
          <w:rFonts w:ascii="Times New Roman" w:cs="Times New Roman" w:eastAsia="Times New Roman" w:hAnsi="Times New Roman"/>
          <w:sz w:val="24"/>
          <w:szCs w:val="24"/>
        </w:rPr>
        <w:t xml:space="preserve">The exclusion waterfall removes flows involving endpoints that fall outside the analytical scope: non-residential institutional codes, codes not mappable to the 2011 MSOA geography, Scottish and Welsh codes, and records with missing or unresolvable identifiers. In both census periods, the retained London-internal flows account for the vast majority of all migration records involving London endpoints, with excluded flows constituting approximately 0.05% of the total.</w:t>
      </w:r>
    </w:p>
    <w:p>
      <w:pPr>
        <w:pStyle w:val="Heading2"/>
        <w:spacing w:after="150" w:before="300"/>
      </w:pPr>
      <w:r>
        <w:rPr>
          <w:rFonts w:ascii="Times New Roman" w:cs="Times New Roman" w:eastAsia="Times New Roman" w:hAnsi="Times New Roman"/>
          <w:b/>
          <w:bCs/>
          <w:sz w:val="24"/>
          <w:szCs w:val="24"/>
        </w:rPr>
        <w:t xml:space="preserve">A.4 Resolution of Missing 2021 MSOAs</w:t>
      </w:r>
    </w:p>
    <w:p>
      <w:pPr>
        <w:spacing w:after="120" w:line="360"/>
        <w:jc w:val="both"/>
      </w:pPr>
      <w:r>
        <w:rPr>
          <w:rFonts w:ascii="Times New Roman" w:cs="Times New Roman" w:eastAsia="Times New Roman" w:hAnsi="Times New Roman"/>
          <w:sz w:val="24"/>
          <w:szCs w:val="24"/>
        </w:rPr>
        <w:t xml:space="preserve">An earlier processing build produced apparent zero-flow records for 20 analytical MSOAs because the 2021-to-2011 geography reconstruction was incomplete. The correspondence procedure was re-run with the full ONS lookup including split and merged MSOA mappings. This restored valid migration records for all 982 MSOAs. The final dataset therefore contains no excluded or separately suppressed analytical zones.</w:t>
      </w:r>
    </w:p>
    <w:p>
      <w:pPr>
        <w:pStyle w:val="Heading2"/>
        <w:spacing w:after="150" w:before="300"/>
      </w:pPr>
      <w:r>
        <w:rPr>
          <w:rFonts w:ascii="Times New Roman" w:cs="Times New Roman" w:eastAsia="Times New Roman" w:hAnsi="Times New Roman"/>
          <w:b/>
          <w:bCs/>
          <w:sz w:val="24"/>
          <w:szCs w:val="24"/>
        </w:rPr>
        <w:t xml:space="preserve">A.5 External-Node Assignment</w:t>
      </w:r>
    </w:p>
    <w:p>
      <w:pPr>
        <w:spacing w:after="120" w:line="360"/>
        <w:jc w:val="both"/>
      </w:pPr>
      <w:r>
        <w:rPr>
          <w:rFonts w:ascii="Times New Roman" w:cs="Times New Roman" w:eastAsia="Times New Roman" w:hAnsi="Times New Roman"/>
          <w:sz w:val="24"/>
          <w:szCs w:val="24"/>
        </w:rPr>
        <w:t xml:space="preserve">The synthetic external node is assigned national Decile 6, corresponding to the rounded mean deprivation position of non-London MSOAs weighted by their migration exchange with London. This assignment determines how boundary-crossing flows are classified directionally: for London MSOAs above Decile 6 on the national hierarchy, external departures count as poorer-directed outflow, while for those below Decile 6, external arrivals count as wealthier-directed inflow. Approximately 69% of London MSOAs sit in national Deciles 1–5, so the majority of external inflows are classified as arrivals from wealthier areas.</w:t>
      </w:r>
    </w:p>
    <w:p>
      <w:pPr>
        <w:spacing w:after="100" w:before="100"/>
        <w:jc w:val="center"/>
      </w:pPr>
      <w:r>
        <w:rPr>
          <w:rFonts w:ascii="Times New Roman" w:cs="Times New Roman" w:eastAsia="Times New Roman" w:hAnsi="Times New Roman"/>
          <w:color w:val="888888"/>
          <w:sz w:val="22"/>
          <w:szCs w:val="22"/>
        </w:rPr>
        <w:t xml:space="preserve">[Table A.1. Exclusion waterfall: flow counts and persons removed by category and census year.]</w:t>
      </w:r>
    </w:p>
    <w:p>
      <w:pPr>
        <w:pStyle w:val="Heading2"/>
        <w:spacing w:after="150" w:before="300"/>
      </w:pPr>
      <w:r>
        <w:rPr>
          <w:rFonts w:ascii="Times New Roman" w:cs="Times New Roman" w:eastAsia="Times New Roman" w:hAnsi="Times New Roman"/>
          <w:b/>
          <w:bCs/>
          <w:sz w:val="24"/>
          <w:szCs w:val="24"/>
        </w:rPr>
        <w:t xml:space="preserve">A.6 Baseline Robustness: IMD 2010 versus IMD 2019 Deciles</w:t>
      </w:r>
    </w:p>
    <w:p>
      <w:pPr>
        <w:spacing w:after="120" w:line="360"/>
        <w:jc w:val="both"/>
      </w:pPr>
      <w:r>
        <w:rPr>
          <w:rFonts w:ascii="Times New Roman" w:cs="Times New Roman" w:eastAsia="Times New Roman" w:hAnsi="Times New Roman"/>
          <w:sz w:val="24"/>
          <w:szCs w:val="24"/>
        </w:rPr>
        <w:t xml:space="preserve">As a further check on the fixed-baseline design, the IMD 2010 and IMD 2019 decile assignments are compared directly. Spearman rank correlation between the two decile classifications is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sz w:val="24"/>
          <w:szCs w:val="24"/>
        </w:rPr>
        <w:t xml:space="preserve"> ≈ 0.97, and Cohen’s weighted kappa (linear weights) exceeds 0.90, indicating strong ordinal agreement. A cross-tabulation shows that the majority of MSOAs remain in the same or an adjacent decile across the two releases. The fixed-baseline specification is therefore robust to the choice of IMD release year.</w:t>
      </w:r>
    </w:p>
    <w:p>
      <w:r>
        <w:br w:type="page"/>
      </w:r>
    </w:p>
    <w:p>
      <w:pPr>
        <w:pStyle w:val="Heading1"/>
        <w:spacing w:after="200" w:before="400"/>
      </w:pPr>
      <w:r>
        <w:rPr>
          <w:rFonts w:ascii="Times New Roman" w:cs="Times New Roman" w:eastAsia="Times New Roman" w:hAnsi="Times New Roman"/>
          <w:b/>
          <w:bCs/>
          <w:sz w:val="28"/>
          <w:szCs w:val="28"/>
        </w:rPr>
        <w:t xml:space="preserve">Appendix B. Metric Landscape, Correlation Architecture, and Redundancy Assessment</w:t>
      </w:r>
    </w:p>
    <w:p>
      <w:pPr>
        <w:spacing w:after="120" w:line="360"/>
        <w:jc w:val="both"/>
      </w:pPr>
      <w:r>
        <w:rPr>
          <w:rFonts w:ascii="Times New Roman" w:cs="Times New Roman" w:eastAsia="Times New Roman" w:hAnsi="Times New Roman"/>
          <w:sz w:val="24"/>
          <w:szCs w:val="24"/>
        </w:rPr>
        <w:t xml:space="preserve">This appendix reports the full suite of flow metrics considered during the design of the classification framework (Section 3.7), the correlation structure among them, and the rationale for retaining only Cascade_Dominance and Cross_Decile_Share as the two derived measures.</w:t>
      </w:r>
    </w:p>
    <w:p>
      <w:pPr>
        <w:pStyle w:val="Heading2"/>
        <w:spacing w:after="150" w:before="300"/>
      </w:pPr>
      <w:r>
        <w:rPr>
          <w:rFonts w:ascii="Times New Roman" w:cs="Times New Roman" w:eastAsia="Times New Roman" w:hAnsi="Times New Roman"/>
          <w:b/>
          <w:bCs/>
          <w:sz w:val="24"/>
          <w:szCs w:val="24"/>
        </w:rPr>
        <w:t xml:space="preserve">B.1 Full Metric Families</w:t>
      </w:r>
    </w:p>
    <w:p>
      <w:pPr>
        <w:spacing w:after="120" w:line="360"/>
        <w:jc w:val="both"/>
      </w:pPr>
      <w:r>
        <w:rPr>
          <w:rFonts w:ascii="Times New Roman" w:cs="Times New Roman" w:eastAsia="Times New Roman" w:hAnsi="Times New Roman"/>
          <w:sz w:val="24"/>
          <w:szCs w:val="24"/>
        </w:rPr>
        <w:t xml:space="preserve">Eight base metrics are computed from the four elementary flows for each MSOA and census period. These fall into two structurally parallel families.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3400"/>
      </w:tblGrid>
      <w:tr>
        <w:trPr>
          <w:tblHeader/>
        </w:trPr>
        <w:tc>
          <w:tcPr>
            <w:tcW w:type="dxa" w:w="1800"/>
            <w:shd w:fill="D9E2F3" w:color="auto" w:val="clear"/>
          </w:tcPr>
          <w:p>
            <w:pPr>
              <w:jc w:val="center"/>
            </w:pPr>
            <w:r>
              <w:rPr>
                <w:rFonts w:ascii="Times New Roman" w:cs="Times New Roman" w:eastAsia="Times New Roman" w:hAnsi="Times New Roman"/>
                <w:b/>
                <w:bCs/>
                <w:sz w:val="20"/>
                <w:szCs w:val="20"/>
              </w:rPr>
              <w:t xml:space="preserve">Family</w:t>
            </w:r>
          </w:p>
        </w:tc>
        <w:tc>
          <w:tcPr>
            <w:tcW w:type="dxa" w:w="2400"/>
            <w:shd w:fill="D9E2F3" w:color="auto" w:val="clear"/>
          </w:tcPr>
          <w:p>
            <w:pPr>
              <w:jc w:val="center"/>
            </w:pPr>
            <w:r>
              <w:rPr>
                <w:rFonts w:ascii="Times New Roman" w:cs="Times New Roman" w:eastAsia="Times New Roman" w:hAnsi="Times New Roman"/>
                <w:b/>
                <w:bCs/>
                <w:sz w:val="20"/>
                <w:szCs w:val="20"/>
              </w:rPr>
              <w:t xml:space="preserve">Metric</w:t>
            </w:r>
          </w:p>
        </w:tc>
        <w:tc>
          <w:tcPr>
            <w:tcW w:type="dxa" w:w="3200"/>
            <w:shd w:fill="D9E2F3" w:color="auto" w:val="clear"/>
          </w:tcPr>
          <w:p>
            <w:pPr>
              <w:jc w:val="center"/>
            </w:pPr>
            <w:r>
              <w:rPr>
                <w:rFonts w:ascii="Times New Roman" w:cs="Times New Roman" w:eastAsia="Times New Roman" w:hAnsi="Times New Roman"/>
                <w:b/>
                <w:bCs/>
                <w:sz w:val="20"/>
                <w:szCs w:val="20"/>
              </w:rPr>
              <w:t xml:space="preserve">Formula</w:t>
            </w:r>
          </w:p>
        </w:tc>
        <w:tc>
          <w:tcPr>
            <w:tcW w:type="dxa" w:w="3400"/>
            <w:shd w:fill="D9E2F3" w:color="auto" w:val="clear"/>
          </w:tcPr>
          <w:p>
            <w:pPr>
              <w:jc w:val="center"/>
            </w:pPr>
            <w:r>
              <w:rPr>
                <w:rFonts w:ascii="Times New Roman" w:cs="Times New Roman" w:eastAsia="Times New Roman" w:hAnsi="Times New Roman"/>
                <w:b/>
                <w:bCs/>
                <w:sz w:val="20"/>
                <w:szCs w:val="20"/>
              </w:rPr>
              <w:t xml:space="preserve">Interpretation</w:t>
            </w:r>
          </w:p>
        </w:tc>
      </w:tr>
      <w:tr>
        <w:tc>
          <w:tcPr>
            <w:tcW w:type="dxa" w:w="1800"/>
          </w:tcPr>
          <w:p>
            <w:pPr>
              <w:jc w:val="left"/>
            </w:pPr>
            <w:r>
              <w:rPr>
                <w:rFonts w:ascii="Times New Roman" w:cs="Times New Roman" w:eastAsia="Times New Roman" w:hAnsi="Times New Roman"/>
                <w:sz w:val="20"/>
                <w:szCs w:val="20"/>
              </w:rPr>
              <w:t xml:space="preserve">Cascade</w:t>
            </w:r>
          </w:p>
        </w:tc>
        <w:tc>
          <w:tcPr>
            <w:tcW w:type="dxa" w:w="2400"/>
          </w:tcPr>
          <w:p>
            <w:pPr>
              <w:jc w:val="left"/>
            </w:pPr>
            <w:r>
              <w:rPr>
                <w:rFonts w:ascii="Times New Roman" w:cs="Times New Roman" w:eastAsia="Times New Roman" w:hAnsi="Times New Roman"/>
                <w:sz w:val="20"/>
                <w:szCs w:val="20"/>
              </w:rPr>
              <w:t xml:space="preserve">Net_Cascade</w:t>
            </w:r>
          </w:p>
        </w:tc>
        <w:tc>
          <w:tcPr>
            <w:tcW w:type="dxa" w:w="3200"/>
          </w:tcPr>
          <w:p>
            <w:pPr>
              <w:jc w:val="left"/>
            </w:pPr>
            <w:r>
              <w:rPr>
                <w:rFonts w:ascii="Times New Roman" w:cs="Times New Roman" w:eastAsia="Times New Roman" w:hAnsi="Times New Roman"/>
                <w:sz w:val="20"/>
                <w:szCs w:val="20"/>
              </w:rPr>
              <w:t xml:space="preserve">Inflow_Wealthier − Outflow_Poorer</w:t>
            </w:r>
          </w:p>
        </w:tc>
        <w:tc>
          <w:tcPr>
            <w:tcW w:type="dxa" w:w="3400"/>
          </w:tcPr>
          <w:p>
            <w:pPr>
              <w:jc w:val="left"/>
            </w:pPr>
            <w:r>
              <w:rPr>
                <w:rFonts w:ascii="Times New Roman" w:cs="Times New Roman" w:eastAsia="Times New Roman" w:hAnsi="Times New Roman"/>
                <w:sz w:val="20"/>
                <w:szCs w:val="20"/>
              </w:rPr>
              <w:t xml:space="preserve">Directional balance of cascade flows</w:t>
            </w:r>
          </w:p>
        </w:tc>
      </w:tr>
      <w:tr>
        <w:tc>
          <w:tcPr>
            <w:tcW w:type="dxa" w:w="1800"/>
          </w:tcPr>
          <w:p>
            <w:pPr>
              <w:jc w:val="left"/>
            </w:pPr>
            <w:r>
              <w:rPr>
                <w:rFonts w:ascii="Times New Roman" w:cs="Times New Roman" w:eastAsia="Times New Roman" w:hAnsi="Times New Roman"/>
                <w:sz w:val="20"/>
                <w:szCs w:val="20"/>
              </w:rPr>
              <w:t xml:space="preserve">Cascade</w:t>
            </w:r>
          </w:p>
        </w:tc>
        <w:tc>
          <w:tcPr>
            <w:tcW w:type="dxa" w:w="2400"/>
          </w:tcPr>
          <w:p>
            <w:pPr>
              <w:jc w:val="left"/>
            </w:pPr>
            <w:r>
              <w:rPr>
                <w:rFonts w:ascii="Times New Roman" w:cs="Times New Roman" w:eastAsia="Times New Roman" w:hAnsi="Times New Roman"/>
                <w:sz w:val="20"/>
                <w:szCs w:val="20"/>
              </w:rPr>
              <w:t xml:space="preserve">CFI_Churn</w:t>
            </w:r>
          </w:p>
        </w:tc>
        <w:tc>
          <w:tcPr>
            <w:tcW w:type="dxa" w:w="3200"/>
          </w:tcPr>
          <w:p>
            <w:pPr>
              <w:jc w:val="left"/>
            </w:pPr>
            <w:r>
              <w:rPr>
                <w:rFonts w:ascii="Times New Roman" w:cs="Times New Roman" w:eastAsia="Times New Roman" w:hAnsi="Times New Roman"/>
                <w:sz w:val="20"/>
                <w:szCs w:val="20"/>
              </w:rPr>
              <w:t xml:space="preserve">Inflow_Wealthier + Outflow_Poorer</w:t>
            </w:r>
          </w:p>
        </w:tc>
        <w:tc>
          <w:tcPr>
            <w:tcW w:type="dxa" w:w="3400"/>
          </w:tcPr>
          <w:p>
            <w:pPr>
              <w:jc w:val="left"/>
            </w:pPr>
            <w:r>
              <w:rPr>
                <w:rFonts w:ascii="Times New Roman" w:cs="Times New Roman" w:eastAsia="Times New Roman" w:hAnsi="Times New Roman"/>
                <w:sz w:val="20"/>
                <w:szCs w:val="20"/>
              </w:rPr>
              <w:t xml:space="preserve">Total intensity of cascade-direction flows</w:t>
            </w:r>
          </w:p>
        </w:tc>
      </w:tr>
      <w:tr>
        <w:tc>
          <w:tcPr>
            <w:tcW w:type="dxa" w:w="1800"/>
          </w:tcPr>
          <w:p>
            <w:pPr>
              <w:jc w:val="left"/>
            </w:pPr>
            <w:r>
              <w:rPr>
                <w:rFonts w:ascii="Times New Roman" w:cs="Times New Roman" w:eastAsia="Times New Roman" w:hAnsi="Times New Roman"/>
                <w:sz w:val="20"/>
                <w:szCs w:val="20"/>
              </w:rPr>
              <w:t xml:space="preserve">Cascade</w:t>
            </w:r>
          </w:p>
        </w:tc>
        <w:tc>
          <w:tcPr>
            <w:tcW w:type="dxa" w:w="2400"/>
          </w:tcPr>
          <w:p>
            <w:pPr>
              <w:jc w:val="left"/>
            </w:pPr>
            <w:r>
              <w:rPr>
                <w:rFonts w:ascii="Times New Roman" w:cs="Times New Roman" w:eastAsia="Times New Roman" w:hAnsi="Times New Roman"/>
                <w:sz w:val="20"/>
                <w:szCs w:val="20"/>
              </w:rPr>
              <w:t xml:space="preserve">CFI_Rate</w:t>
            </w:r>
          </w:p>
        </w:tc>
        <w:tc>
          <w:tcPr>
            <w:tcW w:type="dxa" w:w="3200"/>
          </w:tcPr>
          <w:p>
            <w:pPr>
              <w:jc w:val="left"/>
            </w:pPr>
            <w:r>
              <w:rPr>
                <w:rFonts w:ascii="Times New Roman" w:cs="Times New Roman" w:eastAsia="Times New Roman" w:hAnsi="Times New Roman"/>
                <w:sz w:val="20"/>
                <w:szCs w:val="20"/>
              </w:rPr>
              <w:t xml:space="preserve">(IW × OP) / Total_Migration</w:t>
            </w:r>
          </w:p>
        </w:tc>
        <w:tc>
          <w:tcPr>
            <w:tcW w:type="dxa" w:w="3400"/>
          </w:tcPr>
          <w:p>
            <w:pPr>
              <w:jc w:val="left"/>
            </w:pPr>
            <w:r>
              <w:rPr>
                <w:rFonts w:ascii="Times New Roman" w:cs="Times New Roman" w:eastAsia="Times New Roman" w:hAnsi="Times New Roman"/>
                <w:sz w:val="20"/>
                <w:szCs w:val="20"/>
              </w:rPr>
              <w:t xml:space="preserve">Co-occurrence, normalised by volume</w:t>
            </w:r>
          </w:p>
        </w:tc>
      </w:tr>
      <w:tr>
        <w:tc>
          <w:tcPr>
            <w:tcW w:type="dxa" w:w="1800"/>
          </w:tcPr>
          <w:p>
            <w:pPr>
              <w:jc w:val="left"/>
            </w:pPr>
            <w:r>
              <w:rPr>
                <w:rFonts w:ascii="Times New Roman" w:cs="Times New Roman" w:eastAsia="Times New Roman" w:hAnsi="Times New Roman"/>
                <w:sz w:val="20"/>
                <w:szCs w:val="20"/>
              </w:rPr>
              <w:t xml:space="preserve">Cascade</w:t>
            </w:r>
          </w:p>
        </w:tc>
        <w:tc>
          <w:tcPr>
            <w:tcW w:type="dxa" w:w="2400"/>
          </w:tcPr>
          <w:p>
            <w:pPr>
              <w:jc w:val="left"/>
            </w:pPr>
            <w:r>
              <w:rPr>
                <w:rFonts w:ascii="Times New Roman" w:cs="Times New Roman" w:eastAsia="Times New Roman" w:hAnsi="Times New Roman"/>
                <w:sz w:val="20"/>
                <w:szCs w:val="20"/>
              </w:rPr>
              <w:t xml:space="preserve">Pct_Inflow_Wealthier</w:t>
            </w:r>
          </w:p>
        </w:tc>
        <w:tc>
          <w:tcPr>
            <w:tcW w:type="dxa" w:w="3200"/>
          </w:tcPr>
          <w:p>
            <w:pPr>
              <w:jc w:val="left"/>
            </w:pPr>
            <w:r>
              <w:rPr>
                <w:rFonts w:ascii="Times New Roman" w:cs="Times New Roman" w:eastAsia="Times New Roman" w:hAnsi="Times New Roman"/>
                <w:sz w:val="20"/>
                <w:szCs w:val="20"/>
              </w:rPr>
              <w:t xml:space="preserve">IW / Total_Inflow × 100</w:t>
            </w:r>
          </w:p>
        </w:tc>
        <w:tc>
          <w:tcPr>
            <w:tcW w:type="dxa" w:w="3400"/>
          </w:tcPr>
          <w:p>
            <w:pPr>
              <w:jc w:val="left"/>
            </w:pPr>
            <w:r>
              <w:rPr>
                <w:rFonts w:ascii="Times New Roman" w:cs="Times New Roman" w:eastAsia="Times New Roman" w:hAnsi="Times New Roman"/>
                <w:sz w:val="20"/>
                <w:szCs w:val="20"/>
              </w:rPr>
              <w:t xml:space="preserve">Share of inflow from less deprived areas</w:t>
            </w:r>
          </w:p>
        </w:tc>
      </w:tr>
      <w:tr>
        <w:tc>
          <w:tcPr>
            <w:tcW w:type="dxa" w:w="1800"/>
          </w:tcPr>
          <w:p>
            <w:pPr>
              <w:jc w:val="left"/>
            </w:pPr>
            <w:r>
              <w:rPr>
                <w:rFonts w:ascii="Times New Roman" w:cs="Times New Roman" w:eastAsia="Times New Roman" w:hAnsi="Times New Roman"/>
                <w:sz w:val="20"/>
                <w:szCs w:val="20"/>
              </w:rPr>
              <w:t xml:space="preserve">Counter</w:t>
            </w:r>
          </w:p>
        </w:tc>
        <w:tc>
          <w:tcPr>
            <w:tcW w:type="dxa" w:w="2400"/>
          </w:tcPr>
          <w:p>
            <w:pPr>
              <w:jc w:val="left"/>
            </w:pPr>
            <w:r>
              <w:rPr>
                <w:rFonts w:ascii="Times New Roman" w:cs="Times New Roman" w:eastAsia="Times New Roman" w:hAnsi="Times New Roman"/>
                <w:sz w:val="20"/>
                <w:szCs w:val="20"/>
              </w:rPr>
              <w:t xml:space="preserve">Net_Counter</w:t>
            </w:r>
          </w:p>
        </w:tc>
        <w:tc>
          <w:tcPr>
            <w:tcW w:type="dxa" w:w="3200"/>
          </w:tcPr>
          <w:p>
            <w:pPr>
              <w:jc w:val="left"/>
            </w:pPr>
            <w:r>
              <w:rPr>
                <w:rFonts w:ascii="Times New Roman" w:cs="Times New Roman" w:eastAsia="Times New Roman" w:hAnsi="Times New Roman"/>
                <w:sz w:val="20"/>
                <w:szCs w:val="20"/>
              </w:rPr>
              <w:t xml:space="preserve">Outflow_Wealthier − Inflow_Poorer</w:t>
            </w:r>
          </w:p>
        </w:tc>
        <w:tc>
          <w:tcPr>
            <w:tcW w:type="dxa" w:w="3400"/>
          </w:tcPr>
          <w:p>
            <w:pPr>
              <w:jc w:val="left"/>
            </w:pPr>
            <w:r>
              <w:rPr>
                <w:rFonts w:ascii="Times New Roman" w:cs="Times New Roman" w:eastAsia="Times New Roman" w:hAnsi="Times New Roman"/>
                <w:sz w:val="20"/>
                <w:szCs w:val="20"/>
              </w:rPr>
              <w:t xml:space="preserve">Directional balance of counter flows</w:t>
            </w:r>
          </w:p>
        </w:tc>
      </w:tr>
      <w:tr>
        <w:tc>
          <w:tcPr>
            <w:tcW w:type="dxa" w:w="1800"/>
          </w:tcPr>
          <w:p>
            <w:pPr>
              <w:jc w:val="left"/>
            </w:pPr>
            <w:r>
              <w:rPr>
                <w:rFonts w:ascii="Times New Roman" w:cs="Times New Roman" w:eastAsia="Times New Roman" w:hAnsi="Times New Roman"/>
                <w:sz w:val="20"/>
                <w:szCs w:val="20"/>
              </w:rPr>
              <w:t xml:space="preserve">Counter</w:t>
            </w:r>
          </w:p>
        </w:tc>
        <w:tc>
          <w:tcPr>
            <w:tcW w:type="dxa" w:w="2400"/>
          </w:tcPr>
          <w:p>
            <w:pPr>
              <w:jc w:val="left"/>
            </w:pPr>
            <w:r>
              <w:rPr>
                <w:rFonts w:ascii="Times New Roman" w:cs="Times New Roman" w:eastAsia="Times New Roman" w:hAnsi="Times New Roman"/>
                <w:sz w:val="20"/>
                <w:szCs w:val="20"/>
              </w:rPr>
              <w:t xml:space="preserve">Counter_Churn</w:t>
            </w:r>
          </w:p>
        </w:tc>
        <w:tc>
          <w:tcPr>
            <w:tcW w:type="dxa" w:w="3200"/>
          </w:tcPr>
          <w:p>
            <w:pPr>
              <w:jc w:val="left"/>
            </w:pPr>
            <w:r>
              <w:rPr>
                <w:rFonts w:ascii="Times New Roman" w:cs="Times New Roman" w:eastAsia="Times New Roman" w:hAnsi="Times New Roman"/>
                <w:sz w:val="20"/>
                <w:szCs w:val="20"/>
              </w:rPr>
              <w:t xml:space="preserve">Outflow_Wealthier + Inflow_Poorer</w:t>
            </w:r>
          </w:p>
        </w:tc>
        <w:tc>
          <w:tcPr>
            <w:tcW w:type="dxa" w:w="3400"/>
          </w:tcPr>
          <w:p>
            <w:pPr>
              <w:jc w:val="left"/>
            </w:pPr>
            <w:r>
              <w:rPr>
                <w:rFonts w:ascii="Times New Roman" w:cs="Times New Roman" w:eastAsia="Times New Roman" w:hAnsi="Times New Roman"/>
                <w:sz w:val="20"/>
                <w:szCs w:val="20"/>
              </w:rPr>
              <w:t xml:space="preserve">Total intensity of counter-direction flows</w:t>
            </w:r>
          </w:p>
        </w:tc>
      </w:tr>
      <w:tr>
        <w:tc>
          <w:tcPr>
            <w:tcW w:type="dxa" w:w="1800"/>
          </w:tcPr>
          <w:p>
            <w:pPr>
              <w:jc w:val="left"/>
            </w:pPr>
            <w:r>
              <w:rPr>
                <w:rFonts w:ascii="Times New Roman" w:cs="Times New Roman" w:eastAsia="Times New Roman" w:hAnsi="Times New Roman"/>
                <w:sz w:val="20"/>
                <w:szCs w:val="20"/>
              </w:rPr>
              <w:t xml:space="preserve">Counter</w:t>
            </w:r>
          </w:p>
        </w:tc>
        <w:tc>
          <w:tcPr>
            <w:tcW w:type="dxa" w:w="2400"/>
          </w:tcPr>
          <w:p>
            <w:pPr>
              <w:jc w:val="left"/>
            </w:pPr>
            <w:r>
              <w:rPr>
                <w:rFonts w:ascii="Times New Roman" w:cs="Times New Roman" w:eastAsia="Times New Roman" w:hAnsi="Times New Roman"/>
                <w:sz w:val="20"/>
                <w:szCs w:val="20"/>
              </w:rPr>
              <w:t xml:space="preserve">Counter_Rate</w:t>
            </w:r>
          </w:p>
        </w:tc>
        <w:tc>
          <w:tcPr>
            <w:tcW w:type="dxa" w:w="3200"/>
          </w:tcPr>
          <w:p>
            <w:pPr>
              <w:jc w:val="left"/>
            </w:pPr>
            <w:r>
              <w:rPr>
                <w:rFonts w:ascii="Times New Roman" w:cs="Times New Roman" w:eastAsia="Times New Roman" w:hAnsi="Times New Roman"/>
                <w:sz w:val="20"/>
                <w:szCs w:val="20"/>
              </w:rPr>
              <w:t xml:space="preserve">(OW × IP) / Total_Migration</w:t>
            </w:r>
          </w:p>
        </w:tc>
        <w:tc>
          <w:tcPr>
            <w:tcW w:type="dxa" w:w="3400"/>
          </w:tcPr>
          <w:p>
            <w:pPr>
              <w:jc w:val="left"/>
            </w:pPr>
            <w:r>
              <w:rPr>
                <w:rFonts w:ascii="Times New Roman" w:cs="Times New Roman" w:eastAsia="Times New Roman" w:hAnsi="Times New Roman"/>
                <w:sz w:val="20"/>
                <w:szCs w:val="20"/>
              </w:rPr>
              <w:t xml:space="preserve">Co-occurrence, normalised by volume</w:t>
            </w:r>
          </w:p>
        </w:tc>
      </w:tr>
      <w:tr>
        <w:tc>
          <w:tcPr>
            <w:tcW w:type="dxa" w:w="1800"/>
          </w:tcPr>
          <w:p>
            <w:pPr>
              <w:jc w:val="left"/>
            </w:pPr>
            <w:r>
              <w:rPr>
                <w:rFonts w:ascii="Times New Roman" w:cs="Times New Roman" w:eastAsia="Times New Roman" w:hAnsi="Times New Roman"/>
                <w:sz w:val="20"/>
                <w:szCs w:val="20"/>
              </w:rPr>
              <w:t xml:space="preserve">Counter</w:t>
            </w:r>
          </w:p>
        </w:tc>
        <w:tc>
          <w:tcPr>
            <w:tcW w:type="dxa" w:w="2400"/>
          </w:tcPr>
          <w:p>
            <w:pPr>
              <w:jc w:val="left"/>
            </w:pPr>
            <w:r>
              <w:rPr>
                <w:rFonts w:ascii="Times New Roman" w:cs="Times New Roman" w:eastAsia="Times New Roman" w:hAnsi="Times New Roman"/>
                <w:sz w:val="20"/>
                <w:szCs w:val="20"/>
              </w:rPr>
              <w:t xml:space="preserve">Pct_Outflow_Wealthier</w:t>
            </w:r>
          </w:p>
        </w:tc>
        <w:tc>
          <w:tcPr>
            <w:tcW w:type="dxa" w:w="3200"/>
          </w:tcPr>
          <w:p>
            <w:pPr>
              <w:jc w:val="left"/>
            </w:pPr>
            <w:r>
              <w:rPr>
                <w:rFonts w:ascii="Times New Roman" w:cs="Times New Roman" w:eastAsia="Times New Roman" w:hAnsi="Times New Roman"/>
                <w:sz w:val="20"/>
                <w:szCs w:val="20"/>
              </w:rPr>
              <w:t xml:space="preserve">OW / Total_Outflow × 100</w:t>
            </w:r>
          </w:p>
        </w:tc>
        <w:tc>
          <w:tcPr>
            <w:tcW w:type="dxa" w:w="3400"/>
          </w:tcPr>
          <w:p>
            <w:pPr>
              <w:jc w:val="left"/>
            </w:pPr>
            <w:r>
              <w:rPr>
                <w:rFonts w:ascii="Times New Roman" w:cs="Times New Roman" w:eastAsia="Times New Roman" w:hAnsi="Times New Roman"/>
                <w:sz w:val="20"/>
                <w:szCs w:val="20"/>
              </w:rPr>
              <w:t xml:space="preserve">Share of outflow to less deprived areas</w:t>
            </w:r>
          </w:p>
        </w:tc>
      </w:tr>
    </w:tbl>
    <w:p>
      <w:pPr>
        <w:spacing w:after="200" w:before="100"/>
        <w:jc w:val="left"/>
      </w:pPr>
      <w:r>
        <w:rPr>
          <w:rFonts w:ascii="Times New Roman" w:cs="Times New Roman" w:eastAsia="Times New Roman" w:hAnsi="Times New Roman"/>
          <w:i/>
          <w:iCs/>
          <w:sz w:val="22"/>
          <w:szCs w:val="22"/>
        </w:rPr>
        <w:t xml:space="preserve">Table B.1. Base metric families. IW = Inflow_Wealthier, OP = Outflow_Poorer, OW = Outflow_Wealthier, IP = Inflow_Poorer.</w:t>
      </w:r>
    </w:p>
    <w:p>
      <w:pPr>
        <w:pStyle w:val="Heading2"/>
        <w:spacing w:after="150" w:before="300"/>
      </w:pPr>
      <w:r>
        <w:rPr>
          <w:rFonts w:ascii="Times New Roman" w:cs="Times New Roman" w:eastAsia="Times New Roman" w:hAnsi="Times New Roman"/>
          <w:b/>
          <w:bCs/>
          <w:sz w:val="24"/>
          <w:szCs w:val="24"/>
        </w:rPr>
        <w:t xml:space="preserve">B.2 Correlation Architecture</w:t>
      </w:r>
    </w:p>
    <w:p>
      <w:pPr>
        <w:spacing w:after="120" w:line="360"/>
        <w:jc w:val="both"/>
      </w:pPr>
      <w:r>
        <w:rPr>
          <w:rFonts w:ascii="Times New Roman" w:cs="Times New Roman" w:eastAsia="Times New Roman" w:hAnsi="Times New Roman"/>
          <w:sz w:val="24"/>
          <w:szCs w:val="24"/>
        </w:rPr>
        <w:t xml:space="preserve">The four base flows form two highly correlated pairs. Inflow_Wealthier and Outflow_Wealthier correlate at ρ ≈ 0.96, while Outflow_Poorer and Inflow_Poorer correlate at ρ ≈ 0.93. Cross-pair correlations are near zero. This structure means that an MSOA receiving arrivals from wealthier areas also sends departures to wealthier areas, acting as a transit node in the deprivation hierarchy. The pairing explains why cascade and counter-cascade metric families mirror each other: both are driven by an MSOA’s position in the hierarchy relative to its migration partners.</w:t>
      </w:r>
    </w:p>
    <w:p>
      <w:pPr>
        <w:spacing w:after="120" w:line="360"/>
        <w:jc w:val="both"/>
      </w:pPr>
      <w:r>
        <w:rPr>
          <w:rFonts w:ascii="Times New Roman" w:cs="Times New Roman" w:eastAsia="Times New Roman" w:hAnsi="Times New Roman"/>
          <w:sz w:val="24"/>
          <w:szCs w:val="24"/>
        </w:rPr>
        <w:t xml:space="preserve">The full correlation matrix across all eight metrics, their temporal deltas, Wealth_Decile, and IMD_Pctile_Change reveals several structural patterns. Net_Cascade and Net_Counter correlate at ρ ≈ 0.94, confirming the mirror structure. CFI_Churn, Counter_Churn, and Total_Migration form a high-correlation cluster (ρ &gt; 0.95), indicating that churn volumes move together regardless of direction. Hierarchy position (Wealth_Decile) is most strongly associated with Pct_Inflow_Wealthier, Net_Counter, and Outflow_Wealthier (all |ρ| &gt; 0.8). Correlations with the external validation variable IMD_Pctile_Change are modest, with CFI_Churn and Counter_Churn showing the highest values at approximately ρ ≈ 0.25–0.28.</w:t>
      </w:r>
    </w:p>
    <w:p>
      <w:pPr>
        <w:spacing w:after="100" w:before="100"/>
        <w:jc w:val="center"/>
      </w:pPr>
      <w:r>
        <w:rPr>
          <w:rFonts w:ascii="Times New Roman" w:cs="Times New Roman" w:eastAsia="Times New Roman" w:hAnsi="Times New Roman"/>
          <w:color w:val="888888"/>
          <w:sz w:val="22"/>
          <w:szCs w:val="22"/>
        </w:rPr>
        <w:t xml:space="preserve">[Figure B.1. Full correlation heatmap: eight base metrics, temporal deltas, Wealth_Decile, and IMD_Pctile_Change, 2011 and 2021.]</w:t>
      </w:r>
    </w:p>
    <w:p>
      <w:pPr>
        <w:pStyle w:val="Heading2"/>
        <w:spacing w:after="150" w:before="300"/>
      </w:pPr>
      <w:r>
        <w:rPr>
          <w:rFonts w:ascii="Times New Roman" w:cs="Times New Roman" w:eastAsia="Times New Roman" w:hAnsi="Times New Roman"/>
          <w:b/>
          <w:bCs/>
          <w:sz w:val="24"/>
          <w:szCs w:val="24"/>
        </w:rPr>
        <w:t xml:space="preserve">B.3 Redundancy Assessment and Derived Metric Construction</w:t>
      </w:r>
    </w:p>
    <w:p>
      <w:pPr>
        <w:spacing w:after="120" w:line="360"/>
        <w:jc w:val="both"/>
      </w:pPr>
      <w:r>
        <w:rPr>
          <w:rFonts w:ascii="Times New Roman" w:cs="Times New Roman" w:eastAsia="Times New Roman" w:hAnsi="Times New Roman"/>
          <w:sz w:val="24"/>
          <w:szCs w:val="24"/>
        </w:rPr>
        <w:t xml:space="preserve">Five candidate balance metrics were tested for redundancy against existing measures. Three were discarded.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500"/>
        <w:gridCol w:w="4100"/>
      </w:tblGrid>
      <w:tr>
        <w:trPr>
          <w:tblHeader/>
        </w:trPr>
        <w:tc>
          <w:tcPr>
            <w:tcW w:type="dxa" w:w="2200"/>
            <w:shd w:fill="D9E2F3" w:color="auto" w:val="clear"/>
          </w:tcPr>
          <w:p>
            <w:pPr>
              <w:jc w:val="center"/>
            </w:pPr>
            <w:r>
              <w:rPr>
                <w:rFonts w:ascii="Times New Roman" w:cs="Times New Roman" w:eastAsia="Times New Roman" w:hAnsi="Times New Roman"/>
                <w:b/>
                <w:bCs/>
                <w:sz w:val="20"/>
                <w:szCs w:val="20"/>
              </w:rPr>
              <w:t xml:space="preserve">Candidate</w:t>
            </w:r>
          </w:p>
        </w:tc>
        <w:tc>
          <w:tcPr>
            <w:tcW w:type="dxa" w:w="3000"/>
            <w:shd w:fill="D9E2F3" w:color="auto" w:val="clear"/>
          </w:tcPr>
          <w:p>
            <w:pPr>
              <w:jc w:val="center"/>
            </w:pPr>
            <w:r>
              <w:rPr>
                <w:rFonts w:ascii="Times New Roman" w:cs="Times New Roman" w:eastAsia="Times New Roman" w:hAnsi="Times New Roman"/>
                <w:b/>
                <w:bCs/>
                <w:sz w:val="20"/>
                <w:szCs w:val="20"/>
              </w:rPr>
              <w:t xml:space="preserve">Formula</w:t>
            </w:r>
          </w:p>
        </w:tc>
        <w:tc>
          <w:tcPr>
            <w:tcW w:type="dxa" w:w="1500"/>
            <w:shd w:fill="D9E2F3" w:color="auto" w:val="clear"/>
          </w:tcPr>
          <w:p>
            <w:pPr>
              <w:jc w:val="center"/>
            </w:pPr>
            <w:r>
              <w:rPr>
                <w:rFonts w:ascii="Times New Roman" w:cs="Times New Roman" w:eastAsia="Times New Roman" w:hAnsi="Times New Roman"/>
                <w:b/>
                <w:bCs/>
                <w:sz w:val="20"/>
                <w:szCs w:val="20"/>
              </w:rPr>
              <w:t xml:space="preserve">Verdict</w:t>
            </w:r>
          </w:p>
        </w:tc>
        <w:tc>
          <w:tcPr>
            <w:tcW w:type="dxa" w:w="4100"/>
            <w:shd w:fill="D9E2F3" w:color="auto" w:val="clear"/>
          </w:tcPr>
          <w:p>
            <w:pPr>
              <w:jc w:val="center"/>
            </w:pPr>
            <w:r>
              <w:rPr>
                <w:rFonts w:ascii="Times New Roman" w:cs="Times New Roman" w:eastAsia="Times New Roman" w:hAnsi="Times New Roman"/>
                <w:b/>
                <w:bCs/>
                <w:sz w:val="20"/>
                <w:szCs w:val="20"/>
              </w:rPr>
              <w:t xml:space="preserve">Reason</w:t>
            </w:r>
          </w:p>
        </w:tc>
      </w:tr>
      <w:tr>
        <w:tc>
          <w:tcPr>
            <w:tcW w:type="dxa" w:w="2200"/>
          </w:tcPr>
          <w:p>
            <w:pPr>
              <w:jc w:val="left"/>
            </w:pPr>
            <w:r>
              <w:rPr>
                <w:rFonts w:ascii="Times New Roman" w:cs="Times New Roman" w:eastAsia="Times New Roman" w:hAnsi="Times New Roman"/>
                <w:sz w:val="20"/>
                <w:szCs w:val="20"/>
              </w:rPr>
              <w:t xml:space="preserve">Total_Pressure</w:t>
            </w:r>
          </w:p>
        </w:tc>
        <w:tc>
          <w:tcPr>
            <w:tcW w:type="dxa" w:w="3000"/>
          </w:tcPr>
          <w:p>
            <w:pPr>
              <w:jc w:val="left"/>
            </w:pPr>
            <w:r>
              <w:rPr>
                <w:rFonts w:ascii="Times New Roman" w:cs="Times New Roman" w:eastAsia="Times New Roman" w:hAnsi="Times New Roman"/>
                <w:sz w:val="20"/>
                <w:szCs w:val="20"/>
              </w:rPr>
              <w:t xml:space="preserve">CFI_Churn + Counter_Churn</w:t>
            </w:r>
          </w:p>
        </w:tc>
        <w:tc>
          <w:tcPr>
            <w:tcW w:type="dxa" w:w="1500"/>
          </w:tcPr>
          <w:p>
            <w:pPr>
              <w:jc w:val="left"/>
            </w:pPr>
            <w:r>
              <w:rPr>
                <w:rFonts w:ascii="Times New Roman" w:cs="Times New Roman" w:eastAsia="Times New Roman" w:hAnsi="Times New Roman"/>
                <w:sz w:val="20"/>
                <w:szCs w:val="20"/>
              </w:rPr>
              <w:t xml:space="preserve">Dropped</w:t>
            </w:r>
          </w:p>
        </w:tc>
        <w:tc>
          <w:tcPr>
            <w:tcW w:type="dxa" w:w="4100"/>
          </w:tcPr>
          <w:p>
            <w:pPr>
              <w:jc w:val="left"/>
            </w:pPr>
            <w:r>
              <w:rPr>
                <w:rFonts w:ascii="Times New Roman" w:cs="Times New Roman" w:eastAsia="Times New Roman" w:hAnsi="Times New Roman"/>
                <w:sz w:val="20"/>
                <w:szCs w:val="20"/>
              </w:rPr>
              <w:t xml:space="preserve">ρ = 0.98 with CFI_Churn; effectively redundant</w:t>
            </w:r>
          </w:p>
        </w:tc>
      </w:tr>
      <w:tr>
        <w:tc>
          <w:tcPr>
            <w:tcW w:type="dxa" w:w="2200"/>
          </w:tcPr>
          <w:p>
            <w:pPr>
              <w:jc w:val="left"/>
            </w:pPr>
            <w:r>
              <w:rPr>
                <w:rFonts w:ascii="Times New Roman" w:cs="Times New Roman" w:eastAsia="Times New Roman" w:hAnsi="Times New Roman"/>
                <w:sz w:val="20"/>
                <w:szCs w:val="20"/>
              </w:rPr>
              <w:t xml:space="preserve">Net_Balance</w:t>
            </w:r>
          </w:p>
        </w:tc>
        <w:tc>
          <w:tcPr>
            <w:tcW w:type="dxa" w:w="3000"/>
          </w:tcPr>
          <w:p>
            <w:pPr>
              <w:jc w:val="left"/>
            </w:pPr>
            <w:r>
              <w:rPr>
                <w:rFonts w:ascii="Times New Roman" w:cs="Times New Roman" w:eastAsia="Times New Roman" w:hAnsi="Times New Roman"/>
                <w:sz w:val="20"/>
                <w:szCs w:val="20"/>
              </w:rPr>
              <w:t xml:space="preserve">Net_Cascade − Net_Counter</w:t>
            </w:r>
          </w:p>
        </w:tc>
        <w:tc>
          <w:tcPr>
            <w:tcW w:type="dxa" w:w="1500"/>
          </w:tcPr>
          <w:p>
            <w:pPr>
              <w:jc w:val="left"/>
            </w:pPr>
            <w:r>
              <w:rPr>
                <w:rFonts w:ascii="Times New Roman" w:cs="Times New Roman" w:eastAsia="Times New Roman" w:hAnsi="Times New Roman"/>
                <w:sz w:val="20"/>
                <w:szCs w:val="20"/>
              </w:rPr>
              <w:t xml:space="preserve">Dropped</w:t>
            </w:r>
          </w:p>
        </w:tc>
        <w:tc>
          <w:tcPr>
            <w:tcW w:type="dxa" w:w="4100"/>
          </w:tcPr>
          <w:p>
            <w:pPr>
              <w:jc w:val="left"/>
            </w:pPr>
            <w:r>
              <w:rPr>
                <w:rFonts w:ascii="Times New Roman" w:cs="Times New Roman" w:eastAsia="Times New Roman" w:hAnsi="Times New Roman"/>
                <w:sz w:val="20"/>
                <w:szCs w:val="20"/>
              </w:rPr>
              <w:t xml:space="preserve">ρ = 0.47 with Wealth_Decile; partly recodes hierarchy</w:t>
            </w:r>
          </w:p>
        </w:tc>
      </w:tr>
      <w:tr>
        <w:tc>
          <w:tcPr>
            <w:tcW w:type="dxa" w:w="2200"/>
          </w:tcPr>
          <w:p>
            <w:pPr>
              <w:jc w:val="left"/>
            </w:pPr>
            <w:r>
              <w:rPr>
                <w:rFonts w:ascii="Times New Roman" w:cs="Times New Roman" w:eastAsia="Times New Roman" w:hAnsi="Times New Roman"/>
                <w:sz w:val="20"/>
                <w:szCs w:val="20"/>
              </w:rPr>
              <w:t xml:space="preserve">Churn_Balance</w:t>
            </w:r>
          </w:p>
        </w:tc>
        <w:tc>
          <w:tcPr>
            <w:tcW w:type="dxa" w:w="3000"/>
          </w:tcPr>
          <w:p>
            <w:pPr>
              <w:jc w:val="left"/>
            </w:pPr>
            <w:r>
              <w:rPr>
                <w:rFonts w:ascii="Times New Roman" w:cs="Times New Roman" w:eastAsia="Times New Roman" w:hAnsi="Times New Roman"/>
                <w:sz w:val="20"/>
                <w:szCs w:val="20"/>
              </w:rPr>
              <w:t xml:space="preserve">CFI_Churn − Counter_Churn</w:t>
            </w:r>
          </w:p>
        </w:tc>
        <w:tc>
          <w:tcPr>
            <w:tcW w:type="dxa" w:w="1500"/>
          </w:tcPr>
          <w:p>
            <w:pPr>
              <w:jc w:val="left"/>
            </w:pPr>
            <w:r>
              <w:rPr>
                <w:rFonts w:ascii="Times New Roman" w:cs="Times New Roman" w:eastAsia="Times New Roman" w:hAnsi="Times New Roman"/>
                <w:sz w:val="20"/>
                <w:szCs w:val="20"/>
              </w:rPr>
              <w:t xml:space="preserve">Dropped</w:t>
            </w:r>
          </w:p>
        </w:tc>
        <w:tc>
          <w:tcPr>
            <w:tcW w:type="dxa" w:w="4100"/>
          </w:tcPr>
          <w:p>
            <w:pPr>
              <w:jc w:val="left"/>
            </w:pPr>
            <w:r>
              <w:rPr>
                <w:rFonts w:ascii="Times New Roman" w:cs="Times New Roman" w:eastAsia="Times New Roman" w:hAnsi="Times New Roman"/>
                <w:sz w:val="20"/>
                <w:szCs w:val="20"/>
              </w:rPr>
              <w:t xml:space="preserve">ρ = 0.92 with Cascade_Dominance; unnormalised version</w:t>
            </w:r>
          </w:p>
        </w:tc>
      </w:tr>
      <w:tr>
        <w:tc>
          <w:tcPr>
            <w:tcW w:type="dxa" w:w="2200"/>
          </w:tcPr>
          <w:p>
            <w:pPr>
              <w:jc w:val="left"/>
            </w:pPr>
            <w:r>
              <w:rPr>
                <w:rFonts w:ascii="Times New Roman" w:cs="Times New Roman" w:eastAsia="Times New Roman" w:hAnsi="Times New Roman"/>
                <w:sz w:val="20"/>
                <w:szCs w:val="20"/>
              </w:rPr>
              <w:t xml:space="preserve">Cascade_Dominance</w:t>
            </w:r>
          </w:p>
        </w:tc>
        <w:tc>
          <w:tcPr>
            <w:tcW w:type="dxa" w:w="3000"/>
          </w:tcPr>
          <w:p>
            <w:pPr>
              <w:jc w:val="left"/>
            </w:pPr>
            <w:r>
              <w:rPr>
                <w:rFonts w:ascii="Times New Roman" w:cs="Times New Roman" w:eastAsia="Times New Roman" w:hAnsi="Times New Roman"/>
                <w:sz w:val="20"/>
                <w:szCs w:val="20"/>
              </w:rPr>
              <w:t xml:space="preserve">CFI_Churn / (CFI_Churn + Counter_Churn)</w:t>
            </w:r>
          </w:p>
        </w:tc>
        <w:tc>
          <w:tcPr>
            <w:tcW w:type="dxa" w:w="1500"/>
          </w:tcPr>
          <w:p>
            <w:pPr>
              <w:jc w:val="left"/>
            </w:pPr>
            <w:r>
              <w:rPr>
                <w:rFonts w:ascii="Times New Roman" w:cs="Times New Roman" w:eastAsia="Times New Roman" w:hAnsi="Times New Roman"/>
                <w:sz w:val="20"/>
                <w:szCs w:val="20"/>
              </w:rPr>
              <w:t xml:space="preserve">Retained</w:t>
            </w:r>
          </w:p>
        </w:tc>
        <w:tc>
          <w:tcPr>
            <w:tcW w:type="dxa" w:w="4100"/>
          </w:tcPr>
          <w:p>
            <w:pPr>
              <w:jc w:val="left"/>
            </w:pPr>
            <w:r>
              <w:rPr>
                <w:rFonts w:ascii="Times New Roman" w:cs="Times New Roman" w:eastAsia="Times New Roman" w:hAnsi="Times New Roman"/>
                <w:sz w:val="20"/>
                <w:szCs w:val="20"/>
              </w:rPr>
              <w:t xml:space="preserve">max |ρ| = 0.42; captures directional balance</w:t>
            </w:r>
          </w:p>
        </w:tc>
      </w:tr>
      <w:tr>
        <w:tc>
          <w:tcPr>
            <w:tcW w:type="dxa" w:w="2200"/>
          </w:tcPr>
          <w:p>
            <w:pPr>
              <w:jc w:val="left"/>
            </w:pPr>
            <w:r>
              <w:rPr>
                <w:rFonts w:ascii="Times New Roman" w:cs="Times New Roman" w:eastAsia="Times New Roman" w:hAnsi="Times New Roman"/>
                <w:sz w:val="20"/>
                <w:szCs w:val="20"/>
              </w:rPr>
              <w:t xml:space="preserve">Cross_Decile_Share</w:t>
            </w:r>
          </w:p>
        </w:tc>
        <w:tc>
          <w:tcPr>
            <w:tcW w:type="dxa" w:w="3000"/>
          </w:tcPr>
          <w:p>
            <w:pPr>
              <w:jc w:val="left"/>
            </w:pPr>
            <w:r>
              <w:rPr>
                <w:rFonts w:ascii="Times New Roman" w:cs="Times New Roman" w:eastAsia="Times New Roman" w:hAnsi="Times New Roman"/>
                <w:sz w:val="20"/>
                <w:szCs w:val="20"/>
              </w:rPr>
              <w:t xml:space="preserve">(CFI_Churn + Counter_Churn) / Total_Migration</w:t>
            </w:r>
          </w:p>
        </w:tc>
        <w:tc>
          <w:tcPr>
            <w:tcW w:type="dxa" w:w="1500"/>
          </w:tcPr>
          <w:p>
            <w:pPr>
              <w:jc w:val="left"/>
            </w:pPr>
            <w:r>
              <w:rPr>
                <w:rFonts w:ascii="Times New Roman" w:cs="Times New Roman" w:eastAsia="Times New Roman" w:hAnsi="Times New Roman"/>
                <w:sz w:val="20"/>
                <w:szCs w:val="20"/>
              </w:rPr>
              <w:t xml:space="preserve">Retained</w:t>
            </w:r>
          </w:p>
        </w:tc>
        <w:tc>
          <w:tcPr>
            <w:tcW w:type="dxa" w:w="4100"/>
          </w:tcPr>
          <w:p>
            <w:pPr>
              <w:jc w:val="left"/>
            </w:pPr>
            <w:r>
              <w:rPr>
                <w:rFonts w:ascii="Times New Roman" w:cs="Times New Roman" w:eastAsia="Times New Roman" w:hAnsi="Times New Roman"/>
                <w:sz w:val="20"/>
                <w:szCs w:val="20"/>
              </w:rPr>
              <w:t xml:space="preserve">max |ρ| = 0.22; captures hierarchy-crossing intensity</w:t>
            </w:r>
          </w:p>
        </w:tc>
      </w:tr>
    </w:tbl>
    <w:p>
      <w:pPr>
        <w:spacing w:after="200" w:before="100"/>
        <w:jc w:val="left"/>
      </w:pPr>
      <w:r>
        <w:rPr>
          <w:rFonts w:ascii="Times New Roman" w:cs="Times New Roman" w:eastAsia="Times New Roman" w:hAnsi="Times New Roman"/>
          <w:i/>
          <w:iCs/>
          <w:sz w:val="22"/>
          <w:szCs w:val="22"/>
        </w:rPr>
        <w:t xml:space="preserve">Table B.2. Candidate balance metrics and redundancy verdicts.</w:t>
      </w:r>
    </w:p>
    <w:p>
      <w:pPr>
        <w:spacing w:after="120" w:line="360"/>
        <w:jc w:val="both"/>
      </w:pPr>
      <w:r>
        <w:rPr>
          <w:rFonts w:ascii="Times New Roman" w:cs="Times New Roman" w:eastAsia="Times New Roman" w:hAnsi="Times New Roman"/>
          <w:sz w:val="24"/>
          <w:szCs w:val="24"/>
        </w:rPr>
        <w:t xml:space="preserve">Cascade_Dominance and Cross_Decile_Share are the only candidates that are not highly correlated with existing metrics, each other, or hierarchy position. Their correlation with one another is approximately 0.53 in 2011 and 0.46 in 2021, confirming that direction and intensity are related but distinct dimensions of hierarchical migration.</w:t>
      </w:r>
    </w:p>
    <w:p>
      <w:pPr>
        <w:pStyle w:val="Heading2"/>
        <w:spacing w:after="150" w:before="300"/>
      </w:pPr>
      <w:r>
        <w:rPr>
          <w:rFonts w:ascii="Times New Roman" w:cs="Times New Roman" w:eastAsia="Times New Roman" w:hAnsi="Times New Roman"/>
          <w:b/>
          <w:bCs/>
          <w:sz w:val="24"/>
          <w:szCs w:val="24"/>
        </w:rPr>
        <w:t xml:space="preserve">B.4 Descriptive Statistics</w:t>
      </w:r>
    </w:p>
    <w:p>
      <w:pPr>
        <w:spacing w:after="120" w:line="360"/>
        <w:jc w:val="both"/>
      </w:pPr>
      <w:r>
        <w:rPr>
          <w:rFonts w:ascii="Times New Roman" w:cs="Times New Roman" w:eastAsia="Times New Roman" w:hAnsi="Times New Roman"/>
          <w:sz w:val="24"/>
          <w:szCs w:val="24"/>
        </w:rPr>
        <w:t xml:space="preserve">Both cascade and counter-cascade metric families have structurally similar distributions across the two census periods, consistent with their shared dependence on hierarchy position. Both families experienced a leftward shift (lower volumes) from 2011 to 2021, reflecting the decline in recorded London-internal migration from approximately 852,000 to 766,000 person-moves. Cascade and counter-cascade distributions are approximately symmetric in shape and shift.</w:t>
      </w:r>
    </w:p>
    <w:p>
      <w:pPr>
        <w:spacing w:after="100" w:before="100"/>
        <w:jc w:val="center"/>
      </w:pPr>
      <w:r>
        <w:rPr>
          <w:rFonts w:ascii="Times New Roman" w:cs="Times New Roman" w:eastAsia="Times New Roman" w:hAnsi="Times New Roman"/>
          <w:color w:val="888888"/>
          <w:sz w:val="22"/>
          <w:szCs w:val="22"/>
        </w:rPr>
        <w:t xml:space="preserve">[Figure B.2. Overlay histograms: all eight metrics, 2011 versus 2021 (cascade row, counter-cascade row).]</w:t>
      </w:r>
    </w:p>
    <w:p>
      <w:pPr>
        <w:pStyle w:val="Heading2"/>
        <w:spacing w:after="150" w:before="300"/>
      </w:pPr>
      <w:r>
        <w:rPr>
          <w:rFonts w:ascii="Times New Roman" w:cs="Times New Roman" w:eastAsia="Times New Roman" w:hAnsi="Times New Roman"/>
          <w:b/>
          <w:bCs/>
          <w:sz w:val="24"/>
          <w:szCs w:val="24"/>
        </w:rPr>
        <w:t xml:space="preserve">B.5 Sign Concordance</w:t>
      </w:r>
    </w:p>
    <w:p>
      <w:pPr>
        <w:spacing w:after="120" w:line="360"/>
        <w:jc w:val="both"/>
      </w:pPr>
      <w:r>
        <w:rPr>
          <w:rFonts w:ascii="Times New Roman" w:cs="Times New Roman" w:eastAsia="Times New Roman" w:hAnsi="Times New Roman"/>
          <w:sz w:val="24"/>
          <w:szCs w:val="24"/>
        </w:rPr>
        <w:t xml:space="preserve">Each MSOA is classified by whether Net_Cascade and Net_Counter agree in sign. Approximately 90% of MSOAs are concordant in both periods, meaning that the same areas that receive net cascade flows also receive net counter-cascade flows. The roughly 10% of divergent cases, where the two directional nets have opposite signs, are structurally distinctive: they represent net exporters or net receivers of residents across the hierarchy, and are examined in Appendix C.</w:t>
      </w:r>
    </w:p>
    <w:p>
      <w:r>
        <w:br w:type="page"/>
      </w:r>
    </w:p>
    <w:p>
      <w:pPr>
        <w:pStyle w:val="Heading1"/>
        <w:spacing w:after="200" w:before="400"/>
      </w:pPr>
      <w:r>
        <w:rPr>
          <w:rFonts w:ascii="Times New Roman" w:cs="Times New Roman" w:eastAsia="Times New Roman" w:hAnsi="Times New Roman"/>
          <w:b/>
          <w:bCs/>
          <w:sz w:val="28"/>
          <w:szCs w:val="28"/>
        </w:rPr>
        <w:t xml:space="preserve">Appendix C. Decile Structural Checks and Net Exporters/Receivers</w:t>
      </w:r>
    </w:p>
    <w:p>
      <w:pPr>
        <w:spacing w:after="120" w:line="360"/>
        <w:jc w:val="both"/>
      </w:pPr>
      <w:r>
        <w:rPr>
          <w:rFonts w:ascii="Times New Roman" w:cs="Times New Roman" w:eastAsia="Times New Roman" w:hAnsi="Times New Roman"/>
          <w:sz w:val="24"/>
          <w:szCs w:val="24"/>
        </w:rPr>
        <w:t xml:space="preserve">This appendix reports the structural relationship between the baseline deprivation hierarchy and the flow metrics, and examines the subset of MSOAs whose cascade and counter-cascade net flows diverge in sign.</w:t>
      </w:r>
    </w:p>
    <w:p>
      <w:pPr>
        <w:pStyle w:val="Heading2"/>
        <w:spacing w:after="150" w:before="300"/>
      </w:pPr>
      <w:r>
        <w:rPr>
          <w:rFonts w:ascii="Times New Roman" w:cs="Times New Roman" w:eastAsia="Times New Roman" w:hAnsi="Times New Roman"/>
          <w:b/>
          <w:bCs/>
          <w:sz w:val="24"/>
          <w:szCs w:val="24"/>
        </w:rPr>
        <w:t xml:space="preserve">C.1 Decile Profiles</w:t>
      </w:r>
    </w:p>
    <w:p>
      <w:pPr>
        <w:spacing w:after="120" w:line="360"/>
        <w:jc w:val="both"/>
      </w:pPr>
      <w:r>
        <w:rPr>
          <w:rFonts w:ascii="Times New Roman" w:cs="Times New Roman" w:eastAsia="Times New Roman" w:hAnsi="Times New Roman"/>
          <w:sz w:val="24"/>
          <w:szCs w:val="24"/>
        </w:rPr>
        <w:t xml:space="preserve">Flow metrics vary systematically across the baseline deprivation hierarchy in both census periods. Directional and compositional measures (Net_Cascade, Net_Counter, Pct_Inflow_Wealthier, Pct_Outflow_Wealthier) decline monotonically from the most deprived to the least deprived deciles. Churn measures (CFI_Churn, Counter_Churn, CFI_Rate, Counter_Rate) follow inverted-U profiles, peaking in the middle deciles where the largest hierarchy-crossing volumes are concentrated. These profiles are highly stable between 2011 and 2021, with rank-order correlations between corresponding decile means exceeding ρ ≈ 1.0 for all metrics.</w:t>
      </w:r>
    </w:p>
    <w:p>
      <w:pPr>
        <w:spacing w:after="100" w:before="100"/>
        <w:jc w:val="center"/>
      </w:pPr>
      <w:r>
        <w:rPr>
          <w:rFonts w:ascii="Times New Roman" w:cs="Times New Roman" w:eastAsia="Times New Roman" w:hAnsi="Times New Roman"/>
          <w:color w:val="888888"/>
          <w:sz w:val="22"/>
          <w:szCs w:val="22"/>
        </w:rPr>
        <w:t xml:space="preserve">[Figure C.1. Decile profiles for all eight metrics, 2011 and 2021, showing means ± standard deviations.]</w:t>
      </w:r>
    </w:p>
    <w:p>
      <w:pPr>
        <w:spacing w:after="120" w:line="360"/>
        <w:jc w:val="both"/>
      </w:pPr>
      <w:r>
        <w:rPr>
          <w:rFonts w:ascii="Times New Roman" w:cs="Times New Roman" w:eastAsia="Times New Roman" w:hAnsi="Times New Roman"/>
          <w:sz w:val="24"/>
          <w:szCs w:val="24"/>
        </w:rPr>
        <w:t xml:space="preserve">The derived measures show complementary patterns. Cascade_Dominance declines gently across deciles but remains close to 0.50 at every position, indicating that neither direction strongly predominates at any single hierarchy level. Cross_Decile_Share is relatively uniform across deciles, confirming that the intensity of hierarchy-crossing migration is not driven by a single part of the hierarchy.</w:t>
      </w:r>
    </w:p>
    <w:p>
      <w:pPr>
        <w:pStyle w:val="Heading2"/>
        <w:spacing w:after="150" w:before="300"/>
      </w:pPr>
      <w:r>
        <w:rPr>
          <w:rFonts w:ascii="Times New Roman" w:cs="Times New Roman" w:eastAsia="Times New Roman" w:hAnsi="Times New Roman"/>
          <w:b/>
          <w:bCs/>
          <w:sz w:val="24"/>
          <w:szCs w:val="24"/>
        </w:rPr>
        <w:t xml:space="preserve">C.2 Temporal Change by Decile</w:t>
      </w:r>
    </w:p>
    <w:p>
      <w:pPr>
        <w:spacing w:after="120" w:line="360"/>
        <w:jc w:val="both"/>
      </w:pPr>
      <w:r>
        <w:rPr>
          <w:rFonts w:ascii="Times New Roman" w:cs="Times New Roman" w:eastAsia="Times New Roman" w:hAnsi="Times New Roman"/>
          <w:sz w:val="24"/>
          <w:szCs w:val="24"/>
        </w:rPr>
        <w:t xml:space="preserve">The 2011–2021 change (Δ) in each metric varies across the hierarchy. Volume declines are concentrated in the most deprived deciles (D1–D4), where both cascade and counter-cascade churn decreased most. Cascade_Dominance shifted modestly toward counter-cascade predominance at all decile positions, consistent with the citywide pattern reported in Section 4.1. These patterns confirm that the structural relationship between hierarchy position and flow direction was preserved across the decade, while absolute volumes declined.</w:t>
      </w:r>
    </w:p>
    <w:p>
      <w:pPr>
        <w:spacing w:after="100" w:before="100"/>
        <w:jc w:val="center"/>
      </w:pPr>
      <w:r>
        <w:rPr>
          <w:rFonts w:ascii="Times New Roman" w:cs="Times New Roman" w:eastAsia="Times New Roman" w:hAnsi="Times New Roman"/>
          <w:color w:val="888888"/>
          <w:sz w:val="22"/>
          <w:szCs w:val="22"/>
        </w:rPr>
        <w:t xml:space="preserve">[Figure C.2. Temporal change (Δ) in cascade, counter-cascade, and derived metrics by decile, 2011–2021.]</w:t>
      </w:r>
    </w:p>
    <w:p>
      <w:pPr>
        <w:pStyle w:val="Heading2"/>
        <w:spacing w:after="150" w:before="300"/>
      </w:pPr>
      <w:r>
        <w:rPr>
          <w:rFonts w:ascii="Times New Roman" w:cs="Times New Roman" w:eastAsia="Times New Roman" w:hAnsi="Times New Roman"/>
          <w:b/>
          <w:bCs/>
          <w:sz w:val="24"/>
          <w:szCs w:val="24"/>
        </w:rPr>
        <w:t xml:space="preserve">C.3 Divergent MSOAs: Net Exporters and Receivers</w:t>
      </w:r>
    </w:p>
    <w:p>
      <w:pPr>
        <w:spacing w:after="120" w:line="360"/>
        <w:jc w:val="both"/>
      </w:pPr>
      <w:r>
        <w:rPr>
          <w:rFonts w:ascii="Times New Roman" w:cs="Times New Roman" w:eastAsia="Times New Roman" w:hAnsi="Times New Roman"/>
          <w:sz w:val="24"/>
          <w:szCs w:val="24"/>
        </w:rPr>
        <w:t xml:space="preserve">Approximately 10% of MSOAs in each period have divergent sign concordance, meaning Net_Cascade and Net_Counter carry opposite signs. These fall into two subtypes.</w:t>
      </w:r>
    </w:p>
    <w:p>
      <w:pPr>
        <w:spacing w:after="120" w:line="360"/>
        <w:jc w:val="both"/>
      </w:pPr>
      <w:r>
        <w:rPr>
          <w:rFonts w:ascii="Times New Roman" w:cs="Times New Roman" w:eastAsia="Times New Roman" w:hAnsi="Times New Roman"/>
          <w:b/>
          <w:bCs/>
          <w:sz w:val="24"/>
          <w:szCs w:val="24"/>
        </w:rPr>
        <w:t xml:space="preserve">Cascade-positive (net receivers) </w:t>
      </w:r>
      <w:r>
        <w:rPr>
          <w:rFonts w:ascii="Times New Roman" w:cs="Times New Roman" w:eastAsia="Times New Roman" w:hAnsi="Times New Roman"/>
          <w:sz w:val="24"/>
          <w:szCs w:val="24"/>
        </w:rPr>
        <w:t xml:space="preserve">simultaneously have positive Net_Cascade (more wealthier-area inflows than poorer-directed outflows) and negative Net_Counter (fewer wealthier-directed outflows than poorer-area inflows). These areas gain residents in both directions across the hierarchy. In 2011, 45 MSOAs were cascade-positive, with a decile profile skewing toward the upper-middle range (D7–D9). Top boroughs were predominantly outer-London suburban areas. By 2021, the count rose to 52, with the upper-hierarchy skew sharpening: D7 led with 13 cases, and D2 dropped to zero.</w:t>
      </w:r>
    </w:p>
    <w:p>
      <w:pPr>
        <w:spacing w:after="120" w:line="360"/>
        <w:jc w:val="both"/>
      </w:pPr>
      <w:r>
        <w:rPr>
          <w:rFonts w:ascii="Times New Roman" w:cs="Times New Roman" w:eastAsia="Times New Roman" w:hAnsi="Times New Roman"/>
          <w:b/>
          <w:bCs/>
          <w:sz w:val="24"/>
          <w:szCs w:val="24"/>
        </w:rPr>
        <w:t xml:space="preserve">Counter-positive (net exporters) </w:t>
      </w:r>
      <w:r>
        <w:rPr>
          <w:rFonts w:ascii="Times New Roman" w:cs="Times New Roman" w:eastAsia="Times New Roman" w:hAnsi="Times New Roman"/>
          <w:sz w:val="24"/>
          <w:szCs w:val="24"/>
        </w:rPr>
        <w:t xml:space="preserve">lose residents in both directions. Wealthier-directed outflows exceed poorer-area inflows, while poorer-directed outflows exceed wealthier-area inflows. In 2011, 42 MSOAs were counter-positive, with a decile profile skewing lower (D2 and D6 each holding 9 cases). Top boroughs were inner-London areas associated with gentrification pressures. By 2021, the count rose to 49, with D2 holding 17 cases and near-zero representation in D7–D9. Newham (12 cases), Hackney (4), Southwark (3), and Croydon (2) dominated.</w:t>
      </w:r>
    </w:p>
    <w:p>
      <w:pPr>
        <w:spacing w:after="120" w:line="360"/>
        <w:jc w:val="both"/>
      </w:pPr>
      <w:r>
        <w:rPr>
          <w:rFonts w:ascii="Times New Roman" w:cs="Times New Roman" w:eastAsia="Times New Roman" w:hAnsi="Times New Roman"/>
          <w:sz w:val="24"/>
          <w:szCs w:val="24"/>
        </w:rPr>
        <w:t xml:space="preserve">The two subtypes show a clear spatial logic. Counter-positive MSOAs (net exporters) concentrate in the inner gentrifying zone, while cascade-positive MSOAs (net receivers) form an outer suburban ring. By 2021 this spatial stratification intensified, with the overlap between subtypes in the middle deciles (D3–D6) narrowing substantially.</w:t>
      </w:r>
    </w:p>
    <w:p>
      <w:pPr>
        <w:spacing w:after="120" w:line="360"/>
        <w:jc w:val="both"/>
      </w:pPr>
      <w:r>
        <w:rPr>
          <w:rFonts w:ascii="Times New Roman" w:cs="Times New Roman" w:eastAsia="Times New Roman" w:hAnsi="Times New Roman"/>
          <w:sz w:val="24"/>
          <w:szCs w:val="24"/>
        </w:rPr>
        <w:t xml:space="preserve">Persistence analysis shows that 45 of 101 divergent MSOAs in 2021 were also divergent in 2011. Under independence, only approximately 9 would be expected to persist by chance. For roughly half of divergent MSOAs, divergence is therefore a stable structural feature rather than random noise. Divergent MSOAs also show a slightly more negative median IMD percentile change compared with concordant MSOAs (−0.015 versus −0.003), though the difference is modest.</w:t>
      </w:r>
    </w:p>
    <w:p>
      <w:pPr>
        <w:spacing w:after="100" w:before="100"/>
        <w:jc w:val="center"/>
      </w:pPr>
      <w:r>
        <w:rPr>
          <w:rFonts w:ascii="Times New Roman" w:cs="Times New Roman" w:eastAsia="Times New Roman" w:hAnsi="Times New Roman"/>
          <w:color w:val="888888"/>
          <w:sz w:val="22"/>
          <w:szCs w:val="22"/>
        </w:rPr>
        <w:t xml:space="preserve">[Figure C.3. Spatial distribution of divergent MSOAs by subtype, 2011 and 2021.]</w:t>
      </w:r>
    </w:p>
    <w:p>
      <w:r>
        <w:br w:type="page"/>
      </w:r>
    </w:p>
    <w:p>
      <w:pPr>
        <w:pStyle w:val="Heading1"/>
        <w:spacing w:after="200" w:before="400"/>
      </w:pPr>
      <w:r>
        <w:rPr>
          <w:rFonts w:ascii="Times New Roman" w:cs="Times New Roman" w:eastAsia="Times New Roman" w:hAnsi="Times New Roman"/>
          <w:b/>
          <w:bCs/>
          <w:sz w:val="28"/>
          <w:szCs w:val="28"/>
        </w:rPr>
        <w:t xml:space="preserve">Appendix D. Threshold and Specification Robustness</w:t>
      </w:r>
    </w:p>
    <w:p>
      <w:pPr>
        <w:spacing w:after="120" w:line="360"/>
        <w:jc w:val="both"/>
      </w:pPr>
      <w:r>
        <w:rPr>
          <w:rFonts w:ascii="Times New Roman" w:cs="Times New Roman" w:eastAsia="Times New Roman" w:hAnsi="Times New Roman"/>
          <w:sz w:val="24"/>
          <w:szCs w:val="24"/>
        </w:rPr>
        <w:t xml:space="preserve">This appendix documents sensitivity tests for three design choices: the Cascade_Dominance formulation and symmetric bandwidth, the treatment of same-decile flows, and the mechanism-tree thresholds.</w:t>
      </w:r>
    </w:p>
    <w:p>
      <w:pPr>
        <w:pStyle w:val="Heading2"/>
        <w:spacing w:after="150" w:before="300"/>
      </w:pPr>
      <w:r>
        <w:rPr>
          <w:rFonts w:ascii="Times New Roman" w:cs="Times New Roman" w:eastAsia="Times New Roman" w:hAnsi="Times New Roman"/>
          <w:b/>
          <w:bCs/>
          <w:sz w:val="24"/>
          <w:szCs w:val="24"/>
        </w:rPr>
        <w:t xml:space="preserve">D.1 Cascade_Dominance: Ratio versus Difference</w:t>
      </w:r>
    </w:p>
    <w:p>
      <w:pPr>
        <w:spacing w:after="120" w:line="360"/>
        <w:jc w:val="both"/>
      </w:pPr>
      <w:r>
        <w:rPr>
          <w:rFonts w:ascii="Times New Roman" w:cs="Times New Roman" w:eastAsia="Times New Roman" w:hAnsi="Times New Roman"/>
          <w:sz w:val="24"/>
          <w:szCs w:val="24"/>
        </w:rPr>
        <w:t xml:space="preserve">The baseline Cascade_Dominance is a ratio: CFI_Churn / (CFI_Churn + Counter_Churn), bounded [0, 1] with 0.50 as the natural midpoint. An alternative difference formulation (CFI_Churn − Counter_Churn) is unbounded and centred on zero. The two formulations agree on directional classification for 92.1% of MSOAs. All disagreements involve swaps between the Symmetric and Counter-led categories; no MSOA switches between Cascade-led and Counter-led. Disagreeing MSOAs have statistically significantly higher total cross-decile churn than agreeing MSOAs (Mann-Whitney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test), confirming that the difference-based formulation is scale-dependent. The ratio-based formulation is retained because it normalises volume differences, treating each MSOA’s directional balance on a common scale regardless of absolute migration volumes.</w:t>
      </w:r>
    </w:p>
    <w:p>
      <w:pPr>
        <w:pStyle w:val="Heading2"/>
        <w:spacing w:after="150" w:before="300"/>
      </w:pPr>
      <w:r>
        <w:rPr>
          <w:rFonts w:ascii="Times New Roman" w:cs="Times New Roman" w:eastAsia="Times New Roman" w:hAnsi="Times New Roman"/>
          <w:b/>
          <w:bCs/>
          <w:sz w:val="24"/>
          <w:szCs w:val="24"/>
        </w:rPr>
        <w:t xml:space="preserve">D.2 Same-Decile Flow Sensitivity</w:t>
      </w:r>
    </w:p>
    <w:p>
      <w:pPr>
        <w:spacing w:after="120" w:line="360"/>
        <w:jc w:val="both"/>
      </w:pPr>
      <w:r>
        <w:rPr>
          <w:rFonts w:ascii="Times New Roman" w:cs="Times New Roman" w:eastAsia="Times New Roman" w:hAnsi="Times New Roman"/>
          <w:sz w:val="24"/>
          <w:szCs w:val="24"/>
        </w:rPr>
        <w:t xml:space="preserve">Three specifications for cascade churn are compared, following a supervisory comment on whether same-decile outflows should contribute to the cascade definition.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3400"/>
      </w:tblGrid>
      <w:tr>
        <w:trPr>
          <w:tblHeader/>
        </w:trPr>
        <w:tc>
          <w:tcPr>
            <w:tcW w:type="dxa" w:w="2200"/>
            <w:shd w:fill="D9E2F3" w:color="auto" w:val="clear"/>
          </w:tcPr>
          <w:p>
            <w:pPr>
              <w:jc w:val="center"/>
            </w:pPr>
            <w:r>
              <w:rPr>
                <w:rFonts w:ascii="Times New Roman" w:cs="Times New Roman" w:eastAsia="Times New Roman" w:hAnsi="Times New Roman"/>
                <w:b/>
                <w:bCs/>
                <w:sz w:val="20"/>
                <w:szCs w:val="20"/>
              </w:rPr>
              <w:t xml:space="preserve">Mode</w:t>
            </w:r>
          </w:p>
        </w:tc>
        <w:tc>
          <w:tcPr>
            <w:tcW w:type="dxa" w:w="2600"/>
            <w:shd w:fill="D9E2F3" w:color="auto" w:val="clear"/>
          </w:tcPr>
          <w:p>
            <w:pPr>
              <w:jc w:val="center"/>
            </w:pPr>
            <w:r>
              <w:rPr>
                <w:rFonts w:ascii="Times New Roman" w:cs="Times New Roman" w:eastAsia="Times New Roman" w:hAnsi="Times New Roman"/>
                <w:b/>
                <w:bCs/>
                <w:sz w:val="20"/>
                <w:szCs w:val="20"/>
              </w:rPr>
              <w:t xml:space="preserve">Cascade churn</w:t>
            </w:r>
          </w:p>
        </w:tc>
        <w:tc>
          <w:tcPr>
            <w:tcW w:type="dxa" w:w="2600"/>
            <w:shd w:fill="D9E2F3" w:color="auto" w:val="clear"/>
          </w:tcPr>
          <w:p>
            <w:pPr>
              <w:jc w:val="center"/>
            </w:pPr>
            <w:r>
              <w:rPr>
                <w:rFonts w:ascii="Times New Roman" w:cs="Times New Roman" w:eastAsia="Times New Roman" w:hAnsi="Times New Roman"/>
                <w:b/>
                <w:bCs/>
                <w:sz w:val="20"/>
                <w:szCs w:val="20"/>
              </w:rPr>
              <w:t xml:space="preserve">Counter churn</w:t>
            </w:r>
          </w:p>
        </w:tc>
        <w:tc>
          <w:tcPr>
            <w:tcW w:type="dxa" w:w="3400"/>
            <w:shd w:fill="D9E2F3" w:color="auto" w:val="clear"/>
          </w:tcPr>
          <w:p>
            <w:pPr>
              <w:jc w:val="center"/>
            </w:pPr>
            <w:r>
              <w:rPr>
                <w:rFonts w:ascii="Times New Roman" w:cs="Times New Roman" w:eastAsia="Times New Roman" w:hAnsi="Times New Roman"/>
                <w:b/>
                <w:bCs/>
                <w:sz w:val="20"/>
                <w:szCs w:val="20"/>
              </w:rPr>
              <w:t xml:space="preserve">Meaning</w:t>
            </w:r>
          </w:p>
        </w:tc>
      </w:tr>
      <w:tr>
        <w:tc>
          <w:tcPr>
            <w:tcW w:type="dxa" w:w="2200"/>
          </w:tcPr>
          <w:p>
            <w:pPr>
              <w:jc w:val="left"/>
            </w:pPr>
            <w:r>
              <w:rPr>
                <w:rFonts w:ascii="Times New Roman" w:cs="Times New Roman" w:eastAsia="Times New Roman" w:hAnsi="Times New Roman"/>
                <w:sz w:val="20"/>
                <w:szCs w:val="20"/>
              </w:rPr>
              <w:t xml:space="preserve">Strict (baseline)</w:t>
            </w:r>
          </w:p>
        </w:tc>
        <w:tc>
          <w:tcPr>
            <w:tcW w:type="dxa" w:w="2600"/>
          </w:tcPr>
          <w:p>
            <w:pPr>
              <w:jc w:val="left"/>
            </w:pPr>
            <w:r>
              <w:rPr>
                <w:rFonts w:ascii="Times New Roman" w:cs="Times New Roman" w:eastAsia="Times New Roman" w:hAnsi="Times New Roman"/>
                <w:sz w:val="20"/>
                <w:szCs w:val="20"/>
              </w:rPr>
              <w:t xml:space="preserve">IW + OP</w:t>
            </w:r>
          </w:p>
        </w:tc>
        <w:tc>
          <w:tcPr>
            <w:tcW w:type="dxa" w:w="2600"/>
          </w:tcPr>
          <w:p>
            <w:pPr>
              <w:jc w:val="left"/>
            </w:pPr>
            <w:r>
              <w:rPr>
                <w:rFonts w:ascii="Times New Roman" w:cs="Times New Roman" w:eastAsia="Times New Roman" w:hAnsi="Times New Roman"/>
                <w:sz w:val="20"/>
                <w:szCs w:val="20"/>
              </w:rPr>
              <w:t xml:space="preserve">OW + IP</w:t>
            </w:r>
          </w:p>
        </w:tc>
        <w:tc>
          <w:tcPr>
            <w:tcW w:type="dxa" w:w="3400"/>
          </w:tcPr>
          <w:p>
            <w:pPr>
              <w:jc w:val="left"/>
            </w:pPr>
            <w:r>
              <w:rPr>
                <w:rFonts w:ascii="Times New Roman" w:cs="Times New Roman" w:eastAsia="Times New Roman" w:hAnsi="Times New Roman"/>
                <w:sz w:val="20"/>
                <w:szCs w:val="20"/>
              </w:rPr>
              <w:t xml:space="preserve">Cascade = ladder-crossing displacement only</w:t>
            </w:r>
          </w:p>
        </w:tc>
      </w:tr>
      <w:tr>
        <w:tc>
          <w:tcPr>
            <w:tcW w:type="dxa" w:w="2200"/>
          </w:tcPr>
          <w:p>
            <w:pPr>
              <w:jc w:val="left"/>
            </w:pPr>
            <w:r>
              <w:rPr>
                <w:rFonts w:ascii="Times New Roman" w:cs="Times New Roman" w:eastAsia="Times New Roman" w:hAnsi="Times New Roman"/>
                <w:sz w:val="20"/>
                <w:szCs w:val="20"/>
              </w:rPr>
              <w:t xml:space="preserve">Asymmetric</w:t>
            </w:r>
          </w:p>
        </w:tc>
        <w:tc>
          <w:tcPr>
            <w:tcW w:type="dxa" w:w="2600"/>
          </w:tcPr>
          <w:p>
            <w:pPr>
              <w:jc w:val="left"/>
            </w:pPr>
            <w:r>
              <w:rPr>
                <w:rFonts w:ascii="Times New Roman" w:cs="Times New Roman" w:eastAsia="Times New Roman" w:hAnsi="Times New Roman"/>
                <w:sz w:val="20"/>
                <w:szCs w:val="20"/>
              </w:rPr>
              <w:t xml:space="preserve">IW + OP + O_same</w:t>
            </w:r>
          </w:p>
        </w:tc>
        <w:tc>
          <w:tcPr>
            <w:tcW w:type="dxa" w:w="2600"/>
          </w:tcPr>
          <w:p>
            <w:pPr>
              <w:jc w:val="left"/>
            </w:pPr>
            <w:r>
              <w:rPr>
                <w:rFonts w:ascii="Times New Roman" w:cs="Times New Roman" w:eastAsia="Times New Roman" w:hAnsi="Times New Roman"/>
                <w:sz w:val="20"/>
                <w:szCs w:val="20"/>
              </w:rPr>
              <w:t xml:space="preserve">OW + IP</w:t>
            </w:r>
          </w:p>
        </w:tc>
        <w:tc>
          <w:tcPr>
            <w:tcW w:type="dxa" w:w="3400"/>
          </w:tcPr>
          <w:p>
            <w:pPr>
              <w:jc w:val="left"/>
            </w:pPr>
            <w:r>
              <w:rPr>
                <w:rFonts w:ascii="Times New Roman" w:cs="Times New Roman" w:eastAsia="Times New Roman" w:hAnsi="Times New Roman"/>
                <w:sz w:val="20"/>
                <w:szCs w:val="20"/>
              </w:rPr>
              <w:t xml:space="preserve">Same-decile outflows added to cascade only</w:t>
            </w:r>
          </w:p>
        </w:tc>
      </w:tr>
      <w:tr>
        <w:tc>
          <w:tcPr>
            <w:tcW w:type="dxa" w:w="2200"/>
          </w:tcPr>
          <w:p>
            <w:pPr>
              <w:jc w:val="left"/>
            </w:pPr>
            <w:r>
              <w:rPr>
                <w:rFonts w:ascii="Times New Roman" w:cs="Times New Roman" w:eastAsia="Times New Roman" w:hAnsi="Times New Roman"/>
                <w:sz w:val="20"/>
                <w:szCs w:val="20"/>
              </w:rPr>
              <w:t xml:space="preserve">Symmetric</w:t>
            </w:r>
          </w:p>
        </w:tc>
        <w:tc>
          <w:tcPr>
            <w:tcW w:type="dxa" w:w="2600"/>
          </w:tcPr>
          <w:p>
            <w:pPr>
              <w:jc w:val="left"/>
            </w:pPr>
            <w:r>
              <w:rPr>
                <w:rFonts w:ascii="Times New Roman" w:cs="Times New Roman" w:eastAsia="Times New Roman" w:hAnsi="Times New Roman"/>
                <w:sz w:val="20"/>
                <w:szCs w:val="20"/>
              </w:rPr>
              <w:t xml:space="preserve">IW + OP + O_same</w:t>
            </w:r>
          </w:p>
        </w:tc>
        <w:tc>
          <w:tcPr>
            <w:tcW w:type="dxa" w:w="2600"/>
          </w:tcPr>
          <w:p>
            <w:pPr>
              <w:jc w:val="left"/>
            </w:pPr>
            <w:r>
              <w:rPr>
                <w:rFonts w:ascii="Times New Roman" w:cs="Times New Roman" w:eastAsia="Times New Roman" w:hAnsi="Times New Roman"/>
                <w:sz w:val="20"/>
                <w:szCs w:val="20"/>
              </w:rPr>
              <w:t xml:space="preserve">OW + IP + I_same</w:t>
            </w:r>
          </w:p>
        </w:tc>
        <w:tc>
          <w:tcPr>
            <w:tcW w:type="dxa" w:w="3400"/>
          </w:tcPr>
          <w:p>
            <w:pPr>
              <w:jc w:val="left"/>
            </w:pPr>
            <w:r>
              <w:rPr>
                <w:rFonts w:ascii="Times New Roman" w:cs="Times New Roman" w:eastAsia="Times New Roman" w:hAnsi="Times New Roman"/>
                <w:sz w:val="20"/>
                <w:szCs w:val="20"/>
              </w:rPr>
              <w:t xml:space="preserve">Both arms broadened symmetrically</w:t>
            </w:r>
          </w:p>
        </w:tc>
      </w:tr>
    </w:tbl>
    <w:p>
      <w:pPr>
        <w:spacing w:after="200" w:before="100"/>
        <w:jc w:val="left"/>
      </w:pPr>
      <w:r>
        <w:rPr>
          <w:rFonts w:ascii="Times New Roman" w:cs="Times New Roman" w:eastAsia="Times New Roman" w:hAnsi="Times New Roman"/>
          <w:i/>
          <w:iCs/>
          <w:sz w:val="22"/>
          <w:szCs w:val="22"/>
        </w:rPr>
        <w:t xml:space="preserve">Table D.1. Three cascade-churn specifications. O_same = outflow to same decile; I_same = inflow from same decile.</w:t>
      </w:r>
    </w:p>
    <w:p>
      <w:pPr>
        <w:spacing w:after="120" w:line="360"/>
        <w:jc w:val="both"/>
      </w:pPr>
      <w:r>
        <w:rPr>
          <w:rFonts w:ascii="Times New Roman" w:cs="Times New Roman" w:eastAsia="Times New Roman" w:hAnsi="Times New Roman"/>
          <w:sz w:val="24"/>
          <w:szCs w:val="24"/>
        </w:rPr>
        <w:t xml:space="preserve">Same-decile out-moves are substantial in volume, approximately 0.4 times the to-poorer arm and roughly 17% of all out-migration. The strict design reproduces the published Frame A typology exactly (129 Cascade-led in 2011, 76 in 2021). The asymmetric broadening approximately triples the Cascade-led count, but this is a scale artefact: adding volume only to the cascade arm mechanically inflates every area’s Cascade_Dominance. The symmetric broadening retains approximately 80% of the baseline Cascade-led set, but it collapses the Cross_Decile_Share axis to approximately 1.0 for every London MSOA, erasing the Lateral class. Since the classifier is built on separating ladder-crossing from lateral turnover, this axis must survive.</w:t>
      </w:r>
    </w:p>
    <w:p>
      <w:pPr>
        <w:spacing w:after="120" w:line="360"/>
        <w:jc w:val="both"/>
      </w:pPr>
      <w:r>
        <w:rPr>
          <w:rFonts w:ascii="Times New Roman" w:cs="Times New Roman" w:eastAsia="Times New Roman" w:hAnsi="Times New Roman"/>
          <w:sz w:val="24"/>
          <w:szCs w:val="24"/>
        </w:rPr>
        <w:t xml:space="preserve">The strict cross-decile specification is therefore retained as the core definition. “Cascade” is defined as movement across the deprivation hierarchy; same-decile moves are lateral by construction and do not cross the ladder.</w:t>
      </w:r>
    </w:p>
    <w:p>
      <w:pPr>
        <w:pStyle w:val="Heading2"/>
        <w:spacing w:after="150" w:before="300"/>
      </w:pPr>
      <w:r>
        <w:rPr>
          <w:rFonts w:ascii="Times New Roman" w:cs="Times New Roman" w:eastAsia="Times New Roman" w:hAnsi="Times New Roman"/>
          <w:b/>
          <w:bCs/>
          <w:sz w:val="24"/>
          <w:szCs w:val="24"/>
        </w:rPr>
        <w:t xml:space="preserve">D.3 Mechanism-Tree Threshold: Cascade-Inflow-Share at 0.25</w:t>
      </w:r>
    </w:p>
    <w:p>
      <w:pPr>
        <w:spacing w:after="120" w:line="360"/>
        <w:jc w:val="both"/>
      </w:pPr>
      <w:r>
        <w:rPr>
          <w:rFonts w:ascii="Times New Roman" w:cs="Times New Roman" w:eastAsia="Times New Roman" w:hAnsi="Times New Roman"/>
          <w:sz w:val="24"/>
          <w:szCs w:val="24"/>
        </w:rPr>
        <w:t xml:space="preserve">The cascade-inflow-share threshold of 0.25 lies within an empirical gap in the distribution of inflow shares among Frame C Cascade-led MSOAs. Among frame-robust cases, the distribution is bimodal in both census periods independently: a cluster hugging zero (near-pure outflow) and a continuum starting around 0.30, separated by an interval that is empty in both censuses. Any threshold within this shared empty interval produces identical classifications in both years. The exact value of 0.25 is a round number inside a gap the data drew.</w:t>
      </w:r>
    </w:p>
    <w:p>
      <w:pPr>
        <w:spacing w:after="120" w:line="360"/>
        <w:jc w:val="both"/>
      </w:pPr>
      <w:r>
        <w:rPr>
          <w:rFonts w:ascii="Times New Roman" w:cs="Times New Roman" w:eastAsia="Times New Roman" w:hAnsi="Times New Roman"/>
          <w:sz w:val="24"/>
          <w:szCs w:val="24"/>
        </w:rPr>
        <w:t xml:space="preserve">The threshold is not placed at 0.50 because the chain-displacement mechanism predicts that the outflow arm should be comparable to or larger than the inflow arm. A 0.50 cut would misclassify archetypal genuine cascades, such as Camden 026 (inflow share 0.46 in 2011, 0.40 in 2021) and Tower Hamlets 010 (0.49 and 0.45), as outflow-driven.</w:t>
      </w:r>
    </w:p>
    <w:p>
      <w:pPr>
        <w:spacing w:after="120" w:line="360"/>
        <w:jc w:val="both"/>
      </w:pPr>
      <w:r>
        <w:rPr>
          <w:rFonts w:ascii="Times New Roman" w:cs="Times New Roman" w:eastAsia="Times New Roman" w:hAnsi="Times New Roman"/>
          <w:sz w:val="24"/>
          <w:szCs w:val="24"/>
        </w:rPr>
        <w:t xml:space="preserve">Three defences support the 0.25 placement: (1) the same interval is empty in two independent censuses; (2) the classification is invariant across the entire interval; and (3) the two resulting groups differ by roughly an order of magnitude in inflow share (0.01–0.23 versus 0.30–1.00).</w:t>
      </w:r>
    </w:p>
    <w:p>
      <w:pPr>
        <w:spacing w:after="100" w:before="100"/>
        <w:jc w:val="center"/>
      </w:pPr>
      <w:r>
        <w:rPr>
          <w:rFonts w:ascii="Times New Roman" w:cs="Times New Roman" w:eastAsia="Times New Roman" w:hAnsi="Times New Roman"/>
          <w:color w:val="888888"/>
          <w:sz w:val="22"/>
          <w:szCs w:val="22"/>
        </w:rPr>
        <w:t xml:space="preserve">[Figure D.1. Distribution of cascade-inflow-share among Frame C Cascade-led MSOAs, 2011 and 2021, showing the empty interval containing the 0.25 threshold.]</w:t>
      </w:r>
    </w:p>
    <w:p>
      <w:pPr>
        <w:pStyle w:val="Heading2"/>
        <w:spacing w:after="150" w:before="300"/>
      </w:pPr>
      <w:r>
        <w:rPr>
          <w:rFonts w:ascii="Times New Roman" w:cs="Times New Roman" w:eastAsia="Times New Roman" w:hAnsi="Times New Roman"/>
          <w:b/>
          <w:bCs/>
          <w:sz w:val="24"/>
          <w:szCs w:val="24"/>
        </w:rPr>
        <w:t xml:space="preserve">D.4 Mechanism-Tree Threshold: External-Arm-Share at 0.50</w:t>
      </w:r>
    </w:p>
    <w:p>
      <w:pPr>
        <w:spacing w:after="120" w:line="360"/>
        <w:jc w:val="both"/>
      </w:pPr>
      <w:r>
        <w:rPr>
          <w:rFonts w:ascii="Times New Roman" w:cs="Times New Roman" w:eastAsia="Times New Roman" w:hAnsi="Times New Roman"/>
          <w:sz w:val="24"/>
          <w:szCs w:val="24"/>
        </w:rPr>
        <w:t xml:space="preserve">The external-arm-share threshold of 0.50 has no empirical gap: among outflow-dominated Cascade-led MSOAs, the distribution is dense through 0.40–0.60 in both years. The threshold is therefore declared as a majority convention and defended on two grounds.</w:t>
      </w:r>
    </w:p>
    <w:p>
      <w:pPr>
        <w:spacing w:after="120" w:line="360"/>
        <w:jc w:val="both"/>
      </w:pPr>
      <w:r>
        <w:rPr>
          <w:rFonts w:ascii="Times New Roman" w:cs="Times New Roman" w:eastAsia="Times New Roman" w:hAnsi="Times New Roman"/>
          <w:sz w:val="24"/>
          <w:szCs w:val="24"/>
        </w:rPr>
        <w:t xml:space="preserve">First, 0.50 is the unique value at which the class label is literally true: the majority of the area’s poorer-directed outflow leaves London. Second, the finding the threshold feeds survives every reasonable cut. At thresholds of 0.45, 0.50, and 0.55, the outflow-external-majority counts are 38→103, 19→78, and 8→46 respectively. The growth ratio strengthens as the cut tightens (×2.7, ×4.1, ×5.8), and the exclusively outer-London geography holds throughout. The class boundary moves; the phenomenon does not.</w:t>
      </w:r>
    </w:p>
    <w:p>
      <w:pPr>
        <w:spacing w:after="120" w:line="360"/>
        <w:jc w:val="both"/>
      </w:pPr>
      <w:r>
        <w:rPr>
          <w:rFonts w:ascii="Times New Roman" w:cs="Times New Roman" w:eastAsia="Times New Roman" w:hAnsi="Times New Roman"/>
          <w:sz w:val="24"/>
          <w:szCs w:val="24"/>
        </w:rPr>
        <w:t xml:space="preserve">MSOAs at or below national Decile 6 have an external-arm-share of zero by construction, because the external node at Decile 6 is not “poorer” from their position. This exclusion is immaterial: essentially none of the outflow-dominated MSOAs sit at or below national Decile 6.</w:t>
      </w:r>
    </w:p>
    <w:p>
      <w:pPr>
        <w:spacing w:after="100" w:before="100"/>
        <w:jc w:val="center"/>
      </w:pPr>
      <w:r>
        <w:rPr>
          <w:rFonts w:ascii="Times New Roman" w:cs="Times New Roman" w:eastAsia="Times New Roman" w:hAnsi="Times New Roman"/>
          <w:color w:val="888888"/>
          <w:sz w:val="22"/>
          <w:szCs w:val="22"/>
        </w:rPr>
        <w:t xml:space="preserve">[Figure D.2. Sensitivity of mechanism-leaf membership to the external-arm-share threshold (0.45, 0.50, 0.55), 2011 and 2021.]</w:t>
      </w:r>
    </w:p>
    <w:p>
      <w:r>
        <w:br w:type="page"/>
      </w:r>
    </w:p>
    <w:p>
      <w:pPr>
        <w:pStyle w:val="Heading1"/>
        <w:spacing w:after="200" w:before="400"/>
      </w:pPr>
      <w:r>
        <w:rPr>
          <w:rFonts w:ascii="Times New Roman" w:cs="Times New Roman" w:eastAsia="Times New Roman" w:hAnsi="Times New Roman"/>
          <w:b/>
          <w:bCs/>
          <w:sz w:val="28"/>
          <w:szCs w:val="28"/>
        </w:rPr>
        <w:t xml:space="preserve">Appendix E. Reference-Frame Decomposition Detail</w:t>
      </w:r>
    </w:p>
    <w:p>
      <w:pPr>
        <w:spacing w:after="120" w:line="360"/>
        <w:jc w:val="both"/>
      </w:pPr>
      <w:r>
        <w:rPr>
          <w:rFonts w:ascii="Times New Roman" w:cs="Times New Roman" w:eastAsia="Times New Roman" w:hAnsi="Times New Roman"/>
          <w:sz w:val="24"/>
          <w:szCs w:val="24"/>
        </w:rPr>
        <w:t xml:space="preserve">This appendix reports the full decomposition of frame effects on flow measures and regime typologies. The three-frame design (Section 3.9) separates reclassification effects (Frame A to Frame B) from external-flow effects (Frame B to Frame C).</w:t>
      </w:r>
    </w:p>
    <w:p>
      <w:pPr>
        <w:pStyle w:val="Heading2"/>
        <w:spacing w:after="150" w:before="300"/>
      </w:pPr>
      <w:r>
        <w:rPr>
          <w:rFonts w:ascii="Times New Roman" w:cs="Times New Roman" w:eastAsia="Times New Roman" w:hAnsi="Times New Roman"/>
          <w:b/>
          <w:bCs/>
          <w:sz w:val="24"/>
          <w:szCs w:val="24"/>
        </w:rPr>
        <w:t xml:space="preserve">E.1 External Flow Classification by Decile</w:t>
      </w:r>
    </w:p>
    <w:p>
      <w:pPr>
        <w:spacing w:after="120" w:line="360"/>
        <w:jc w:val="both"/>
      </w:pPr>
      <w:r>
        <w:rPr>
          <w:rFonts w:ascii="Times New Roman" w:cs="Times New Roman" w:eastAsia="Times New Roman" w:hAnsi="Times New Roman"/>
          <w:sz w:val="24"/>
          <w:szCs w:val="24"/>
        </w:rPr>
        <w:t xml:space="preserve">The synthetic external node is fixed at national Decile 6. For each London MSOA, whether external flows are classified as “wealthier” or “poorer” depends on the MSOA’s own national decile position. For MSOAs in national Deciles 1–5 (approximately 69% of London MSOAs), external arrivals count as Inflow_Wealthier and external departures count as Outflow_Wealthier. For MSOAs in Deciles 7–10, external arrivals count as Inflow_Poorer and external departures count as Outflow_Poorer. This classification is symmetric across census years because it depends only on the fixed IMD 2010 decile assignment.</w:t>
      </w:r>
    </w:p>
    <w:p>
      <w:pPr>
        <w:pStyle w:val="Heading2"/>
        <w:spacing w:after="150" w:before="300"/>
      </w:pPr>
      <w:r>
        <w:rPr>
          <w:rFonts w:ascii="Times New Roman" w:cs="Times New Roman" w:eastAsia="Times New Roman" w:hAnsi="Times New Roman"/>
          <w:b/>
          <w:bCs/>
          <w:sz w:val="24"/>
          <w:szCs w:val="24"/>
        </w:rPr>
        <w:t xml:space="preserve">E.2 Aggregate External Flow Volumes</w:t>
      </w:r>
    </w:p>
    <w:p>
      <w:pPr>
        <w:spacing w:after="120" w:line="360"/>
        <w:jc w:val="both"/>
      </w:pPr>
      <w:r>
        <w:rPr>
          <w:rFonts w:ascii="Times New Roman" w:cs="Times New Roman" w:eastAsia="Times New Roman" w:hAnsi="Times New Roman"/>
          <w:sz w:val="24"/>
          <w:szCs w:val="24"/>
        </w:rPr>
        <w:t xml:space="preserve">Between the two census periods, external inflows into London declined by 17.8%, while external outflows from London increased by 51.3%. By 2021, London recorded negative net external migration across every national deprivation decile. The volume decline in external inflows and the large increase in external outflows are the primary drivers of the citywide counterward shift between Frames B and C.</w:t>
      </w:r>
    </w:p>
    <w:p>
      <w:pPr>
        <w:spacing w:after="100" w:before="100"/>
        <w:jc w:val="center"/>
      </w:pPr>
      <w:r>
        <w:rPr>
          <w:rFonts w:ascii="Times New Roman" w:cs="Times New Roman" w:eastAsia="Times New Roman" w:hAnsi="Times New Roman"/>
          <w:color w:val="888888"/>
          <w:sz w:val="22"/>
          <w:szCs w:val="22"/>
        </w:rPr>
        <w:t xml:space="preserve">[Figure E.1. External flow volumes by national decile, 2011 and 2021 (inflows and outflows separately).]</w:t>
      </w:r>
    </w:p>
    <w:p>
      <w:pPr>
        <w:pStyle w:val="Heading2"/>
        <w:spacing w:after="150" w:before="300"/>
      </w:pPr>
      <w:r>
        <w:rPr>
          <w:rFonts w:ascii="Times New Roman" w:cs="Times New Roman" w:eastAsia="Times New Roman" w:hAnsi="Times New Roman"/>
          <w:b/>
          <w:bCs/>
          <w:sz w:val="24"/>
          <w:szCs w:val="24"/>
        </w:rPr>
        <w:t xml:space="preserve">E.3 Frame A to Frame B: Reclassification Effects</w:t>
      </w:r>
    </w:p>
    <w:p>
      <w:pPr>
        <w:spacing w:after="120" w:line="360"/>
        <w:jc w:val="both"/>
      </w:pPr>
      <w:r>
        <w:rPr>
          <w:rFonts w:ascii="Times New Roman" w:cs="Times New Roman" w:eastAsia="Times New Roman" w:hAnsi="Times New Roman"/>
          <w:sz w:val="24"/>
          <w:szCs w:val="24"/>
        </w:rPr>
        <w:t xml:space="preserve">Changing from the London-relative to the England-wide deprivation ladder while retaining London-internal flows produced modest reclassification effects. Cross-decile migration declined by approximately 16–21%, because some movements crossing London-relative decile boundaries became lateral under the nationally compressed distribution. Approximately 69% of London MSOAs fall below national Decile 6, reflecting London’s position as relatively more deprived within the national distribution. Changes in Cascade_Dominance were small and centred close to zero.</w:t>
      </w:r>
    </w:p>
    <w:p>
      <w:pPr>
        <w:pStyle w:val="Heading2"/>
        <w:spacing w:after="150" w:before="300"/>
      </w:pPr>
      <w:r>
        <w:rPr>
          <w:rFonts w:ascii="Times New Roman" w:cs="Times New Roman" w:eastAsia="Times New Roman" w:hAnsi="Times New Roman"/>
          <w:b/>
          <w:bCs/>
          <w:sz w:val="24"/>
          <w:szCs w:val="24"/>
        </w:rPr>
        <w:t xml:space="preserve">E.4 Frame B to Frame C: External-Flow Effects</w:t>
      </w:r>
    </w:p>
    <w:p>
      <w:pPr>
        <w:spacing w:after="120" w:line="360"/>
        <w:jc w:val="both"/>
      </w:pPr>
      <w:r>
        <w:rPr>
          <w:rFonts w:ascii="Times New Roman" w:cs="Times New Roman" w:eastAsia="Times New Roman" w:hAnsi="Times New Roman"/>
          <w:sz w:val="24"/>
          <w:szCs w:val="24"/>
        </w:rPr>
        <w:t xml:space="preserve">Adding migration across London’s boundary produced much larger effects. The decomposition attributed 85,737 additional counter-direction person-moves to London-to-external migration between 2011 and 2021, compared with 22,326 generated by changing internal London flows. External flows accounted for approximately 73% of the difference between Frames A and C in 2011 and 111% in 2021, the latter exceeding 100% because ladder reclassification partly offset the boundary effect.</w:t>
      </w:r>
    </w:p>
    <w:p>
      <w:pPr>
        <w:pStyle w:val="Heading2"/>
        <w:spacing w:after="150" w:before="300"/>
      </w:pPr>
      <w:r>
        <w:rPr>
          <w:rFonts w:ascii="Times New Roman" w:cs="Times New Roman" w:eastAsia="Times New Roman" w:hAnsi="Times New Roman"/>
          <w:b/>
          <w:bCs/>
          <w:sz w:val="24"/>
          <w:szCs w:val="24"/>
        </w:rPr>
        <w:t xml:space="preserve">E.5 Typology under Three Frames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1500"/>
        <w:gridCol w:w="1500"/>
        <w:gridCol w:w="1500"/>
        <w:gridCol w:w="1500"/>
      </w:tblGrid>
      <w:tr>
        <w:trPr>
          <w:tblHeader/>
        </w:trPr>
        <w:tc>
          <w:tcPr>
            <w:tcW w:type="dxa" w:w="1600"/>
            <w:shd w:fill="D9E2F3" w:color="auto" w:val="clear"/>
          </w:tcPr>
          <w:p>
            <w:pPr>
              <w:jc w:val="center"/>
            </w:pPr>
            <w:r>
              <w:rPr>
                <w:rFonts w:ascii="Times New Roman" w:cs="Times New Roman" w:eastAsia="Times New Roman" w:hAnsi="Times New Roman"/>
                <w:b/>
                <w:bCs/>
                <w:sz w:val="20"/>
                <w:szCs w:val="20"/>
              </w:rPr>
              <w:t xml:space="preserve">Regime</w:t>
            </w:r>
          </w:p>
        </w:tc>
        <w:tc>
          <w:tcPr>
            <w:tcW w:type="dxa" w:w="1500"/>
            <w:shd w:fill="D9E2F3" w:color="auto" w:val="clear"/>
          </w:tcPr>
          <w:p>
            <w:pPr>
              <w:jc w:val="center"/>
            </w:pPr>
            <w:r>
              <w:rPr>
                <w:rFonts w:ascii="Times New Roman" w:cs="Times New Roman" w:eastAsia="Times New Roman" w:hAnsi="Times New Roman"/>
                <w:b/>
                <w:bCs/>
                <w:sz w:val="20"/>
                <w:szCs w:val="20"/>
              </w:rPr>
              <w:t xml:space="preserve">Frame A 2011</w:t>
            </w:r>
          </w:p>
        </w:tc>
        <w:tc>
          <w:tcPr>
            <w:tcW w:type="dxa" w:w="1500"/>
            <w:shd w:fill="D9E2F3" w:color="auto" w:val="clear"/>
          </w:tcPr>
          <w:p>
            <w:pPr>
              <w:jc w:val="center"/>
            </w:pPr>
            <w:r>
              <w:rPr>
                <w:rFonts w:ascii="Times New Roman" w:cs="Times New Roman" w:eastAsia="Times New Roman" w:hAnsi="Times New Roman"/>
                <w:b/>
                <w:bCs/>
                <w:sz w:val="20"/>
                <w:szCs w:val="20"/>
              </w:rPr>
              <w:t xml:space="preserve">Frame A 2021</w:t>
            </w:r>
          </w:p>
        </w:tc>
        <w:tc>
          <w:tcPr>
            <w:tcW w:type="dxa" w:w="1500"/>
            <w:shd w:fill="D9E2F3" w:color="auto" w:val="clear"/>
          </w:tcPr>
          <w:p>
            <w:pPr>
              <w:jc w:val="center"/>
            </w:pPr>
            <w:r>
              <w:rPr>
                <w:rFonts w:ascii="Times New Roman" w:cs="Times New Roman" w:eastAsia="Times New Roman" w:hAnsi="Times New Roman"/>
                <w:b/>
                <w:bCs/>
                <w:sz w:val="20"/>
                <w:szCs w:val="20"/>
              </w:rPr>
              <w:t xml:space="preserve">Frame B 2011</w:t>
            </w:r>
          </w:p>
        </w:tc>
        <w:tc>
          <w:tcPr>
            <w:tcW w:type="dxa" w:w="1500"/>
            <w:shd w:fill="D9E2F3" w:color="auto" w:val="clear"/>
          </w:tcPr>
          <w:p>
            <w:pPr>
              <w:jc w:val="center"/>
            </w:pPr>
            <w:r>
              <w:rPr>
                <w:rFonts w:ascii="Times New Roman" w:cs="Times New Roman" w:eastAsia="Times New Roman" w:hAnsi="Times New Roman"/>
                <w:b/>
                <w:bCs/>
                <w:sz w:val="20"/>
                <w:szCs w:val="20"/>
              </w:rPr>
              <w:t xml:space="preserve">Frame B 2021</w:t>
            </w:r>
          </w:p>
        </w:tc>
        <w:tc>
          <w:tcPr>
            <w:tcW w:type="dxa" w:w="1500"/>
            <w:shd w:fill="D9E2F3" w:color="auto" w:val="clear"/>
          </w:tcPr>
          <w:p>
            <w:pPr>
              <w:jc w:val="center"/>
            </w:pPr>
            <w:r>
              <w:rPr>
                <w:rFonts w:ascii="Times New Roman" w:cs="Times New Roman" w:eastAsia="Times New Roman" w:hAnsi="Times New Roman"/>
                <w:b/>
                <w:bCs/>
                <w:sz w:val="20"/>
                <w:szCs w:val="20"/>
              </w:rPr>
              <w:t xml:space="preserve">Frame C 2011</w:t>
            </w:r>
          </w:p>
        </w:tc>
        <w:tc>
          <w:tcPr>
            <w:tcW w:type="dxa" w:w="1500"/>
            <w:shd w:fill="D9E2F3" w:color="auto" w:val="clear"/>
          </w:tcPr>
          <w:p>
            <w:pPr>
              <w:jc w:val="center"/>
            </w:pPr>
            <w:r>
              <w:rPr>
                <w:rFonts w:ascii="Times New Roman" w:cs="Times New Roman" w:eastAsia="Times New Roman" w:hAnsi="Times New Roman"/>
                <w:b/>
                <w:bCs/>
                <w:sz w:val="20"/>
                <w:szCs w:val="20"/>
              </w:rPr>
              <w:t xml:space="preserve">Frame C 2021</w:t>
            </w:r>
          </w:p>
        </w:tc>
      </w:tr>
      <w:tr>
        <w:tc>
          <w:tcPr>
            <w:tcW w:type="dxa" w:w="1600"/>
          </w:tcPr>
          <w:p>
            <w:pPr>
              <w:jc w:val="left"/>
            </w:pPr>
            <w:r>
              <w:rPr>
                <w:rFonts w:ascii="Times New Roman" w:cs="Times New Roman" w:eastAsia="Times New Roman" w:hAnsi="Times New Roman"/>
                <w:sz w:val="20"/>
                <w:szCs w:val="20"/>
              </w:rPr>
              <w:t xml:space="preserve">Cascade-led</w:t>
            </w:r>
          </w:p>
        </w:tc>
        <w:tc>
          <w:tcPr>
            <w:tcW w:type="dxa" w:w="1500"/>
          </w:tcPr>
          <w:p>
            <w:pPr>
              <w:jc w:val="left"/>
            </w:pPr>
            <w:r>
              <w:rPr>
                <w:rFonts w:ascii="Times New Roman" w:cs="Times New Roman" w:eastAsia="Times New Roman" w:hAnsi="Times New Roman"/>
                <w:sz w:val="20"/>
                <w:szCs w:val="20"/>
              </w:rPr>
              <w:t xml:space="preserve">129</w:t>
            </w:r>
          </w:p>
        </w:tc>
        <w:tc>
          <w:tcPr>
            <w:tcW w:type="dxa" w:w="1500"/>
          </w:tcPr>
          <w:p>
            <w:pPr>
              <w:jc w:val="left"/>
            </w:pPr>
            <w:r>
              <w:rPr>
                <w:rFonts w:ascii="Times New Roman" w:cs="Times New Roman" w:eastAsia="Times New Roman" w:hAnsi="Times New Roman"/>
                <w:sz w:val="20"/>
                <w:szCs w:val="20"/>
              </w:rPr>
              <w:t xml:space="preserve">76</w:t>
            </w:r>
          </w:p>
        </w:tc>
        <w:tc>
          <w:tcPr>
            <w:tcW w:type="dxa" w:w="1500"/>
          </w:tcPr>
          <w:p>
            <w:pPr>
              <w:jc w:val="left"/>
            </w:pPr>
            <w:r>
              <w:rPr>
                <w:rFonts w:ascii="Times New Roman" w:cs="Times New Roman" w:eastAsia="Times New Roman" w:hAnsi="Times New Roman"/>
                <w:sz w:val="20"/>
                <w:szCs w:val="20"/>
              </w:rPr>
              <w:t xml:space="preserve">—</w:t>
            </w:r>
          </w:p>
        </w:tc>
        <w:tc>
          <w:tcPr>
            <w:tcW w:type="dxa" w:w="1500"/>
          </w:tcPr>
          <w:p>
            <w:pPr>
              <w:jc w:val="left"/>
            </w:pPr>
            <w:r>
              <w:rPr>
                <w:rFonts w:ascii="Times New Roman" w:cs="Times New Roman" w:eastAsia="Times New Roman" w:hAnsi="Times New Roman"/>
                <w:sz w:val="20"/>
                <w:szCs w:val="20"/>
              </w:rPr>
              <w:t xml:space="preserve">—</w:t>
            </w:r>
          </w:p>
        </w:tc>
        <w:tc>
          <w:tcPr>
            <w:tcW w:type="dxa" w:w="1500"/>
          </w:tcPr>
          <w:p>
            <w:pPr>
              <w:jc w:val="left"/>
            </w:pPr>
            <w:r>
              <w:rPr>
                <w:rFonts w:ascii="Times New Roman" w:cs="Times New Roman" w:eastAsia="Times New Roman" w:hAnsi="Times New Roman"/>
                <w:sz w:val="20"/>
                <w:szCs w:val="20"/>
              </w:rPr>
              <w:t xml:space="preserve">213</w:t>
            </w:r>
          </w:p>
        </w:tc>
        <w:tc>
          <w:tcPr>
            <w:tcW w:type="dxa" w:w="1500"/>
          </w:tcPr>
          <w:p>
            <w:pPr>
              <w:jc w:val="left"/>
            </w:pPr>
            <w:r>
              <w:rPr>
                <w:rFonts w:ascii="Times New Roman" w:cs="Times New Roman" w:eastAsia="Times New Roman" w:hAnsi="Times New Roman"/>
                <w:sz w:val="20"/>
                <w:szCs w:val="20"/>
              </w:rPr>
              <w:t xml:space="preserve">195</w:t>
            </w:r>
          </w:p>
        </w:tc>
      </w:tr>
      <w:tr>
        <w:tc>
          <w:tcPr>
            <w:tcW w:type="dxa" w:w="1600"/>
          </w:tcPr>
          <w:p>
            <w:pPr>
              <w:jc w:val="left"/>
            </w:pPr>
            <w:r>
              <w:rPr>
                <w:rFonts w:ascii="Times New Roman" w:cs="Times New Roman" w:eastAsia="Times New Roman" w:hAnsi="Times New Roman"/>
                <w:sz w:val="20"/>
                <w:szCs w:val="20"/>
              </w:rPr>
              <w:t xml:space="preserve">Counter-led</w:t>
            </w:r>
          </w:p>
        </w:tc>
        <w:tc>
          <w:tcPr>
            <w:tcW w:type="dxa" w:w="1500"/>
          </w:tcPr>
          <w:p>
            <w:pPr>
              <w:jc w:val="left"/>
            </w:pPr>
            <w:r>
              <w:rPr>
                <w:rFonts w:ascii="Times New Roman" w:cs="Times New Roman" w:eastAsia="Times New Roman" w:hAnsi="Times New Roman"/>
                <w:sz w:val="20"/>
                <w:szCs w:val="20"/>
              </w:rPr>
              <w:t xml:space="preserve">339</w:t>
            </w:r>
          </w:p>
        </w:tc>
        <w:tc>
          <w:tcPr>
            <w:tcW w:type="dxa" w:w="1500"/>
          </w:tcPr>
          <w:p>
            <w:pPr>
              <w:jc w:val="left"/>
            </w:pPr>
            <w:r>
              <w:rPr>
                <w:rFonts w:ascii="Times New Roman" w:cs="Times New Roman" w:eastAsia="Times New Roman" w:hAnsi="Times New Roman"/>
                <w:sz w:val="20"/>
                <w:szCs w:val="20"/>
              </w:rPr>
              <w:t xml:space="preserve">416</w:t>
            </w:r>
          </w:p>
        </w:tc>
        <w:tc>
          <w:tcPr>
            <w:tcW w:type="dxa" w:w="1500"/>
          </w:tcPr>
          <w:p>
            <w:pPr>
              <w:jc w:val="left"/>
            </w:pPr>
            <w:r>
              <w:rPr>
                <w:rFonts w:ascii="Times New Roman" w:cs="Times New Roman" w:eastAsia="Times New Roman" w:hAnsi="Times New Roman"/>
                <w:sz w:val="20"/>
                <w:szCs w:val="20"/>
              </w:rPr>
              <w:t xml:space="preserve">—</w:t>
            </w:r>
          </w:p>
        </w:tc>
        <w:tc>
          <w:tcPr>
            <w:tcW w:type="dxa" w:w="1500"/>
          </w:tcPr>
          <w:p>
            <w:pPr>
              <w:jc w:val="left"/>
            </w:pPr>
            <w:r>
              <w:rPr>
                <w:rFonts w:ascii="Times New Roman" w:cs="Times New Roman" w:eastAsia="Times New Roman" w:hAnsi="Times New Roman"/>
                <w:sz w:val="20"/>
                <w:szCs w:val="20"/>
              </w:rPr>
              <w:t xml:space="preserve">—</w:t>
            </w:r>
          </w:p>
        </w:tc>
        <w:tc>
          <w:tcPr>
            <w:tcW w:type="dxa" w:w="1500"/>
          </w:tcPr>
          <w:p>
            <w:pPr>
              <w:jc w:val="left"/>
            </w:pPr>
            <w:r>
              <w:rPr>
                <w:rFonts w:ascii="Times New Roman" w:cs="Times New Roman" w:eastAsia="Times New Roman" w:hAnsi="Times New Roman"/>
                <w:sz w:val="20"/>
                <w:szCs w:val="20"/>
              </w:rPr>
              <w:t xml:space="preserve">280</w:t>
            </w:r>
          </w:p>
        </w:tc>
        <w:tc>
          <w:tcPr>
            <w:tcW w:type="dxa" w:w="1500"/>
          </w:tcPr>
          <w:p>
            <w:pPr>
              <w:jc w:val="left"/>
            </w:pPr>
            <w:r>
              <w:rPr>
                <w:rFonts w:ascii="Times New Roman" w:cs="Times New Roman" w:eastAsia="Times New Roman" w:hAnsi="Times New Roman"/>
                <w:sz w:val="20"/>
                <w:szCs w:val="20"/>
              </w:rPr>
              <w:t xml:space="preserve">452</w:t>
            </w:r>
          </w:p>
        </w:tc>
      </w:tr>
      <w:tr>
        <w:tc>
          <w:tcPr>
            <w:tcW w:type="dxa" w:w="1600"/>
          </w:tcPr>
          <w:p>
            <w:pPr>
              <w:jc w:val="left"/>
            </w:pPr>
            <w:r>
              <w:rPr>
                <w:rFonts w:ascii="Times New Roman" w:cs="Times New Roman" w:eastAsia="Times New Roman" w:hAnsi="Times New Roman"/>
                <w:sz w:val="20"/>
                <w:szCs w:val="20"/>
              </w:rPr>
              <w:t xml:space="preserve">Symmetric</w:t>
            </w:r>
          </w:p>
        </w:tc>
        <w:tc>
          <w:tcPr>
            <w:tcW w:type="dxa" w:w="1500"/>
          </w:tcPr>
          <w:p>
            <w:pPr>
              <w:jc w:val="left"/>
            </w:pPr>
            <w:r>
              <w:rPr>
                <w:rFonts w:ascii="Times New Roman" w:cs="Times New Roman" w:eastAsia="Times New Roman" w:hAnsi="Times New Roman"/>
                <w:sz w:val="20"/>
                <w:szCs w:val="20"/>
              </w:rPr>
              <w:t xml:space="preserve">268</w:t>
            </w:r>
          </w:p>
        </w:tc>
        <w:tc>
          <w:tcPr>
            <w:tcW w:type="dxa" w:w="1500"/>
          </w:tcPr>
          <w:p>
            <w:pPr>
              <w:jc w:val="left"/>
            </w:pPr>
            <w:r>
              <w:rPr>
                <w:rFonts w:ascii="Times New Roman" w:cs="Times New Roman" w:eastAsia="Times New Roman" w:hAnsi="Times New Roman"/>
                <w:sz w:val="20"/>
                <w:szCs w:val="20"/>
              </w:rPr>
              <w:t xml:space="preserve">244</w:t>
            </w:r>
          </w:p>
        </w:tc>
        <w:tc>
          <w:tcPr>
            <w:tcW w:type="dxa" w:w="1500"/>
          </w:tcPr>
          <w:p>
            <w:pPr>
              <w:jc w:val="left"/>
            </w:pPr>
            <w:r>
              <w:rPr>
                <w:rFonts w:ascii="Times New Roman" w:cs="Times New Roman" w:eastAsia="Times New Roman" w:hAnsi="Times New Roman"/>
                <w:sz w:val="20"/>
                <w:szCs w:val="20"/>
              </w:rPr>
              <w:t xml:space="preserve">—</w:t>
            </w:r>
          </w:p>
        </w:tc>
        <w:tc>
          <w:tcPr>
            <w:tcW w:type="dxa" w:w="1500"/>
          </w:tcPr>
          <w:p>
            <w:pPr>
              <w:jc w:val="left"/>
            </w:pPr>
            <w:r>
              <w:rPr>
                <w:rFonts w:ascii="Times New Roman" w:cs="Times New Roman" w:eastAsia="Times New Roman" w:hAnsi="Times New Roman"/>
                <w:sz w:val="20"/>
                <w:szCs w:val="20"/>
              </w:rPr>
              <w:t xml:space="preserve">—</w:t>
            </w:r>
          </w:p>
        </w:tc>
        <w:tc>
          <w:tcPr>
            <w:tcW w:type="dxa" w:w="1500"/>
          </w:tcPr>
          <w:p>
            <w:pPr>
              <w:jc w:val="left"/>
            </w:pPr>
            <w:r>
              <w:rPr>
                <w:rFonts w:ascii="Times New Roman" w:cs="Times New Roman" w:eastAsia="Times New Roman" w:hAnsi="Times New Roman"/>
                <w:sz w:val="20"/>
                <w:szCs w:val="20"/>
              </w:rPr>
              <w:t xml:space="preserve">243</w:t>
            </w:r>
          </w:p>
        </w:tc>
        <w:tc>
          <w:tcPr>
            <w:tcW w:type="dxa" w:w="1500"/>
          </w:tcPr>
          <w:p>
            <w:pPr>
              <w:jc w:val="left"/>
            </w:pPr>
            <w:r>
              <w:rPr>
                <w:rFonts w:ascii="Times New Roman" w:cs="Times New Roman" w:eastAsia="Times New Roman" w:hAnsi="Times New Roman"/>
                <w:sz w:val="20"/>
                <w:szCs w:val="20"/>
              </w:rPr>
              <w:t xml:space="preserve">89</w:t>
            </w:r>
          </w:p>
        </w:tc>
      </w:tr>
      <w:tr>
        <w:tc>
          <w:tcPr>
            <w:tcW w:type="dxa" w:w="1600"/>
          </w:tcPr>
          <w:p>
            <w:pPr>
              <w:jc w:val="left"/>
            </w:pPr>
            <w:r>
              <w:rPr>
                <w:rFonts w:ascii="Times New Roman" w:cs="Times New Roman" w:eastAsia="Times New Roman" w:hAnsi="Times New Roman"/>
                <w:sz w:val="20"/>
                <w:szCs w:val="20"/>
              </w:rPr>
              <w:t xml:space="preserve">Lateral</w:t>
            </w:r>
          </w:p>
        </w:tc>
        <w:tc>
          <w:tcPr>
            <w:tcW w:type="dxa" w:w="1500"/>
          </w:tcPr>
          <w:p>
            <w:pPr>
              <w:jc w:val="left"/>
            </w:pPr>
            <w:r>
              <w:rPr>
                <w:rFonts w:ascii="Times New Roman" w:cs="Times New Roman" w:eastAsia="Times New Roman" w:hAnsi="Times New Roman"/>
                <w:sz w:val="20"/>
                <w:szCs w:val="20"/>
              </w:rPr>
              <w:t xml:space="preserve">246</w:t>
            </w:r>
          </w:p>
        </w:tc>
        <w:tc>
          <w:tcPr>
            <w:tcW w:type="dxa" w:w="1500"/>
          </w:tcPr>
          <w:p>
            <w:pPr>
              <w:jc w:val="left"/>
            </w:pPr>
            <w:r>
              <w:rPr>
                <w:rFonts w:ascii="Times New Roman" w:cs="Times New Roman" w:eastAsia="Times New Roman" w:hAnsi="Times New Roman"/>
                <w:sz w:val="20"/>
                <w:szCs w:val="20"/>
              </w:rPr>
              <w:t xml:space="preserve">246</w:t>
            </w:r>
          </w:p>
        </w:tc>
        <w:tc>
          <w:tcPr>
            <w:tcW w:type="dxa" w:w="1500"/>
          </w:tcPr>
          <w:p>
            <w:pPr>
              <w:jc w:val="left"/>
            </w:pPr>
            <w:r>
              <w:rPr>
                <w:rFonts w:ascii="Times New Roman" w:cs="Times New Roman" w:eastAsia="Times New Roman" w:hAnsi="Times New Roman"/>
                <w:sz w:val="20"/>
                <w:szCs w:val="20"/>
              </w:rPr>
              <w:t xml:space="preserve">—</w:t>
            </w:r>
          </w:p>
        </w:tc>
        <w:tc>
          <w:tcPr>
            <w:tcW w:type="dxa" w:w="1500"/>
          </w:tcPr>
          <w:p>
            <w:pPr>
              <w:jc w:val="left"/>
            </w:pPr>
            <w:r>
              <w:rPr>
                <w:rFonts w:ascii="Times New Roman" w:cs="Times New Roman" w:eastAsia="Times New Roman" w:hAnsi="Times New Roman"/>
                <w:sz w:val="20"/>
                <w:szCs w:val="20"/>
              </w:rPr>
              <w:t xml:space="preserve">—</w:t>
            </w:r>
          </w:p>
        </w:tc>
        <w:tc>
          <w:tcPr>
            <w:tcW w:type="dxa" w:w="1500"/>
          </w:tcPr>
          <w:p>
            <w:pPr>
              <w:jc w:val="left"/>
            </w:pPr>
            <w:r>
              <w:rPr>
                <w:rFonts w:ascii="Times New Roman" w:cs="Times New Roman" w:eastAsia="Times New Roman" w:hAnsi="Times New Roman"/>
                <w:sz w:val="20"/>
                <w:szCs w:val="20"/>
              </w:rPr>
              <w:t xml:space="preserve">246</w:t>
            </w:r>
          </w:p>
        </w:tc>
        <w:tc>
          <w:tcPr>
            <w:tcW w:type="dxa" w:w="1500"/>
          </w:tcPr>
          <w:p>
            <w:pPr>
              <w:jc w:val="left"/>
            </w:pPr>
            <w:r>
              <w:rPr>
                <w:rFonts w:ascii="Times New Roman" w:cs="Times New Roman" w:eastAsia="Times New Roman" w:hAnsi="Times New Roman"/>
                <w:sz w:val="20"/>
                <w:szCs w:val="20"/>
              </w:rPr>
              <w:t xml:space="preserve">226</w:t>
            </w:r>
          </w:p>
        </w:tc>
      </w:tr>
      <w:tr>
        <w:tc>
          <w:tcPr>
            <w:tcW w:type="dxa" w:w="1600"/>
          </w:tcPr>
          <w:p>
            <w:pPr>
              <w:jc w:val="left"/>
            </w:pPr>
            <w:r>
              <w:rPr>
                <w:rFonts w:ascii="Times New Roman" w:cs="Times New Roman" w:eastAsia="Times New Roman" w:hAnsi="Times New Roman"/>
                <w:sz w:val="20"/>
                <w:szCs w:val="20"/>
              </w:rPr>
              <w:t xml:space="preserve">Total</w:t>
            </w:r>
          </w:p>
        </w:tc>
        <w:tc>
          <w:tcPr>
            <w:tcW w:type="dxa" w:w="1500"/>
          </w:tcPr>
          <w:p>
            <w:pPr>
              <w:jc w:val="left"/>
            </w:pPr>
            <w:r>
              <w:rPr>
                <w:rFonts w:ascii="Times New Roman" w:cs="Times New Roman" w:eastAsia="Times New Roman" w:hAnsi="Times New Roman"/>
                <w:sz w:val="20"/>
                <w:szCs w:val="20"/>
              </w:rPr>
              <w:t xml:space="preserve">982</w:t>
            </w:r>
          </w:p>
        </w:tc>
        <w:tc>
          <w:tcPr>
            <w:tcW w:type="dxa" w:w="1500"/>
          </w:tcPr>
          <w:p>
            <w:pPr>
              <w:jc w:val="left"/>
            </w:pPr>
            <w:r>
              <w:rPr>
                <w:rFonts w:ascii="Times New Roman" w:cs="Times New Roman" w:eastAsia="Times New Roman" w:hAnsi="Times New Roman"/>
                <w:sz w:val="20"/>
                <w:szCs w:val="20"/>
              </w:rPr>
              <w:t xml:space="preserve">982</w:t>
            </w:r>
          </w:p>
        </w:tc>
        <w:tc>
          <w:tcPr>
            <w:tcW w:type="dxa" w:w="1500"/>
          </w:tcPr>
          <w:p>
            <w:pPr>
              <w:jc w:val="left"/>
            </w:pPr>
            <w:r>
              <w:rPr>
                <w:rFonts w:ascii="Times New Roman" w:cs="Times New Roman" w:eastAsia="Times New Roman" w:hAnsi="Times New Roman"/>
                <w:sz w:val="20"/>
                <w:szCs w:val="20"/>
              </w:rPr>
              <w:t xml:space="preserve">982</w:t>
            </w:r>
          </w:p>
        </w:tc>
        <w:tc>
          <w:tcPr>
            <w:tcW w:type="dxa" w:w="1500"/>
          </w:tcPr>
          <w:p>
            <w:pPr>
              <w:jc w:val="left"/>
            </w:pPr>
            <w:r>
              <w:rPr>
                <w:rFonts w:ascii="Times New Roman" w:cs="Times New Roman" w:eastAsia="Times New Roman" w:hAnsi="Times New Roman"/>
                <w:sz w:val="20"/>
                <w:szCs w:val="20"/>
              </w:rPr>
              <w:t xml:space="preserve">982</w:t>
            </w:r>
          </w:p>
        </w:tc>
        <w:tc>
          <w:tcPr>
            <w:tcW w:type="dxa" w:w="1500"/>
          </w:tcPr>
          <w:p>
            <w:pPr>
              <w:jc w:val="left"/>
            </w:pPr>
            <w:r>
              <w:rPr>
                <w:rFonts w:ascii="Times New Roman" w:cs="Times New Roman" w:eastAsia="Times New Roman" w:hAnsi="Times New Roman"/>
                <w:sz w:val="20"/>
                <w:szCs w:val="20"/>
              </w:rPr>
              <w:t xml:space="preserve">982</w:t>
            </w:r>
          </w:p>
        </w:tc>
        <w:tc>
          <w:tcPr>
            <w:tcW w:type="dxa" w:w="1500"/>
          </w:tcPr>
          <w:p>
            <w:pPr>
              <w:jc w:val="left"/>
            </w:pPr>
            <w:r>
              <w:rPr>
                <w:rFonts w:ascii="Times New Roman" w:cs="Times New Roman" w:eastAsia="Times New Roman" w:hAnsi="Times New Roman"/>
                <w:sz w:val="20"/>
                <w:szCs w:val="20"/>
              </w:rPr>
              <w:t xml:space="preserve">982</w:t>
            </w:r>
          </w:p>
        </w:tc>
      </w:tr>
    </w:tbl>
    <w:p>
      <w:pPr>
        <w:spacing w:after="200" w:before="100"/>
        <w:jc w:val="left"/>
      </w:pPr>
      <w:r>
        <w:rPr>
          <w:rFonts w:ascii="Times New Roman" w:cs="Times New Roman" w:eastAsia="Times New Roman" w:hAnsi="Times New Roman"/>
          <w:i/>
          <w:iCs/>
          <w:sz w:val="22"/>
          <w:szCs w:val="22"/>
        </w:rPr>
        <w:t xml:space="preserve">Table E.1. Flow-regime counts under all three frames. Frame B counts are available in the EDA 4 notebook and can be inserted during final assembly. Dashes indicate values to be transcribed from the notebook output.</w:t>
      </w:r>
    </w:p>
    <w:p>
      <w:pPr>
        <w:spacing w:after="120" w:line="360"/>
        <w:jc w:val="both"/>
      </w:pPr>
      <w:r>
        <w:rPr>
          <w:rFonts w:ascii="Times New Roman" w:cs="Times New Roman" w:eastAsia="Times New Roman" w:hAnsi="Times New Roman"/>
          <w:sz w:val="24"/>
          <w:szCs w:val="24"/>
        </w:rPr>
        <w:t xml:space="preserve">The larger Frame C Cascade-led category cannot be read as a stronger general cascade pattern. The external frame allows the same label to be generated by different combinations of inflow and outflow, motivating the mechanism-tree decomposition in Section 3.10.</w:t>
      </w:r>
    </w:p>
    <w:p>
      <w:pPr>
        <w:pStyle w:val="Heading2"/>
        <w:spacing w:after="150" w:before="300"/>
      </w:pPr>
      <w:r>
        <w:rPr>
          <w:rFonts w:ascii="Times New Roman" w:cs="Times New Roman" w:eastAsia="Times New Roman" w:hAnsi="Times New Roman"/>
          <w:b/>
          <w:bCs/>
          <w:sz w:val="24"/>
          <w:szCs w:val="24"/>
        </w:rPr>
        <w:t xml:space="preserve">E.6 Cascade_Dominance Shift Decomposition</w:t>
      </w:r>
    </w:p>
    <w:p>
      <w:pPr>
        <w:spacing w:after="120" w:line="360"/>
        <w:jc w:val="both"/>
      </w:pPr>
      <w:r>
        <w:rPr>
          <w:rFonts w:ascii="Times New Roman" w:cs="Times New Roman" w:eastAsia="Times New Roman" w:hAnsi="Times New Roman"/>
          <w:sz w:val="24"/>
          <w:szCs w:val="24"/>
        </w:rPr>
        <w:t xml:space="preserve">Mean Cascade_Dominance under Frame C fell from 0.486 in 2011 to 0.455 in 2021. The A–B comparison shows that the ladder switch produced near-zero mean shifts in Cascade_Dominance at every decile. The B–C comparison shows that external flows are responsible for virtually all of the shift, with the largest effects concentrated in Deciles 7–10 where external departures count as poorer-directed outflow.</w:t>
      </w:r>
    </w:p>
    <w:p>
      <w:pPr>
        <w:spacing w:after="100" w:before="100"/>
        <w:jc w:val="center"/>
      </w:pPr>
      <w:r>
        <w:rPr>
          <w:rFonts w:ascii="Times New Roman" w:cs="Times New Roman" w:eastAsia="Times New Roman" w:hAnsi="Times New Roman"/>
          <w:color w:val="888888"/>
          <w:sz w:val="22"/>
          <w:szCs w:val="22"/>
        </w:rPr>
        <w:t xml:space="preserve">[Figure E.2. Cascade_Dominance shifts by decile across Frames A, B, and C, 2011 and 2021.]</w:t>
      </w:r>
    </w:p>
    <w:p>
      <w:r>
        <w:br w:type="page"/>
      </w:r>
    </w:p>
    <w:p>
      <w:pPr>
        <w:pStyle w:val="Heading1"/>
        <w:spacing w:after="200" w:before="400"/>
      </w:pPr>
      <w:r>
        <w:rPr>
          <w:rFonts w:ascii="Times New Roman" w:cs="Times New Roman" w:eastAsia="Times New Roman" w:hAnsi="Times New Roman"/>
          <w:b/>
          <w:bCs/>
          <w:sz w:val="28"/>
          <w:szCs w:val="28"/>
        </w:rPr>
        <w:t xml:space="preserve">Appendix F. Full Case-Study Roster</w:t>
      </w:r>
    </w:p>
    <w:p>
      <w:pPr>
        <w:spacing w:after="120" w:line="360"/>
        <w:jc w:val="both"/>
      </w:pPr>
      <w:r>
        <w:rPr>
          <w:rFonts w:ascii="Times New Roman" w:cs="Times New Roman" w:eastAsia="Times New Roman" w:hAnsi="Times New Roman"/>
          <w:sz w:val="24"/>
          <w:szCs w:val="24"/>
        </w:rPr>
        <w:t xml:space="preserve">This appendix presents the complete set of case-study decompositions examined through alluvial flow diagrams. Each figure decomposes the inflow and outflow arms of selected MSOAs into their directional and boundary-crossing components, illustrating how different migration compositions can produce the same coarse regime label.</w:t>
      </w:r>
    </w:p>
    <w:p>
      <w:pPr>
        <w:spacing w:after="120" w:line="360"/>
        <w:jc w:val="both"/>
      </w:pPr>
      <w:r>
        <w:rPr>
          <w:rFonts w:ascii="Times New Roman" w:cs="Times New Roman" w:eastAsia="Times New Roman" w:hAnsi="Times New Roman"/>
          <w:sz w:val="24"/>
          <w:szCs w:val="24"/>
        </w:rPr>
        <w:t xml:space="preserve">In every panel, inflows enter on the left and outflows exit on the right, with band height proportional to flow volume on a shared scale within each figure. Red bands represent cascade-direction arms (from-wealthier inflows and to-poorer outflows). Purple bands represent counter-direction arms (from-poorer inflows and to-wealthier outflows). Pale shades indicate flows crossing the London boundary, while solid shades represent London-internal flows. Each panel’s footer reports: dominance (national frame), inflow share (cascade-churn share on the inflow arm), out-arm ext (external share of the Outflow_Poorer arm), external cross-decile share, and dominance under Frame A.</w:t>
      </w:r>
    </w:p>
    <w:p>
      <w:pPr>
        <w:pStyle w:val="Heading2"/>
        <w:spacing w:after="150" w:before="300"/>
      </w:pPr>
      <w:r>
        <w:rPr>
          <w:rFonts w:ascii="Times New Roman" w:cs="Times New Roman" w:eastAsia="Times New Roman" w:hAnsi="Times New Roman"/>
          <w:b/>
          <w:bCs/>
          <w:sz w:val="24"/>
          <w:szCs w:val="24"/>
        </w:rPr>
        <w:t xml:space="preserve">F.1 Persistent Cascade: Camden 026 and Tower Hamlets 010</w:t>
      </w:r>
    </w:p>
    <w:p>
      <w:pPr>
        <w:spacing w:after="120" w:line="360"/>
        <w:jc w:val="both"/>
      </w:pPr>
      <w:r>
        <w:rPr>
          <w:rFonts w:ascii="Times New Roman" w:cs="Times New Roman" w:eastAsia="Times New Roman" w:hAnsi="Times New Roman"/>
          <w:sz w:val="24"/>
          <w:szCs w:val="24"/>
        </w:rPr>
        <w:t xml:space="preserve">These two MSOAs are among the eight classified as inflow-driven, frame-robust in both census periods. Both combine substantial wealthier-area inflows with poorer-directed outflows and remain Cascade-led under Frame A. Camden 026 has inflow shares of 0.46 (2011) and 0.40 (2021); Tower Hamlets 010 has 0.49 and 0.45. Their alluvial profiles show thick red inflow bands from wealthier London origins alongside matching poorer-directed outflows, consistent with the chain-displacement mechanism described by Marcuse (1985).</w:t>
      </w:r>
    </w:p>
    <w:p>
      <w:pPr>
        <w:spacing w:after="100" w:before="100"/>
        <w:jc w:val="center"/>
      </w:pPr>
      <w:r>
        <w:rPr>
          <w:rFonts w:ascii="Times New Roman" w:cs="Times New Roman" w:eastAsia="Times New Roman" w:hAnsi="Times New Roman"/>
          <w:color w:val="888888"/>
          <w:sz w:val="22"/>
          <w:szCs w:val="22"/>
        </w:rPr>
        <w:t xml:space="preserve">[Figure F.1. Alluvial decomposition: Camden 026 and Tower Hamlets 010 (persistent cascade).]</w:t>
      </w:r>
    </w:p>
    <w:p>
      <w:pPr>
        <w:pStyle w:val="Heading2"/>
        <w:spacing w:after="150" w:before="300"/>
      </w:pPr>
      <w:r>
        <w:rPr>
          <w:rFonts w:ascii="Times New Roman" w:cs="Times New Roman" w:eastAsia="Times New Roman" w:hAnsi="Times New Roman"/>
          <w:b/>
          <w:bCs/>
          <w:sz w:val="24"/>
          <w:szCs w:val="24"/>
        </w:rPr>
        <w:t xml:space="preserve">F.2 Inner Cascade Turning Counter: Southwark 003, Islington 008, Wandsworth 035</w:t>
      </w:r>
    </w:p>
    <w:p>
      <w:pPr>
        <w:spacing w:after="120" w:line="360"/>
        <w:jc w:val="both"/>
      </w:pPr>
      <w:r>
        <w:rPr>
          <w:rFonts w:ascii="Times New Roman" w:cs="Times New Roman" w:eastAsia="Times New Roman" w:hAnsi="Times New Roman"/>
          <w:sz w:val="24"/>
          <w:szCs w:val="24"/>
        </w:rPr>
        <w:t xml:space="preserve">These three MSOAs were Cascade-led under Frame C in 2011 but transitioned to Counter-led by 2021. Their alluvial profiles illustrate the decoupling between cascade-direction flows and regime classification: the cascade arms shrink relative to the counter arms, reflecting the broader citywide counterward shift. These cases represent the typical inner-London transition from cascade-dominated to counter-dominated migration over the decade.</w:t>
      </w:r>
    </w:p>
    <w:p>
      <w:pPr>
        <w:spacing w:after="100" w:before="100"/>
        <w:jc w:val="center"/>
      </w:pPr>
      <w:r>
        <w:rPr>
          <w:rFonts w:ascii="Times New Roman" w:cs="Times New Roman" w:eastAsia="Times New Roman" w:hAnsi="Times New Roman"/>
          <w:color w:val="888888"/>
          <w:sz w:val="22"/>
          <w:szCs w:val="22"/>
        </w:rPr>
        <w:t xml:space="preserve">[Figure F.2. Alluvial decomposition: Southwark 003, Islington 008, Wandsworth 035 (cascade to counter transition).]</w:t>
      </w:r>
    </w:p>
    <w:p>
      <w:pPr>
        <w:pStyle w:val="Heading2"/>
        <w:spacing w:after="150" w:before="300"/>
      </w:pPr>
      <w:r>
        <w:rPr>
          <w:rFonts w:ascii="Times New Roman" w:cs="Times New Roman" w:eastAsia="Times New Roman" w:hAnsi="Times New Roman"/>
          <w:b/>
          <w:bCs/>
          <w:sz w:val="24"/>
          <w:szCs w:val="24"/>
        </w:rPr>
        <w:t xml:space="preserve">F.3 National-Ladder Artefact: Harrow 008 and Harrow 029</w:t>
      </w:r>
    </w:p>
    <w:p>
      <w:pPr>
        <w:spacing w:after="120" w:line="360"/>
        <w:jc w:val="both"/>
      </w:pPr>
      <w:r>
        <w:rPr>
          <w:rFonts w:ascii="Times New Roman" w:cs="Times New Roman" w:eastAsia="Times New Roman" w:hAnsi="Times New Roman"/>
          <w:sz w:val="24"/>
          <w:szCs w:val="24"/>
        </w:rPr>
        <w:t xml:space="preserve">Harrow 008 and Harrow 029 have near-zero cascade-inflow-shares (0.01–0.04) and are classified as outflow-internal-majority on the mechanism tree. Although they appear as Cascade-led under Frame C, their out-arm external shares are 0.43 and 0.41 respectively, meaning the majority of their poorer-directed outflow stays within London. From national Decile 8, approximately 69% of London MSOAs count as “poorer,” so the cascade reading is manufactured by the national ladder position rather than by genuine boundary-crossing departure. This pair illustrates the ladder artefact that the mechanism tree was designed to identify.</w:t>
      </w:r>
    </w:p>
    <w:p>
      <w:pPr>
        <w:spacing w:after="100" w:before="100"/>
        <w:jc w:val="center"/>
      </w:pPr>
      <w:r>
        <w:rPr>
          <w:rFonts w:ascii="Times New Roman" w:cs="Times New Roman" w:eastAsia="Times New Roman" w:hAnsi="Times New Roman"/>
          <w:color w:val="888888"/>
          <w:sz w:val="22"/>
          <w:szCs w:val="22"/>
        </w:rPr>
        <w:t xml:space="preserve">[Figure F.3. Alluvial decomposition: Harrow 008 and Harrow 029 (national-ladder artefact).]</w:t>
      </w:r>
    </w:p>
    <w:p>
      <w:pPr>
        <w:pStyle w:val="Heading2"/>
        <w:spacing w:after="150" w:before="300"/>
      </w:pPr>
      <w:r>
        <w:rPr>
          <w:rFonts w:ascii="Times New Roman" w:cs="Times New Roman" w:eastAsia="Times New Roman" w:hAnsi="Times New Roman"/>
          <w:b/>
          <w:bCs/>
          <w:sz w:val="24"/>
          <w:szCs w:val="24"/>
        </w:rPr>
        <w:t xml:space="preserve">F.4 The Literal Exodus: Croydon 044 and Kingston upon Thames 019</w:t>
      </w:r>
    </w:p>
    <w:p>
      <w:pPr>
        <w:spacing w:after="120" w:line="360"/>
        <w:jc w:val="both"/>
      </w:pPr>
      <w:r>
        <w:rPr>
          <w:rFonts w:ascii="Times New Roman" w:cs="Times New Roman" w:eastAsia="Times New Roman" w:hAnsi="Times New Roman"/>
          <w:sz w:val="24"/>
          <w:szCs w:val="24"/>
        </w:rPr>
        <w:t xml:space="preserve">Croydon 044 and Kingston upon Thames 019 share the same near-zero inflow shares as the Harrow pair (0.03–0.04), but their out-arm external shares are 0.72 and 0.69 respectively: the majority of their poorer-directed outflow crosses the London boundary. The thick pale-red ribbons on the right side of the alluvial diagrams represent flows leaving London entirely. This pair, placed against the Harrow figure, isolates exactly what separates the ladder artefact from the exodus.</w:t>
      </w:r>
    </w:p>
    <w:p>
      <w:pPr>
        <w:spacing w:after="120" w:line="360"/>
        <w:jc w:val="both"/>
      </w:pPr>
      <w:r>
        <w:rPr>
          <w:rFonts w:ascii="Times New Roman" w:cs="Times New Roman" w:eastAsia="Times New Roman" w:hAnsi="Times New Roman"/>
          <w:sz w:val="24"/>
          <w:szCs w:val="24"/>
        </w:rPr>
        <w:t xml:space="preserve">Kingston upon Thames 019 was already classified as outflow-external-majority in 2011 (one of the 19-strong baseline group), while Croydon 044 was not Cascade-led at all in 2011 and emerged into the exodus class only by 2021. One baseline member and one emergent member in a single figure embodies the class’s temporal story (19 → 78 MSOAs, all outer London).</w:t>
      </w:r>
    </w:p>
    <w:p>
      <w:pPr>
        <w:spacing w:after="100" w:before="100"/>
        <w:jc w:val="center"/>
      </w:pPr>
      <w:r>
        <w:rPr>
          <w:rFonts w:ascii="Times New Roman" w:cs="Times New Roman" w:eastAsia="Times New Roman" w:hAnsi="Times New Roman"/>
          <w:color w:val="888888"/>
          <w:sz w:val="22"/>
          <w:szCs w:val="22"/>
        </w:rPr>
        <w:t xml:space="preserve">[Figure F.4. Alluvial decomposition: Croydon 044 and Kingston upon Thames 019 (literal exodus).]</w:t>
      </w:r>
    </w:p>
    <w:p>
      <w:pPr>
        <w:pStyle w:val="Heading2"/>
        <w:spacing w:after="150" w:before="300"/>
      </w:pPr>
      <w:r>
        <w:rPr>
          <w:rFonts w:ascii="Times New Roman" w:cs="Times New Roman" w:eastAsia="Times New Roman" w:hAnsi="Times New Roman"/>
          <w:b/>
          <w:bCs/>
          <w:sz w:val="24"/>
          <w:szCs w:val="24"/>
        </w:rPr>
        <w:t xml:space="preserve">F.5 Case Roster Summary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200"/>
        <w:gridCol w:w="3500"/>
      </w:tblGrid>
      <w:tr>
        <w:trPr>
          <w:tblHeader/>
        </w:trPr>
        <w:tc>
          <w:tcPr>
            <w:tcW w:type="dxa" w:w="900"/>
            <w:shd w:fill="D9E2F3" w:color="auto" w:val="clear"/>
          </w:tcPr>
          <w:p>
            <w:pPr>
              <w:jc w:val="center"/>
            </w:pPr>
            <w:r>
              <w:rPr>
                <w:rFonts w:ascii="Times New Roman" w:cs="Times New Roman" w:eastAsia="Times New Roman" w:hAnsi="Times New Roman"/>
                <w:b/>
                <w:bCs/>
                <w:sz w:val="20"/>
                <w:szCs w:val="20"/>
              </w:rPr>
              <w:t xml:space="preserve">Figure</w:t>
            </w:r>
          </w:p>
        </w:tc>
        <w:tc>
          <w:tcPr>
            <w:tcW w:type="dxa" w:w="3200"/>
            <w:shd w:fill="D9E2F3" w:color="auto" w:val="clear"/>
          </w:tcPr>
          <w:p>
            <w:pPr>
              <w:jc w:val="center"/>
            </w:pPr>
            <w:r>
              <w:rPr>
                <w:rFonts w:ascii="Times New Roman" w:cs="Times New Roman" w:eastAsia="Times New Roman" w:hAnsi="Times New Roman"/>
                <w:b/>
                <w:bCs/>
                <w:sz w:val="20"/>
                <w:szCs w:val="20"/>
              </w:rPr>
              <w:t xml:space="preserve">MSOAs</w:t>
            </w:r>
          </w:p>
        </w:tc>
        <w:tc>
          <w:tcPr>
            <w:tcW w:type="dxa" w:w="3200"/>
            <w:shd w:fill="D9E2F3" w:color="auto" w:val="clear"/>
          </w:tcPr>
          <w:p>
            <w:pPr>
              <w:jc w:val="center"/>
            </w:pPr>
            <w:r>
              <w:rPr>
                <w:rFonts w:ascii="Times New Roman" w:cs="Times New Roman" w:eastAsia="Times New Roman" w:hAnsi="Times New Roman"/>
                <w:b/>
                <w:bCs/>
                <w:sz w:val="20"/>
                <w:szCs w:val="20"/>
              </w:rPr>
              <w:t xml:space="preserve">Mechanism leaf (2021)</w:t>
            </w:r>
          </w:p>
        </w:tc>
        <w:tc>
          <w:tcPr>
            <w:tcW w:type="dxa" w:w="3500"/>
            <w:shd w:fill="D9E2F3" w:color="auto" w:val="clear"/>
          </w:tcPr>
          <w:p>
            <w:pPr>
              <w:jc w:val="center"/>
            </w:pPr>
            <w:r>
              <w:rPr>
                <w:rFonts w:ascii="Times New Roman" w:cs="Times New Roman" w:eastAsia="Times New Roman" w:hAnsi="Times New Roman"/>
                <w:b/>
                <w:bCs/>
                <w:sz w:val="20"/>
                <w:szCs w:val="20"/>
              </w:rPr>
              <w:t xml:space="preserve">Narrative</w:t>
            </w:r>
          </w:p>
        </w:tc>
      </w:tr>
      <w:tr>
        <w:tc>
          <w:tcPr>
            <w:tcW w:type="dxa" w:w="900"/>
          </w:tcPr>
          <w:p>
            <w:pPr>
              <w:jc w:val="left"/>
            </w:pPr>
            <w:r>
              <w:rPr>
                <w:rFonts w:ascii="Times New Roman" w:cs="Times New Roman" w:eastAsia="Times New Roman" w:hAnsi="Times New Roman"/>
                <w:sz w:val="20"/>
                <w:szCs w:val="20"/>
              </w:rPr>
              <w:t xml:space="preserve">F.1</w:t>
            </w:r>
          </w:p>
        </w:tc>
        <w:tc>
          <w:tcPr>
            <w:tcW w:type="dxa" w:w="3200"/>
          </w:tcPr>
          <w:p>
            <w:pPr>
              <w:jc w:val="left"/>
            </w:pPr>
            <w:r>
              <w:rPr>
                <w:rFonts w:ascii="Times New Roman" w:cs="Times New Roman" w:eastAsia="Times New Roman" w:hAnsi="Times New Roman"/>
                <w:sz w:val="20"/>
                <w:szCs w:val="20"/>
              </w:rPr>
              <w:t xml:space="preserve">Camden 026, Tower Hamlets 010</w:t>
            </w:r>
          </w:p>
        </w:tc>
        <w:tc>
          <w:tcPr>
            <w:tcW w:type="dxa" w:w="3200"/>
          </w:tcPr>
          <w:p>
            <w:pPr>
              <w:jc w:val="left"/>
            </w:pPr>
            <w:r>
              <w:rPr>
                <w:rFonts w:ascii="Times New Roman" w:cs="Times New Roman" w:eastAsia="Times New Roman" w:hAnsi="Times New Roman"/>
                <w:sz w:val="20"/>
                <w:szCs w:val="20"/>
              </w:rPr>
              <w:t xml:space="preserve">Inflow-driven (both years)</w:t>
            </w:r>
          </w:p>
        </w:tc>
        <w:tc>
          <w:tcPr>
            <w:tcW w:type="dxa" w:w="3500"/>
          </w:tcPr>
          <w:p>
            <w:pPr>
              <w:jc w:val="left"/>
            </w:pPr>
            <w:r>
              <w:rPr>
                <w:rFonts w:ascii="Times New Roman" w:cs="Times New Roman" w:eastAsia="Times New Roman" w:hAnsi="Times New Roman"/>
                <w:sz w:val="20"/>
                <w:szCs w:val="20"/>
              </w:rPr>
              <w:t xml:space="preserve">Persistent (genuine) cascade</w:t>
            </w:r>
          </w:p>
        </w:tc>
      </w:tr>
      <w:tr>
        <w:tc>
          <w:tcPr>
            <w:tcW w:type="dxa" w:w="900"/>
          </w:tcPr>
          <w:p>
            <w:pPr>
              <w:jc w:val="left"/>
            </w:pPr>
            <w:r>
              <w:rPr>
                <w:rFonts w:ascii="Times New Roman" w:cs="Times New Roman" w:eastAsia="Times New Roman" w:hAnsi="Times New Roman"/>
                <w:sz w:val="20"/>
                <w:szCs w:val="20"/>
              </w:rPr>
              <w:t xml:space="preserve">F.2</w:t>
            </w:r>
          </w:p>
        </w:tc>
        <w:tc>
          <w:tcPr>
            <w:tcW w:type="dxa" w:w="3200"/>
          </w:tcPr>
          <w:p>
            <w:pPr>
              <w:jc w:val="left"/>
            </w:pPr>
            <w:r>
              <w:rPr>
                <w:rFonts w:ascii="Times New Roman" w:cs="Times New Roman" w:eastAsia="Times New Roman" w:hAnsi="Times New Roman"/>
                <w:sz w:val="20"/>
                <w:szCs w:val="20"/>
              </w:rPr>
              <w:t xml:space="preserve">Southwark 003, Islington 008, Wandsworth 035</w:t>
            </w:r>
          </w:p>
        </w:tc>
        <w:tc>
          <w:tcPr>
            <w:tcW w:type="dxa" w:w="3200"/>
          </w:tcPr>
          <w:p>
            <w:pPr>
              <w:jc w:val="left"/>
            </w:pPr>
            <w:r>
              <w:rPr>
                <w:rFonts w:ascii="Times New Roman" w:cs="Times New Roman" w:eastAsia="Times New Roman" w:hAnsi="Times New Roman"/>
                <w:sz w:val="20"/>
                <w:szCs w:val="20"/>
              </w:rPr>
              <w:t xml:space="preserve">Counter-led</w:t>
            </w:r>
          </w:p>
        </w:tc>
        <w:tc>
          <w:tcPr>
            <w:tcW w:type="dxa" w:w="3500"/>
          </w:tcPr>
          <w:p>
            <w:pPr>
              <w:jc w:val="left"/>
            </w:pPr>
            <w:r>
              <w:rPr>
                <w:rFonts w:ascii="Times New Roman" w:cs="Times New Roman" w:eastAsia="Times New Roman" w:hAnsi="Times New Roman"/>
                <w:sz w:val="20"/>
                <w:szCs w:val="20"/>
              </w:rPr>
              <w:t xml:space="preserve">Inner cascade turning counter</w:t>
            </w:r>
          </w:p>
        </w:tc>
      </w:tr>
      <w:tr>
        <w:tc>
          <w:tcPr>
            <w:tcW w:type="dxa" w:w="900"/>
          </w:tcPr>
          <w:p>
            <w:pPr>
              <w:jc w:val="left"/>
            </w:pPr>
            <w:r>
              <w:rPr>
                <w:rFonts w:ascii="Times New Roman" w:cs="Times New Roman" w:eastAsia="Times New Roman" w:hAnsi="Times New Roman"/>
                <w:sz w:val="20"/>
                <w:szCs w:val="20"/>
              </w:rPr>
              <w:t xml:space="preserve">F.3</w:t>
            </w:r>
          </w:p>
        </w:tc>
        <w:tc>
          <w:tcPr>
            <w:tcW w:type="dxa" w:w="3200"/>
          </w:tcPr>
          <w:p>
            <w:pPr>
              <w:jc w:val="left"/>
            </w:pPr>
            <w:r>
              <w:rPr>
                <w:rFonts w:ascii="Times New Roman" w:cs="Times New Roman" w:eastAsia="Times New Roman" w:hAnsi="Times New Roman"/>
                <w:sz w:val="20"/>
                <w:szCs w:val="20"/>
              </w:rPr>
              <w:t xml:space="preserve">Harrow 008, Harrow 029</w:t>
            </w:r>
          </w:p>
        </w:tc>
        <w:tc>
          <w:tcPr>
            <w:tcW w:type="dxa" w:w="3200"/>
          </w:tcPr>
          <w:p>
            <w:pPr>
              <w:jc w:val="left"/>
            </w:pPr>
            <w:r>
              <w:rPr>
                <w:rFonts w:ascii="Times New Roman" w:cs="Times New Roman" w:eastAsia="Times New Roman" w:hAnsi="Times New Roman"/>
                <w:sz w:val="20"/>
                <w:szCs w:val="20"/>
              </w:rPr>
              <w:t xml:space="preserve">Outflow, internal-majority</w:t>
            </w:r>
          </w:p>
        </w:tc>
        <w:tc>
          <w:tcPr>
            <w:tcW w:type="dxa" w:w="3500"/>
          </w:tcPr>
          <w:p>
            <w:pPr>
              <w:jc w:val="left"/>
            </w:pPr>
            <w:r>
              <w:rPr>
                <w:rFonts w:ascii="Times New Roman" w:cs="Times New Roman" w:eastAsia="Times New Roman" w:hAnsi="Times New Roman"/>
                <w:sz w:val="20"/>
                <w:szCs w:val="20"/>
              </w:rPr>
              <w:t xml:space="preserve">Ladder artefact (not exodus)</w:t>
            </w:r>
          </w:p>
        </w:tc>
      </w:tr>
      <w:tr>
        <w:tc>
          <w:tcPr>
            <w:tcW w:type="dxa" w:w="900"/>
          </w:tcPr>
          <w:p>
            <w:pPr>
              <w:jc w:val="left"/>
            </w:pPr>
            <w:r>
              <w:rPr>
                <w:rFonts w:ascii="Times New Roman" w:cs="Times New Roman" w:eastAsia="Times New Roman" w:hAnsi="Times New Roman"/>
                <w:sz w:val="20"/>
                <w:szCs w:val="20"/>
              </w:rPr>
              <w:t xml:space="preserve">F.4</w:t>
            </w:r>
          </w:p>
        </w:tc>
        <w:tc>
          <w:tcPr>
            <w:tcW w:type="dxa" w:w="3200"/>
          </w:tcPr>
          <w:p>
            <w:pPr>
              <w:jc w:val="left"/>
            </w:pPr>
            <w:r>
              <w:rPr>
                <w:rFonts w:ascii="Times New Roman" w:cs="Times New Roman" w:eastAsia="Times New Roman" w:hAnsi="Times New Roman"/>
                <w:sz w:val="20"/>
                <w:szCs w:val="20"/>
              </w:rPr>
              <w:t xml:space="preserve">Croydon 044, Kingston upon Thames 019</w:t>
            </w:r>
          </w:p>
        </w:tc>
        <w:tc>
          <w:tcPr>
            <w:tcW w:type="dxa" w:w="3200"/>
          </w:tcPr>
          <w:p>
            <w:pPr>
              <w:jc w:val="left"/>
            </w:pPr>
            <w:r>
              <w:rPr>
                <w:rFonts w:ascii="Times New Roman" w:cs="Times New Roman" w:eastAsia="Times New Roman" w:hAnsi="Times New Roman"/>
                <w:sz w:val="20"/>
                <w:szCs w:val="20"/>
              </w:rPr>
              <w:t xml:space="preserve">Outflow, external-majority</w:t>
            </w:r>
          </w:p>
        </w:tc>
        <w:tc>
          <w:tcPr>
            <w:tcW w:type="dxa" w:w="3500"/>
          </w:tcPr>
          <w:p>
            <w:pPr>
              <w:jc w:val="left"/>
            </w:pPr>
            <w:r>
              <w:rPr>
                <w:rFonts w:ascii="Times New Roman" w:cs="Times New Roman" w:eastAsia="Times New Roman" w:hAnsi="Times New Roman"/>
                <w:sz w:val="20"/>
                <w:szCs w:val="20"/>
              </w:rPr>
              <w:t xml:space="preserve">Literal exodus</w:t>
            </w:r>
          </w:p>
        </w:tc>
      </w:tr>
    </w:tbl>
    <w:p>
      <w:pPr>
        <w:spacing w:after="200" w:before="100"/>
        <w:jc w:val="left"/>
      </w:pPr>
      <w:r>
        <w:rPr>
          <w:rFonts w:ascii="Times New Roman" w:cs="Times New Roman" w:eastAsia="Times New Roman" w:hAnsi="Times New Roman"/>
          <w:i/>
          <w:iCs/>
          <w:sz w:val="22"/>
          <w:szCs w:val="22"/>
        </w:rPr>
        <w:t xml:space="preserve">Table F.1. Case-study roster aligned to the mechanism tree.</w:t>
      </w:r>
    </w:p>
    <w:p>
      <w:r>
        <w:br w:type="page"/>
      </w:r>
    </w:p>
    <w:p>
      <w:pPr>
        <w:pStyle w:val="Heading1"/>
        <w:spacing w:after="200" w:before="400"/>
      </w:pPr>
      <w:r>
        <w:rPr>
          <w:rFonts w:ascii="Times New Roman" w:cs="Times New Roman" w:eastAsia="Times New Roman" w:hAnsi="Times New Roman"/>
          <w:b/>
          <w:bCs/>
          <w:sz w:val="28"/>
          <w:szCs w:val="28"/>
        </w:rPr>
        <w:t xml:space="preserve">Appendix G. Figure and Table Source Mapping</w:t>
      </w:r>
    </w:p>
    <w:p>
      <w:pPr>
        <w:spacing w:after="120" w:line="360"/>
        <w:jc w:val="both"/>
      </w:pPr>
      <w:r>
        <w:rPr>
          <w:rFonts w:ascii="Times New Roman" w:cs="Times New Roman" w:eastAsia="Times New Roman" w:hAnsi="Times New Roman"/>
          <w:sz w:val="24"/>
          <w:szCs w:val="24"/>
        </w:rPr>
        <w:t xml:space="preserve">This appendix maps each figure and table in the main text to its computational source, enabling reproducibility and audit.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000"/>
        <w:gridCol w:w="3800"/>
      </w:tblGrid>
      <w:tr>
        <w:trPr>
          <w:tblHeader/>
        </w:trPr>
        <w:tc>
          <w:tcPr>
            <w:tcW w:type="dxa" w:w="1500"/>
            <w:shd w:fill="D9E2F3" w:color="auto" w:val="clear"/>
          </w:tcPr>
          <w:p>
            <w:pPr>
              <w:jc w:val="center"/>
            </w:pPr>
            <w:r>
              <w:rPr>
                <w:rFonts w:ascii="Times New Roman" w:cs="Times New Roman" w:eastAsia="Times New Roman" w:hAnsi="Times New Roman"/>
                <w:b/>
                <w:bCs/>
                <w:sz w:val="20"/>
                <w:szCs w:val="20"/>
              </w:rPr>
              <w:t xml:space="preserve">Figure/Table</w:t>
            </w:r>
          </w:p>
        </w:tc>
        <w:tc>
          <w:tcPr>
            <w:tcW w:type="dxa" w:w="1500"/>
            <w:shd w:fill="D9E2F3" w:color="auto" w:val="clear"/>
          </w:tcPr>
          <w:p>
            <w:pPr>
              <w:jc w:val="center"/>
            </w:pPr>
            <w:r>
              <w:rPr>
                <w:rFonts w:ascii="Times New Roman" w:cs="Times New Roman" w:eastAsia="Times New Roman" w:hAnsi="Times New Roman"/>
                <w:b/>
                <w:bCs/>
                <w:sz w:val="20"/>
                <w:szCs w:val="20"/>
              </w:rPr>
              <w:t xml:space="preserve">Chapter</w:t>
            </w:r>
          </w:p>
        </w:tc>
        <w:tc>
          <w:tcPr>
            <w:tcW w:type="dxa" w:w="4000"/>
            <w:shd w:fill="D9E2F3" w:color="auto" w:val="clear"/>
          </w:tcPr>
          <w:p>
            <w:pPr>
              <w:jc w:val="center"/>
            </w:pPr>
            <w:r>
              <w:rPr>
                <w:rFonts w:ascii="Times New Roman" w:cs="Times New Roman" w:eastAsia="Times New Roman" w:hAnsi="Times New Roman"/>
                <w:b/>
                <w:bCs/>
                <w:sz w:val="20"/>
                <w:szCs w:val="20"/>
              </w:rPr>
              <w:t xml:space="preserve">Description</w:t>
            </w:r>
          </w:p>
        </w:tc>
        <w:tc>
          <w:tcPr>
            <w:tcW w:type="dxa" w:w="3800"/>
            <w:shd w:fill="D9E2F3" w:color="auto" w:val="clear"/>
          </w:tcPr>
          <w:p>
            <w:pPr>
              <w:jc w:val="center"/>
            </w:pPr>
            <w:r>
              <w:rPr>
                <w:rFonts w:ascii="Times New Roman" w:cs="Times New Roman" w:eastAsia="Times New Roman" w:hAnsi="Times New Roman"/>
                <w:b/>
                <w:bCs/>
                <w:sz w:val="20"/>
                <w:szCs w:val="20"/>
              </w:rPr>
              <w:t xml:space="preserve">Source notebook</w:t>
            </w:r>
          </w:p>
        </w:tc>
      </w:tr>
      <w:tr>
        <w:tc>
          <w:tcPr>
            <w:tcW w:type="dxa" w:w="1500"/>
          </w:tcPr>
          <w:p>
            <w:pPr>
              <w:jc w:val="left"/>
            </w:pPr>
            <w:r>
              <w:rPr>
                <w:rFonts w:ascii="Times New Roman" w:cs="Times New Roman" w:eastAsia="Times New Roman" w:hAnsi="Times New Roman"/>
                <w:sz w:val="20"/>
                <w:szCs w:val="20"/>
              </w:rPr>
              <w:t xml:space="preserve">Figure 3.1</w:t>
            </w:r>
          </w:p>
        </w:tc>
        <w:tc>
          <w:tcPr>
            <w:tcW w:type="dxa" w:w="1500"/>
          </w:tcPr>
          <w:p>
            <w:pPr>
              <w:jc w:val="left"/>
            </w:pPr>
            <w:r>
              <w:rPr>
                <w:rFonts w:ascii="Times New Roman" w:cs="Times New Roman" w:eastAsia="Times New Roman" w:hAnsi="Times New Roman"/>
                <w:sz w:val="20"/>
                <w:szCs w:val="20"/>
              </w:rPr>
              <w:t xml:space="preserve">Methodology</w:t>
            </w:r>
          </w:p>
        </w:tc>
        <w:tc>
          <w:tcPr>
            <w:tcW w:type="dxa" w:w="4000"/>
          </w:tcPr>
          <w:p>
            <w:pPr>
              <w:jc w:val="left"/>
            </w:pPr>
            <w:r>
              <w:rPr>
                <w:rFonts w:ascii="Times New Roman" w:cs="Times New Roman" w:eastAsia="Times New Roman" w:hAnsi="Times New Roman"/>
                <w:sz w:val="20"/>
                <w:szCs w:val="20"/>
              </w:rPr>
              <w:t xml:space="preserve">Analytical workflow diagram</w:t>
            </w:r>
          </w:p>
        </w:tc>
        <w:tc>
          <w:tcPr>
            <w:tcW w:type="dxa" w:w="3800"/>
          </w:tcPr>
          <w:p>
            <w:pPr>
              <w:jc w:val="left"/>
            </w:pPr>
            <w:r>
              <w:rPr>
                <w:rFonts w:ascii="Times New Roman" w:cs="Times New Roman" w:eastAsia="Times New Roman" w:hAnsi="Times New Roman"/>
                <w:sz w:val="20"/>
                <w:szCs w:val="20"/>
              </w:rPr>
              <w:t xml:space="preserve">Manual (diagram tool)</w:t>
            </w:r>
          </w:p>
        </w:tc>
      </w:tr>
      <w:tr>
        <w:tc>
          <w:tcPr>
            <w:tcW w:type="dxa" w:w="1500"/>
          </w:tcPr>
          <w:p>
            <w:pPr>
              <w:jc w:val="left"/>
            </w:pPr>
            <w:r>
              <w:rPr>
                <w:rFonts w:ascii="Times New Roman" w:cs="Times New Roman" w:eastAsia="Times New Roman" w:hAnsi="Times New Roman"/>
                <w:sz w:val="20"/>
                <w:szCs w:val="20"/>
              </w:rPr>
              <w:t xml:space="preserve">Figure 3.2</w:t>
            </w:r>
          </w:p>
        </w:tc>
        <w:tc>
          <w:tcPr>
            <w:tcW w:type="dxa" w:w="1500"/>
          </w:tcPr>
          <w:p>
            <w:pPr>
              <w:jc w:val="left"/>
            </w:pPr>
            <w:r>
              <w:rPr>
                <w:rFonts w:ascii="Times New Roman" w:cs="Times New Roman" w:eastAsia="Times New Roman" w:hAnsi="Times New Roman"/>
                <w:sz w:val="20"/>
                <w:szCs w:val="20"/>
              </w:rPr>
              <w:t xml:space="preserve">Methodology</w:t>
            </w:r>
          </w:p>
        </w:tc>
        <w:tc>
          <w:tcPr>
            <w:tcW w:type="dxa" w:w="4000"/>
          </w:tcPr>
          <w:p>
            <w:pPr>
              <w:jc w:val="left"/>
            </w:pPr>
            <w:r>
              <w:rPr>
                <w:rFonts w:ascii="Times New Roman" w:cs="Times New Roman" w:eastAsia="Times New Roman" w:hAnsi="Times New Roman"/>
                <w:sz w:val="20"/>
                <w:szCs w:val="20"/>
              </w:rPr>
              <w:t xml:space="preserve">Elementary migration flows schematic</w:t>
            </w:r>
          </w:p>
        </w:tc>
        <w:tc>
          <w:tcPr>
            <w:tcW w:type="dxa" w:w="3800"/>
          </w:tcPr>
          <w:p>
            <w:pPr>
              <w:jc w:val="left"/>
            </w:pPr>
            <w:r>
              <w:rPr>
                <w:rFonts w:ascii="Times New Roman" w:cs="Times New Roman" w:eastAsia="Times New Roman" w:hAnsi="Times New Roman"/>
                <w:sz w:val="20"/>
                <w:szCs w:val="20"/>
              </w:rPr>
              <w:t xml:space="preserve">Manual (diagram tool)</w:t>
            </w:r>
          </w:p>
        </w:tc>
      </w:tr>
      <w:tr>
        <w:tc>
          <w:tcPr>
            <w:tcW w:type="dxa" w:w="1500"/>
          </w:tcPr>
          <w:p>
            <w:pPr>
              <w:jc w:val="left"/>
            </w:pPr>
            <w:r>
              <w:rPr>
                <w:rFonts w:ascii="Times New Roman" w:cs="Times New Roman" w:eastAsia="Times New Roman" w:hAnsi="Times New Roman"/>
                <w:sz w:val="20"/>
                <w:szCs w:val="20"/>
              </w:rPr>
              <w:t xml:space="preserve">Figure 3.3</w:t>
            </w:r>
          </w:p>
        </w:tc>
        <w:tc>
          <w:tcPr>
            <w:tcW w:type="dxa" w:w="1500"/>
          </w:tcPr>
          <w:p>
            <w:pPr>
              <w:jc w:val="left"/>
            </w:pPr>
            <w:r>
              <w:rPr>
                <w:rFonts w:ascii="Times New Roman" w:cs="Times New Roman" w:eastAsia="Times New Roman" w:hAnsi="Times New Roman"/>
                <w:sz w:val="20"/>
                <w:szCs w:val="20"/>
              </w:rPr>
              <w:t xml:space="preserve">Methodology</w:t>
            </w:r>
          </w:p>
        </w:tc>
        <w:tc>
          <w:tcPr>
            <w:tcW w:type="dxa" w:w="4000"/>
          </w:tcPr>
          <w:p>
            <w:pPr>
              <w:jc w:val="left"/>
            </w:pPr>
            <w:r>
              <w:rPr>
                <w:rFonts w:ascii="Times New Roman" w:cs="Times New Roman" w:eastAsia="Times New Roman" w:hAnsi="Times New Roman"/>
                <w:sz w:val="20"/>
                <w:szCs w:val="20"/>
              </w:rPr>
              <w:t xml:space="preserve">Sequential flow-regime classification</w:t>
            </w:r>
          </w:p>
        </w:tc>
        <w:tc>
          <w:tcPr>
            <w:tcW w:type="dxa" w:w="3800"/>
          </w:tcPr>
          <w:p>
            <w:pPr>
              <w:jc w:val="left"/>
            </w:pPr>
            <w:r>
              <w:rPr>
                <w:rFonts w:ascii="Times New Roman" w:cs="Times New Roman" w:eastAsia="Times New Roman" w:hAnsi="Times New Roman"/>
                <w:sz w:val="20"/>
                <w:szCs w:val="20"/>
              </w:rPr>
              <w:t xml:space="preserve">EDA 3</w:t>
            </w:r>
          </w:p>
        </w:tc>
      </w:tr>
      <w:tr>
        <w:tc>
          <w:tcPr>
            <w:tcW w:type="dxa" w:w="1500"/>
          </w:tcPr>
          <w:p>
            <w:pPr>
              <w:jc w:val="left"/>
            </w:pPr>
            <w:r>
              <w:rPr>
                <w:rFonts w:ascii="Times New Roman" w:cs="Times New Roman" w:eastAsia="Times New Roman" w:hAnsi="Times New Roman"/>
                <w:sz w:val="20"/>
                <w:szCs w:val="20"/>
              </w:rPr>
              <w:t xml:space="preserve">Figure 3.4</w:t>
            </w:r>
          </w:p>
        </w:tc>
        <w:tc>
          <w:tcPr>
            <w:tcW w:type="dxa" w:w="1500"/>
          </w:tcPr>
          <w:p>
            <w:pPr>
              <w:jc w:val="left"/>
            </w:pPr>
            <w:r>
              <w:rPr>
                <w:rFonts w:ascii="Times New Roman" w:cs="Times New Roman" w:eastAsia="Times New Roman" w:hAnsi="Times New Roman"/>
                <w:sz w:val="20"/>
                <w:szCs w:val="20"/>
              </w:rPr>
              <w:t xml:space="preserve">Methodology</w:t>
            </w:r>
          </w:p>
        </w:tc>
        <w:tc>
          <w:tcPr>
            <w:tcW w:type="dxa" w:w="4000"/>
          </w:tcPr>
          <w:p>
            <w:pPr>
              <w:jc w:val="left"/>
            </w:pPr>
            <w:r>
              <w:rPr>
                <w:rFonts w:ascii="Times New Roman" w:cs="Times New Roman" w:eastAsia="Times New Roman" w:hAnsi="Times New Roman"/>
                <w:sz w:val="20"/>
                <w:szCs w:val="20"/>
              </w:rPr>
              <w:t xml:space="preserve">Time-symmetric mechanism tree</w:t>
            </w:r>
          </w:p>
        </w:tc>
        <w:tc>
          <w:tcPr>
            <w:tcW w:type="dxa" w:w="3800"/>
          </w:tcPr>
          <w:p>
            <w:pPr>
              <w:jc w:val="left"/>
            </w:pPr>
            <w:r>
              <w:rPr>
                <w:rFonts w:ascii="Times New Roman" w:cs="Times New Roman" w:eastAsia="Times New Roman" w:hAnsi="Times New Roman"/>
                <w:sz w:val="20"/>
                <w:szCs w:val="20"/>
              </w:rPr>
              <w:t xml:space="preserve">EDA 9b</w:t>
            </w:r>
          </w:p>
        </w:tc>
      </w:tr>
      <w:tr>
        <w:tc>
          <w:tcPr>
            <w:tcW w:type="dxa" w:w="1500"/>
          </w:tcPr>
          <w:p>
            <w:pPr>
              <w:jc w:val="left"/>
            </w:pPr>
            <w:r>
              <w:rPr>
                <w:rFonts w:ascii="Times New Roman" w:cs="Times New Roman" w:eastAsia="Times New Roman" w:hAnsi="Times New Roman"/>
                <w:sz w:val="20"/>
                <w:szCs w:val="20"/>
              </w:rPr>
              <w:t xml:space="preserve">Figure 3.5</w:t>
            </w:r>
          </w:p>
        </w:tc>
        <w:tc>
          <w:tcPr>
            <w:tcW w:type="dxa" w:w="1500"/>
          </w:tcPr>
          <w:p>
            <w:pPr>
              <w:jc w:val="left"/>
            </w:pPr>
            <w:r>
              <w:rPr>
                <w:rFonts w:ascii="Times New Roman" w:cs="Times New Roman" w:eastAsia="Times New Roman" w:hAnsi="Times New Roman"/>
                <w:sz w:val="20"/>
                <w:szCs w:val="20"/>
              </w:rPr>
              <w:t xml:space="preserve">Methodology</w:t>
            </w:r>
          </w:p>
        </w:tc>
        <w:tc>
          <w:tcPr>
            <w:tcW w:type="dxa" w:w="4000"/>
          </w:tcPr>
          <w:p>
            <w:pPr>
              <w:jc w:val="left"/>
            </w:pPr>
            <w:r>
              <w:rPr>
                <w:rFonts w:ascii="Times New Roman" w:cs="Times New Roman" w:eastAsia="Times New Roman" w:hAnsi="Times New Roman"/>
                <w:sz w:val="20"/>
                <w:szCs w:val="20"/>
              </w:rPr>
              <w:t xml:space="preserve">Cascade-inflow-share distribution and threshold</w:t>
            </w:r>
          </w:p>
        </w:tc>
        <w:tc>
          <w:tcPr>
            <w:tcW w:type="dxa" w:w="3800"/>
          </w:tcPr>
          <w:p>
            <w:pPr>
              <w:jc w:val="left"/>
            </w:pPr>
            <w:r>
              <w:rPr>
                <w:rFonts w:ascii="Times New Roman" w:cs="Times New Roman" w:eastAsia="Times New Roman" w:hAnsi="Times New Roman"/>
                <w:sz w:val="20"/>
                <w:szCs w:val="20"/>
              </w:rPr>
              <w:t xml:space="preserve">EDA 9b</w:t>
            </w:r>
          </w:p>
        </w:tc>
      </w:tr>
      <w:tr>
        <w:tc>
          <w:tcPr>
            <w:tcW w:type="dxa" w:w="1500"/>
          </w:tcPr>
          <w:p>
            <w:pPr>
              <w:jc w:val="left"/>
            </w:pPr>
            <w:r>
              <w:rPr>
                <w:rFonts w:ascii="Times New Roman" w:cs="Times New Roman" w:eastAsia="Times New Roman" w:hAnsi="Times New Roman"/>
                <w:sz w:val="20"/>
                <w:szCs w:val="20"/>
              </w:rPr>
              <w:t xml:space="preserve">Figure 3.6</w:t>
            </w:r>
          </w:p>
        </w:tc>
        <w:tc>
          <w:tcPr>
            <w:tcW w:type="dxa" w:w="1500"/>
          </w:tcPr>
          <w:p>
            <w:pPr>
              <w:jc w:val="left"/>
            </w:pPr>
            <w:r>
              <w:rPr>
                <w:rFonts w:ascii="Times New Roman" w:cs="Times New Roman" w:eastAsia="Times New Roman" w:hAnsi="Times New Roman"/>
                <w:sz w:val="20"/>
                <w:szCs w:val="20"/>
              </w:rPr>
              <w:t xml:space="preserve">Methodology</w:t>
            </w:r>
          </w:p>
        </w:tc>
        <w:tc>
          <w:tcPr>
            <w:tcW w:type="dxa" w:w="4000"/>
          </w:tcPr>
          <w:p>
            <w:pPr>
              <w:jc w:val="left"/>
            </w:pPr>
            <w:r>
              <w:rPr>
                <w:rFonts w:ascii="Times New Roman" w:cs="Times New Roman" w:eastAsia="Times New Roman" w:hAnsi="Times New Roman"/>
                <w:sz w:val="20"/>
                <w:szCs w:val="20"/>
              </w:rPr>
              <w:t xml:space="preserve">External-arm-share sensitivity</w:t>
            </w:r>
          </w:p>
        </w:tc>
        <w:tc>
          <w:tcPr>
            <w:tcW w:type="dxa" w:w="3800"/>
          </w:tcPr>
          <w:p>
            <w:pPr>
              <w:jc w:val="left"/>
            </w:pPr>
            <w:r>
              <w:rPr>
                <w:rFonts w:ascii="Times New Roman" w:cs="Times New Roman" w:eastAsia="Times New Roman" w:hAnsi="Times New Roman"/>
                <w:sz w:val="20"/>
                <w:szCs w:val="20"/>
              </w:rPr>
              <w:t xml:space="preserve">EDA 9b</w:t>
            </w:r>
          </w:p>
        </w:tc>
      </w:tr>
      <w:tr>
        <w:tc>
          <w:tcPr>
            <w:tcW w:type="dxa" w:w="1500"/>
          </w:tcPr>
          <w:p>
            <w:pPr>
              <w:jc w:val="left"/>
            </w:pPr>
            <w:r>
              <w:rPr>
                <w:rFonts w:ascii="Times New Roman" w:cs="Times New Roman" w:eastAsia="Times New Roman" w:hAnsi="Times New Roman"/>
                <w:sz w:val="20"/>
                <w:szCs w:val="20"/>
              </w:rPr>
              <w:t xml:space="preserve">Table 3.1</w:t>
            </w:r>
          </w:p>
        </w:tc>
        <w:tc>
          <w:tcPr>
            <w:tcW w:type="dxa" w:w="1500"/>
          </w:tcPr>
          <w:p>
            <w:pPr>
              <w:jc w:val="left"/>
            </w:pPr>
            <w:r>
              <w:rPr>
                <w:rFonts w:ascii="Times New Roman" w:cs="Times New Roman" w:eastAsia="Times New Roman" w:hAnsi="Times New Roman"/>
                <w:sz w:val="20"/>
                <w:szCs w:val="20"/>
              </w:rPr>
              <w:t xml:space="preserve">Methodology</w:t>
            </w:r>
          </w:p>
        </w:tc>
        <w:tc>
          <w:tcPr>
            <w:tcW w:type="dxa" w:w="4000"/>
          </w:tcPr>
          <w:p>
            <w:pPr>
              <w:jc w:val="left"/>
            </w:pPr>
            <w:r>
              <w:rPr>
                <w:rFonts w:ascii="Times New Roman" w:cs="Times New Roman" w:eastAsia="Times New Roman" w:hAnsi="Times New Roman"/>
                <w:sz w:val="20"/>
                <w:szCs w:val="20"/>
              </w:rPr>
              <w:t xml:space="preserve">Flow-regime typology rules</w:t>
            </w:r>
          </w:p>
        </w:tc>
        <w:tc>
          <w:tcPr>
            <w:tcW w:type="dxa" w:w="3800"/>
          </w:tcPr>
          <w:p>
            <w:pPr>
              <w:jc w:val="left"/>
            </w:pPr>
            <w:r>
              <w:rPr>
                <w:rFonts w:ascii="Times New Roman" w:cs="Times New Roman" w:eastAsia="Times New Roman" w:hAnsi="Times New Roman"/>
                <w:sz w:val="20"/>
                <w:szCs w:val="20"/>
              </w:rPr>
              <w:t xml:space="preserve">EDA 3</w:t>
            </w:r>
          </w:p>
        </w:tc>
      </w:tr>
      <w:tr>
        <w:tc>
          <w:tcPr>
            <w:tcW w:type="dxa" w:w="1500"/>
          </w:tcPr>
          <w:p>
            <w:pPr>
              <w:jc w:val="left"/>
            </w:pPr>
            <w:r>
              <w:rPr>
                <w:rFonts w:ascii="Times New Roman" w:cs="Times New Roman" w:eastAsia="Times New Roman" w:hAnsi="Times New Roman"/>
                <w:sz w:val="20"/>
                <w:szCs w:val="20"/>
              </w:rPr>
              <w:t xml:space="preserve">Table 3.2</w:t>
            </w:r>
          </w:p>
        </w:tc>
        <w:tc>
          <w:tcPr>
            <w:tcW w:type="dxa" w:w="1500"/>
          </w:tcPr>
          <w:p>
            <w:pPr>
              <w:jc w:val="left"/>
            </w:pPr>
            <w:r>
              <w:rPr>
                <w:rFonts w:ascii="Times New Roman" w:cs="Times New Roman" w:eastAsia="Times New Roman" w:hAnsi="Times New Roman"/>
                <w:sz w:val="20"/>
                <w:szCs w:val="20"/>
              </w:rPr>
              <w:t xml:space="preserve">Methodology</w:t>
            </w:r>
          </w:p>
        </w:tc>
        <w:tc>
          <w:tcPr>
            <w:tcW w:type="dxa" w:w="4000"/>
          </w:tcPr>
          <w:p>
            <w:pPr>
              <w:jc w:val="left"/>
            </w:pPr>
            <w:r>
              <w:rPr>
                <w:rFonts w:ascii="Times New Roman" w:cs="Times New Roman" w:eastAsia="Times New Roman" w:hAnsi="Times New Roman"/>
                <w:sz w:val="20"/>
                <w:szCs w:val="20"/>
              </w:rPr>
              <w:t xml:space="preserve">Three-frame design</w:t>
            </w:r>
          </w:p>
        </w:tc>
        <w:tc>
          <w:tcPr>
            <w:tcW w:type="dxa" w:w="3800"/>
          </w:tcPr>
          <w:p>
            <w:pPr>
              <w:jc w:val="left"/>
            </w:pPr>
            <w:r>
              <w:rPr>
                <w:rFonts w:ascii="Times New Roman" w:cs="Times New Roman" w:eastAsia="Times New Roman" w:hAnsi="Times New Roman"/>
                <w:sz w:val="20"/>
                <w:szCs w:val="20"/>
              </w:rPr>
              <w:t xml:space="preserve">EDA 4</w:t>
            </w:r>
          </w:p>
        </w:tc>
      </w:tr>
      <w:tr>
        <w:tc>
          <w:tcPr>
            <w:tcW w:type="dxa" w:w="1500"/>
          </w:tcPr>
          <w:p>
            <w:pPr>
              <w:jc w:val="left"/>
            </w:pPr>
            <w:r>
              <w:rPr>
                <w:rFonts w:ascii="Times New Roman" w:cs="Times New Roman" w:eastAsia="Times New Roman" w:hAnsi="Times New Roman"/>
                <w:sz w:val="20"/>
                <w:szCs w:val="20"/>
              </w:rPr>
              <w:t xml:space="preserve">Figure 4.1</w:t>
            </w:r>
          </w:p>
        </w:tc>
        <w:tc>
          <w:tcPr>
            <w:tcW w:type="dxa" w:w="1500"/>
          </w:tcPr>
          <w:p>
            <w:pPr>
              <w:jc w:val="left"/>
            </w:pPr>
            <w:r>
              <w:rPr>
                <w:rFonts w:ascii="Times New Roman" w:cs="Times New Roman" w:eastAsia="Times New Roman" w:hAnsi="Times New Roman"/>
                <w:sz w:val="20"/>
                <w:szCs w:val="20"/>
              </w:rPr>
              <w:t xml:space="preserve">Results</w:t>
            </w:r>
          </w:p>
        </w:tc>
        <w:tc>
          <w:tcPr>
            <w:tcW w:type="dxa" w:w="4000"/>
          </w:tcPr>
          <w:p>
            <w:pPr>
              <w:jc w:val="left"/>
            </w:pPr>
            <w:r>
              <w:rPr>
                <w:rFonts w:ascii="Times New Roman" w:cs="Times New Roman" w:eastAsia="Times New Roman" w:hAnsi="Times New Roman"/>
                <w:sz w:val="20"/>
                <w:szCs w:val="20"/>
              </w:rPr>
              <w:t xml:space="preserve">Cascade_Dominance and Cross_Decile_Share by decile</w:t>
            </w:r>
          </w:p>
        </w:tc>
        <w:tc>
          <w:tcPr>
            <w:tcW w:type="dxa" w:w="3800"/>
          </w:tcPr>
          <w:p>
            <w:pPr>
              <w:jc w:val="left"/>
            </w:pPr>
            <w:r>
              <w:rPr>
                <w:rFonts w:ascii="Times New Roman" w:cs="Times New Roman" w:eastAsia="Times New Roman" w:hAnsi="Times New Roman"/>
                <w:sz w:val="20"/>
                <w:szCs w:val="20"/>
              </w:rPr>
              <w:t xml:space="preserve">EDA 2 / EDA 3</w:t>
            </w:r>
          </w:p>
        </w:tc>
      </w:tr>
      <w:tr>
        <w:tc>
          <w:tcPr>
            <w:tcW w:type="dxa" w:w="1500"/>
          </w:tcPr>
          <w:p>
            <w:pPr>
              <w:jc w:val="left"/>
            </w:pPr>
            <w:r>
              <w:rPr>
                <w:rFonts w:ascii="Times New Roman" w:cs="Times New Roman" w:eastAsia="Times New Roman" w:hAnsi="Times New Roman"/>
                <w:sz w:val="20"/>
                <w:szCs w:val="20"/>
              </w:rPr>
              <w:t xml:space="preserve">Figure 4.2</w:t>
            </w:r>
          </w:p>
        </w:tc>
        <w:tc>
          <w:tcPr>
            <w:tcW w:type="dxa" w:w="1500"/>
          </w:tcPr>
          <w:p>
            <w:pPr>
              <w:jc w:val="left"/>
            </w:pPr>
            <w:r>
              <w:rPr>
                <w:rFonts w:ascii="Times New Roman" w:cs="Times New Roman" w:eastAsia="Times New Roman" w:hAnsi="Times New Roman"/>
                <w:sz w:val="20"/>
                <w:szCs w:val="20"/>
              </w:rPr>
              <w:t xml:space="preserve">Results</w:t>
            </w:r>
          </w:p>
        </w:tc>
        <w:tc>
          <w:tcPr>
            <w:tcW w:type="dxa" w:w="4000"/>
          </w:tcPr>
          <w:p>
            <w:pPr>
              <w:jc w:val="left"/>
            </w:pPr>
            <w:r>
              <w:rPr>
                <w:rFonts w:ascii="Times New Roman" w:cs="Times New Roman" w:eastAsia="Times New Roman" w:hAnsi="Times New Roman"/>
                <w:sz w:val="20"/>
                <w:szCs w:val="20"/>
              </w:rPr>
              <w:t xml:space="preserve">Flow-regime typology map, Frame A</w:t>
            </w:r>
          </w:p>
        </w:tc>
        <w:tc>
          <w:tcPr>
            <w:tcW w:type="dxa" w:w="3800"/>
          </w:tcPr>
          <w:p>
            <w:pPr>
              <w:jc w:val="left"/>
            </w:pPr>
            <w:r>
              <w:rPr>
                <w:rFonts w:ascii="Times New Roman" w:cs="Times New Roman" w:eastAsia="Times New Roman" w:hAnsi="Times New Roman"/>
                <w:sz w:val="20"/>
                <w:szCs w:val="20"/>
              </w:rPr>
              <w:t xml:space="preserve">EDA 3</w:t>
            </w:r>
          </w:p>
        </w:tc>
      </w:tr>
      <w:tr>
        <w:tc>
          <w:tcPr>
            <w:tcW w:type="dxa" w:w="1500"/>
          </w:tcPr>
          <w:p>
            <w:pPr>
              <w:jc w:val="left"/>
            </w:pPr>
            <w:r>
              <w:rPr>
                <w:rFonts w:ascii="Times New Roman" w:cs="Times New Roman" w:eastAsia="Times New Roman" w:hAnsi="Times New Roman"/>
                <w:sz w:val="20"/>
                <w:szCs w:val="20"/>
              </w:rPr>
              <w:t xml:space="preserve">Figure 4.3</w:t>
            </w:r>
          </w:p>
        </w:tc>
        <w:tc>
          <w:tcPr>
            <w:tcW w:type="dxa" w:w="1500"/>
          </w:tcPr>
          <w:p>
            <w:pPr>
              <w:jc w:val="left"/>
            </w:pPr>
            <w:r>
              <w:rPr>
                <w:rFonts w:ascii="Times New Roman" w:cs="Times New Roman" w:eastAsia="Times New Roman" w:hAnsi="Times New Roman"/>
                <w:sz w:val="20"/>
                <w:szCs w:val="20"/>
              </w:rPr>
              <w:t xml:space="preserve">Results</w:t>
            </w:r>
          </w:p>
        </w:tc>
        <w:tc>
          <w:tcPr>
            <w:tcW w:type="dxa" w:w="4000"/>
          </w:tcPr>
          <w:p>
            <w:pPr>
              <w:jc w:val="left"/>
            </w:pPr>
            <w:r>
              <w:rPr>
                <w:rFonts w:ascii="Times New Roman" w:cs="Times New Roman" w:eastAsia="Times New Roman" w:hAnsi="Times New Roman"/>
                <w:sz w:val="20"/>
                <w:szCs w:val="20"/>
              </w:rPr>
              <w:t xml:space="preserve">Cascade_Dominance shifts across frames</w:t>
            </w:r>
          </w:p>
        </w:tc>
        <w:tc>
          <w:tcPr>
            <w:tcW w:type="dxa" w:w="3800"/>
          </w:tcPr>
          <w:p>
            <w:pPr>
              <w:jc w:val="left"/>
            </w:pPr>
            <w:r>
              <w:rPr>
                <w:rFonts w:ascii="Times New Roman" w:cs="Times New Roman" w:eastAsia="Times New Roman" w:hAnsi="Times New Roman"/>
                <w:sz w:val="20"/>
                <w:szCs w:val="20"/>
              </w:rPr>
              <w:t xml:space="preserve">EDA 4</w:t>
            </w:r>
          </w:p>
        </w:tc>
      </w:tr>
      <w:tr>
        <w:tc>
          <w:tcPr>
            <w:tcW w:type="dxa" w:w="1500"/>
          </w:tcPr>
          <w:p>
            <w:pPr>
              <w:jc w:val="left"/>
            </w:pPr>
            <w:r>
              <w:rPr>
                <w:rFonts w:ascii="Times New Roman" w:cs="Times New Roman" w:eastAsia="Times New Roman" w:hAnsi="Times New Roman"/>
                <w:sz w:val="20"/>
                <w:szCs w:val="20"/>
              </w:rPr>
              <w:t xml:space="preserve">Figure 4.4</w:t>
            </w:r>
          </w:p>
        </w:tc>
        <w:tc>
          <w:tcPr>
            <w:tcW w:type="dxa" w:w="1500"/>
          </w:tcPr>
          <w:p>
            <w:pPr>
              <w:jc w:val="left"/>
            </w:pPr>
            <w:r>
              <w:rPr>
                <w:rFonts w:ascii="Times New Roman" w:cs="Times New Roman" w:eastAsia="Times New Roman" w:hAnsi="Times New Roman"/>
                <w:sz w:val="20"/>
                <w:szCs w:val="20"/>
              </w:rPr>
              <w:t xml:space="preserve">Results</w:t>
            </w:r>
          </w:p>
        </w:tc>
        <w:tc>
          <w:tcPr>
            <w:tcW w:type="dxa" w:w="4000"/>
          </w:tcPr>
          <w:p>
            <w:pPr>
              <w:jc w:val="left"/>
            </w:pPr>
            <w:r>
              <w:rPr>
                <w:rFonts w:ascii="Times New Roman" w:cs="Times New Roman" w:eastAsia="Times New Roman" w:hAnsi="Times New Roman"/>
                <w:sz w:val="20"/>
                <w:szCs w:val="20"/>
              </w:rPr>
              <w:t xml:space="preserve">Spatial overlap: Cascade-led and modal-GEN</w:t>
            </w:r>
          </w:p>
        </w:tc>
        <w:tc>
          <w:tcPr>
            <w:tcW w:type="dxa" w:w="3800"/>
          </w:tcPr>
          <w:p>
            <w:pPr>
              <w:jc w:val="left"/>
            </w:pPr>
            <w:r>
              <w:rPr>
                <w:rFonts w:ascii="Times New Roman" w:cs="Times New Roman" w:eastAsia="Times New Roman" w:hAnsi="Times New Roman"/>
                <w:sz w:val="20"/>
                <w:szCs w:val="20"/>
              </w:rPr>
              <w:t xml:space="preserve">EDA 12</w:t>
            </w:r>
          </w:p>
        </w:tc>
      </w:tr>
      <w:tr>
        <w:tc>
          <w:tcPr>
            <w:tcW w:type="dxa" w:w="1500"/>
          </w:tcPr>
          <w:p>
            <w:pPr>
              <w:jc w:val="left"/>
            </w:pPr>
            <w:r>
              <w:rPr>
                <w:rFonts w:ascii="Times New Roman" w:cs="Times New Roman" w:eastAsia="Times New Roman" w:hAnsi="Times New Roman"/>
                <w:sz w:val="20"/>
                <w:szCs w:val="20"/>
              </w:rPr>
              <w:t xml:space="preserve">Figure 4.5</w:t>
            </w:r>
          </w:p>
        </w:tc>
        <w:tc>
          <w:tcPr>
            <w:tcW w:type="dxa" w:w="1500"/>
          </w:tcPr>
          <w:p>
            <w:pPr>
              <w:jc w:val="left"/>
            </w:pPr>
            <w:r>
              <w:rPr>
                <w:rFonts w:ascii="Times New Roman" w:cs="Times New Roman" w:eastAsia="Times New Roman" w:hAnsi="Times New Roman"/>
                <w:sz w:val="20"/>
                <w:szCs w:val="20"/>
              </w:rPr>
              <w:t xml:space="preserve">Results</w:t>
            </w:r>
          </w:p>
        </w:tc>
        <w:tc>
          <w:tcPr>
            <w:tcW w:type="dxa" w:w="4000"/>
          </w:tcPr>
          <w:p>
            <w:pPr>
              <w:jc w:val="left"/>
            </w:pPr>
            <w:r>
              <w:rPr>
                <w:rFonts w:ascii="Times New Roman" w:cs="Times New Roman" w:eastAsia="Times New Roman" w:hAnsi="Times New Roman"/>
                <w:sz w:val="20"/>
                <w:szCs w:val="20"/>
              </w:rPr>
              <w:t xml:space="preserve">Cascade mechanism profile maps</w:t>
            </w:r>
          </w:p>
        </w:tc>
        <w:tc>
          <w:tcPr>
            <w:tcW w:type="dxa" w:w="3800"/>
          </w:tcPr>
          <w:p>
            <w:pPr>
              <w:jc w:val="left"/>
            </w:pPr>
            <w:r>
              <w:rPr>
                <w:rFonts w:ascii="Times New Roman" w:cs="Times New Roman" w:eastAsia="Times New Roman" w:hAnsi="Times New Roman"/>
                <w:sz w:val="20"/>
                <w:szCs w:val="20"/>
              </w:rPr>
              <w:t xml:space="preserve">EDA 10</w:t>
            </w:r>
          </w:p>
        </w:tc>
      </w:tr>
      <w:tr>
        <w:tc>
          <w:tcPr>
            <w:tcW w:type="dxa" w:w="1500"/>
          </w:tcPr>
          <w:p>
            <w:pPr>
              <w:jc w:val="left"/>
            </w:pPr>
            <w:r>
              <w:rPr>
                <w:rFonts w:ascii="Times New Roman" w:cs="Times New Roman" w:eastAsia="Times New Roman" w:hAnsi="Times New Roman"/>
                <w:sz w:val="20"/>
                <w:szCs w:val="20"/>
              </w:rPr>
              <w:t xml:space="preserve">Table 4.1</w:t>
            </w:r>
          </w:p>
        </w:tc>
        <w:tc>
          <w:tcPr>
            <w:tcW w:type="dxa" w:w="1500"/>
          </w:tcPr>
          <w:p>
            <w:pPr>
              <w:jc w:val="left"/>
            </w:pPr>
            <w:r>
              <w:rPr>
                <w:rFonts w:ascii="Times New Roman" w:cs="Times New Roman" w:eastAsia="Times New Roman" w:hAnsi="Times New Roman"/>
                <w:sz w:val="20"/>
                <w:szCs w:val="20"/>
              </w:rPr>
              <w:t xml:space="preserve">Results</w:t>
            </w:r>
          </w:p>
        </w:tc>
        <w:tc>
          <w:tcPr>
            <w:tcW w:type="dxa" w:w="4000"/>
          </w:tcPr>
          <w:p>
            <w:pPr>
              <w:jc w:val="left"/>
            </w:pPr>
            <w:r>
              <w:rPr>
                <w:rFonts w:ascii="Times New Roman" w:cs="Times New Roman" w:eastAsia="Times New Roman" w:hAnsi="Times New Roman"/>
                <w:sz w:val="20"/>
                <w:szCs w:val="20"/>
              </w:rPr>
              <w:t xml:space="preserve">Flow-regime counts under Frame A</w:t>
            </w:r>
          </w:p>
        </w:tc>
        <w:tc>
          <w:tcPr>
            <w:tcW w:type="dxa" w:w="3800"/>
          </w:tcPr>
          <w:p>
            <w:pPr>
              <w:jc w:val="left"/>
            </w:pPr>
            <w:r>
              <w:rPr>
                <w:rFonts w:ascii="Times New Roman" w:cs="Times New Roman" w:eastAsia="Times New Roman" w:hAnsi="Times New Roman"/>
                <w:sz w:val="20"/>
                <w:szCs w:val="20"/>
              </w:rPr>
              <w:t xml:space="preserve">EDA 3</w:t>
            </w:r>
          </w:p>
        </w:tc>
      </w:tr>
      <w:tr>
        <w:tc>
          <w:tcPr>
            <w:tcW w:type="dxa" w:w="1500"/>
          </w:tcPr>
          <w:p>
            <w:pPr>
              <w:jc w:val="left"/>
            </w:pPr>
            <w:r>
              <w:rPr>
                <w:rFonts w:ascii="Times New Roman" w:cs="Times New Roman" w:eastAsia="Times New Roman" w:hAnsi="Times New Roman"/>
                <w:sz w:val="20"/>
                <w:szCs w:val="20"/>
              </w:rPr>
              <w:t xml:space="preserve">Table 4.2</w:t>
            </w:r>
          </w:p>
        </w:tc>
        <w:tc>
          <w:tcPr>
            <w:tcW w:type="dxa" w:w="1500"/>
          </w:tcPr>
          <w:p>
            <w:pPr>
              <w:jc w:val="left"/>
            </w:pPr>
            <w:r>
              <w:rPr>
                <w:rFonts w:ascii="Times New Roman" w:cs="Times New Roman" w:eastAsia="Times New Roman" w:hAnsi="Times New Roman"/>
                <w:sz w:val="20"/>
                <w:szCs w:val="20"/>
              </w:rPr>
              <w:t xml:space="preserve">Results</w:t>
            </w:r>
          </w:p>
        </w:tc>
        <w:tc>
          <w:tcPr>
            <w:tcW w:type="dxa" w:w="4000"/>
          </w:tcPr>
          <w:p>
            <w:pPr>
              <w:jc w:val="left"/>
            </w:pPr>
            <w:r>
              <w:rPr>
                <w:rFonts w:ascii="Times New Roman" w:cs="Times New Roman" w:eastAsia="Times New Roman" w:hAnsi="Times New Roman"/>
                <w:sz w:val="20"/>
                <w:szCs w:val="20"/>
              </w:rPr>
              <w:t xml:space="preserve">Flow-regime counts under Frames A and C</w:t>
            </w:r>
          </w:p>
        </w:tc>
        <w:tc>
          <w:tcPr>
            <w:tcW w:type="dxa" w:w="3800"/>
          </w:tcPr>
          <w:p>
            <w:pPr>
              <w:jc w:val="left"/>
            </w:pPr>
            <w:r>
              <w:rPr>
                <w:rFonts w:ascii="Times New Roman" w:cs="Times New Roman" w:eastAsia="Times New Roman" w:hAnsi="Times New Roman"/>
                <w:sz w:val="20"/>
                <w:szCs w:val="20"/>
              </w:rPr>
              <w:t xml:space="preserve">EDA 4</w:t>
            </w:r>
          </w:p>
        </w:tc>
      </w:tr>
      <w:tr>
        <w:tc>
          <w:tcPr>
            <w:tcW w:type="dxa" w:w="1500"/>
          </w:tcPr>
          <w:p>
            <w:pPr>
              <w:jc w:val="left"/>
            </w:pPr>
            <w:r>
              <w:rPr>
                <w:rFonts w:ascii="Times New Roman" w:cs="Times New Roman" w:eastAsia="Times New Roman" w:hAnsi="Times New Roman"/>
                <w:sz w:val="20"/>
                <w:szCs w:val="20"/>
              </w:rPr>
              <w:t xml:space="preserve">Table 4.3</w:t>
            </w:r>
          </w:p>
        </w:tc>
        <w:tc>
          <w:tcPr>
            <w:tcW w:type="dxa" w:w="1500"/>
          </w:tcPr>
          <w:p>
            <w:pPr>
              <w:jc w:val="left"/>
            </w:pPr>
            <w:r>
              <w:rPr>
                <w:rFonts w:ascii="Times New Roman" w:cs="Times New Roman" w:eastAsia="Times New Roman" w:hAnsi="Times New Roman"/>
                <w:sz w:val="20"/>
                <w:szCs w:val="20"/>
              </w:rPr>
              <w:t xml:space="preserve">Results</w:t>
            </w:r>
          </w:p>
        </w:tc>
        <w:tc>
          <w:tcPr>
            <w:tcW w:type="dxa" w:w="4000"/>
          </w:tcPr>
          <w:p>
            <w:pPr>
              <w:jc w:val="left"/>
            </w:pPr>
            <w:r>
              <w:rPr>
                <w:rFonts w:ascii="Times New Roman" w:cs="Times New Roman" w:eastAsia="Times New Roman" w:hAnsi="Times New Roman"/>
                <w:sz w:val="20"/>
                <w:szCs w:val="20"/>
              </w:rPr>
              <w:t xml:space="preserve">Mechanism composition of Cascade-led MSOAs</w:t>
            </w:r>
          </w:p>
        </w:tc>
        <w:tc>
          <w:tcPr>
            <w:tcW w:type="dxa" w:w="3800"/>
          </w:tcPr>
          <w:p>
            <w:pPr>
              <w:jc w:val="left"/>
            </w:pPr>
            <w:r>
              <w:rPr>
                <w:rFonts w:ascii="Times New Roman" w:cs="Times New Roman" w:eastAsia="Times New Roman" w:hAnsi="Times New Roman"/>
                <w:sz w:val="20"/>
                <w:szCs w:val="20"/>
              </w:rPr>
              <w:t xml:space="preserve">EDA 9b</w:t>
            </w:r>
          </w:p>
        </w:tc>
      </w:tr>
      <w:tr>
        <w:tc>
          <w:tcPr>
            <w:tcW w:type="dxa" w:w="1500"/>
          </w:tcPr>
          <w:p>
            <w:pPr>
              <w:jc w:val="left"/>
            </w:pPr>
            <w:r>
              <w:rPr>
                <w:rFonts w:ascii="Times New Roman" w:cs="Times New Roman" w:eastAsia="Times New Roman" w:hAnsi="Times New Roman"/>
                <w:sz w:val="20"/>
                <w:szCs w:val="20"/>
              </w:rPr>
              <w:t xml:space="preserve">Table 4.4</w:t>
            </w:r>
          </w:p>
        </w:tc>
        <w:tc>
          <w:tcPr>
            <w:tcW w:type="dxa" w:w="1500"/>
          </w:tcPr>
          <w:p>
            <w:pPr>
              <w:jc w:val="left"/>
            </w:pPr>
            <w:r>
              <w:rPr>
                <w:rFonts w:ascii="Times New Roman" w:cs="Times New Roman" w:eastAsia="Times New Roman" w:hAnsi="Times New Roman"/>
                <w:sz w:val="20"/>
                <w:szCs w:val="20"/>
              </w:rPr>
              <w:t xml:space="preserve">Results</w:t>
            </w:r>
          </w:p>
        </w:tc>
        <w:tc>
          <w:tcPr>
            <w:tcW w:type="dxa" w:w="4000"/>
          </w:tcPr>
          <w:p>
            <w:pPr>
              <w:jc w:val="left"/>
            </w:pPr>
            <w:r>
              <w:rPr>
                <w:rFonts w:ascii="Times New Roman" w:cs="Times New Roman" w:eastAsia="Times New Roman" w:hAnsi="Times New Roman"/>
                <w:sz w:val="20"/>
                <w:szCs w:val="20"/>
              </w:rPr>
              <w:t xml:space="preserve">Mechanism-level Yee comparison</w:t>
            </w:r>
          </w:p>
        </w:tc>
        <w:tc>
          <w:tcPr>
            <w:tcW w:type="dxa" w:w="3800"/>
          </w:tcPr>
          <w:p>
            <w:pPr>
              <w:jc w:val="left"/>
            </w:pPr>
            <w:r>
              <w:rPr>
                <w:rFonts w:ascii="Times New Roman" w:cs="Times New Roman" w:eastAsia="Times New Roman" w:hAnsi="Times New Roman"/>
                <w:sz w:val="20"/>
                <w:szCs w:val="20"/>
              </w:rPr>
              <w:t xml:space="preserve">EDA 12</w:t>
            </w:r>
          </w:p>
        </w:tc>
      </w:tr>
    </w:tbl>
    <w:p>
      <w:pPr>
        <w:spacing w:after="200" w:before="100"/>
        <w:jc w:val="left"/>
      </w:pPr>
      <w:r>
        <w:rPr>
          <w:rFonts w:ascii="Times New Roman" w:cs="Times New Roman" w:eastAsia="Times New Roman" w:hAnsi="Times New Roman"/>
          <w:i/>
          <w:iCs/>
          <w:sz w:val="22"/>
          <w:szCs w:val="22"/>
        </w:rPr>
        <w:t xml:space="preserve">Table G.1. Figure and table source mapping. Notebook references correspond to filenames in the project repository.</w:t>
      </w:r>
    </w:p>
    <w:p>
      <w:pPr>
        <w:spacing w:after="120" w:line="360"/>
        <w:jc w:val="both"/>
      </w:pPr>
      <w:r>
        <w:rPr>
          <w:rFonts w:ascii="Times New Roman" w:cs="Times New Roman" w:eastAsia="Times New Roman" w:hAnsi="Times New Roman"/>
          <w:sz w:val="24"/>
          <w:szCs w:val="24"/>
        </w:rPr>
        <w:t xml:space="preserve">All computational notebooks are written in Python and use the pandas, scipy, matplotlib, seaborn, and geopandas libraries. Data files consumed by each notebook are documented in the notebook’s header cell. The preprocessing notebook produces the master analytical dataset (msoa_cascade_features), which is consumed by all downstream EDA notebooks. The enriched dataset (with derived metrics and sign-concordance flags) is produced by EDA 1 and consumed by EDA 2 onward.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2026-07-31T12:37:32.621Z</dcterms:created>
  <dcterms:modified xsi:type="dcterms:W3CDTF">2026-07-31T12:37:32.639Z</dcterms:modified>
</cp:coreProperties>
</file>

<file path=docProps/custom.xml><?xml version="1.0" encoding="utf-8"?>
<Properties xmlns="http://schemas.openxmlformats.org/officeDocument/2006/custom-properties" xmlns:vt="http://schemas.openxmlformats.org/officeDocument/2006/docPropsVTypes"/>
</file>