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conceptual-framework"/>
    <w:p>
      <w:pPr>
        <w:pStyle w:val="Heading1"/>
      </w:pPr>
      <w:r>
        <w:t xml:space="preserve">2. Conceptual Framework</w:t>
      </w:r>
    </w:p>
    <w:p>
      <w:pPr>
        <w:pStyle w:val="FirstParagraph"/>
      </w:pPr>
      <w:r>
        <w:t xml:space="preserve">Gentrification operates fundamentally as a process of residential restructuring in which neighbourhood socio-economic compositions are transformed through the interaction of housing market dynamics, capital investment, and population movement. Inherently linked to this restructuring is the phenomenon of displacement, which extends beyond observable instances of forced removal. As Marcuse (1985) argues, displacement encompasses a broader spectrum of structural pressures, including direct last-resident displacement, direct chain displacement, exclusionary displacement, and the anticipatory pressure experienced by residents as neighbourhood conditions transform.</w:t>
      </w:r>
    </w:p>
    <w:p>
      <w:pPr>
        <w:pStyle w:val="BodyText"/>
      </w:pPr>
      <w:r>
        <w:t xml:space="preserve">Embedded in this theoretical tradition is a widely assumed empirical chain: gentrification is expected to be legible as a cascade of moves, in which affluent residents arrive and existing residents are pushed towards more deprived areas, so that following the flows would amount to finding gentrification. This chain is richly theorised, most explicitly in Marcuse’s account of chain displacement, but it has rarely been tested at whole-city scale with open flow data, and recent direct tests of the downward-move hypothesis find the cascade weak or mixed at the individual level (Ding et al., 2016; Freeman et al., 2024). The relationship between cascading flows and gentrification therefore warrants testing rather than assumption.</w:t>
      </w:r>
    </w:p>
    <w:p>
      <w:pPr>
        <w:pStyle w:val="BodyText"/>
      </w:pPr>
      <w:r>
        <w:t xml:space="preserve">Despite this theoretical complexity, existing empirical approaches rely heavily on static neighbourhood attributes to identify gentrification and displacement-related change. These approaches typically operationalise restructuring through demographic or socio-economic shifts measured at the local area level. While such indicators capture the outcomes of neighbourhood transformation, they provide limited insight into the migratory mechanisms and cascading mobility structures through which displacement pressures may operate.</w:t>
      </w:r>
    </w:p>
    <w:p>
      <w:pPr>
        <w:pStyle w:val="BodyText"/>
      </w:pPr>
      <w:r>
        <w:t xml:space="preserve">To address this methodological gap, this study develops a flow-centred framework that foregrounds the directional movement of populations across London’s socio-economic hierarchy, and uses it to ask a precise question: does a flow lens recover what attribute-based methods call gentrification? The framework conceptualises displacement pressure as a relational mobility structure observable through asymmetric migration flows between neighbourhoods positioned differently within the urban deprivation hierarchy, translates broader structural urban processes into empirically observable migration patterns, and evaluates those patterns against independent measures of neighbourhood socio-economic change. Both convergence and divergence between the two lenses are informative outcomes under this design.</w:t>
      </w:r>
    </w:p>
    <w:bookmarkStart w:id="20" w:name="structural-premises"/>
    <w:p>
      <w:pPr>
        <w:pStyle w:val="Heading2"/>
      </w:pPr>
      <w:r>
        <w:t xml:space="preserve">2.1 Structural Premises</w:t>
      </w:r>
    </w:p>
    <w:p>
      <w:pPr>
        <w:pStyle w:val="FirstParagraph"/>
      </w:pPr>
      <w:r>
        <w:t xml:space="preserve">The framework begins with a set of macro-level structural conditions derived from theories of urban restructuring and displacement. Although these processes are not directly measured by the study, they establish the broader urban context within which neighbourhood transformation occurs. Structural processes such as gentrification, uneven urban development, reinvestment, and disinvestment generate differentiated housing pressure across the urban system and contribute to the restructuring of residential space.</w:t>
      </w:r>
    </w:p>
    <w:p>
      <w:pPr>
        <w:pStyle w:val="BodyText"/>
      </w:pPr>
      <w:r>
        <w:t xml:space="preserve">These pressures operate within an existing socio-economic hierarchy structured through uneven distributions of deprivation and advantage. In this study, this hierarchy is operationalised using the Index of Multiple Deprivation (IMD), which provides a relational ordering of neighbourhoods across London’s urban structure. The deprivation hierarchy conditions the spatial pathways through which displacement-related mobility may occur: population movements are not treated as spatially random, but as structured by directional relationships across the urban socio-economic gradient. Within this framework, the deprivation hierarchy functions not merely as a descriptive classification system, but as the broader structural field through which cascading residential restructuring unfolds.</w:t>
      </w:r>
    </w:p>
    <w:p>
      <w:pPr>
        <w:pStyle w:val="BodyText"/>
      </w:pPr>
      <w:r>
        <w:t xml:space="preserve">A further structural premise concerns the reference frame within which the hierarchy is defined. Hierarchy position is inherently relative: a neighbourhood occupying the middle of London’s internal deprivation distribution sits below the national average, because London is comparatively deprived on the IMD. Moreover, London is not a closed system; its residential restructuring is coupled to migration exchange with the rest of the country. The framework therefore treats the choice of reference frame, London-relative or national, and the treatment of boundary-crossing flows as explicit analytical decisions whose effects must be isolated rather than left implicit, since a movement that crosses the hierarchy in one frame may not do so in another.</w:t>
      </w:r>
    </w:p>
    <w:bookmarkEnd w:id="20"/>
    <w:bookmarkStart w:id="21" w:name="empirical-detection"/>
    <w:p>
      <w:pPr>
        <w:pStyle w:val="Heading2"/>
      </w:pPr>
      <w:r>
        <w:t xml:space="preserve">2.2 Empirical Detection</w:t>
      </w:r>
    </w:p>
    <w:p>
      <w:pPr>
        <w:pStyle w:val="FirstParagraph"/>
      </w:pPr>
      <w:r>
        <w:t xml:space="preserve">The empirical component of the framework focuses on the observation of directional migration structures across the deprivation hierarchy. Using Census origin–destination migration data, the study analyses flows between neighbourhoods relative to a fixed deprivation baseline in order to identify directional migration asymmetries across London’s socio-economic structure.</w:t>
      </w:r>
    </w:p>
    <w:p>
      <w:pPr>
        <w:pStyle w:val="BodyText"/>
      </w:pPr>
      <w:r>
        <w:t xml:space="preserve">Every hierarchy-crossing move takes one of four elementary forms from the perspective of a focal neighbourhood: inflow from a less deprived area, outflow to a more deprived area, outflow to a less deprived area, and inflow from a more deprived area. The first pair, wealthier arrivals combined with poorer-directed departures, constitutes the</w:t>
      </w:r>
      <w:r>
        <w:t xml:space="preserve"> </w:t>
      </w:r>
      <w:r>
        <w:rPr>
          <w:bCs/>
          <w:b/>
        </w:rPr>
        <w:t xml:space="preserve">cascade direction</w:t>
      </w:r>
      <w:r>
        <w:t xml:space="preserve">: the empirical signature that classic displacement accounts predict. The second pair constitutes the</w:t>
      </w:r>
      <w:r>
        <w:t xml:space="preserve"> </w:t>
      </w:r>
      <w:r>
        <w:rPr>
          <w:bCs/>
          <w:b/>
        </w:rPr>
        <w:t xml:space="preserve">counter-cascade direction</w:t>
      </w:r>
      <w:r>
        <w:t xml:space="preserve">. Conceptualising the two directions symmetrically is essential to the framework’s logic: only by measuring both can the analysis establish which direction actually dominates a neighbourhood’s deprivation-crossing migration, and thereby treat the cascade reading of restructuring as a hypothesis rather than a foregone conclusion.</w:t>
      </w:r>
    </w:p>
    <w:p>
      <w:pPr>
        <w:pStyle w:val="BodyText"/>
      </w:pPr>
      <w:r>
        <w:t xml:space="preserve">Rather than observing displacement directly, the framework identifies aggregate migration patterns consistent with cascading displacement dynamics operating at neighbourhood scale. Residential restructuring is therefore conceptualised as an empirically observable redistribution of population across the deprivation hierarchy, manifested through the balance, intensity, and co-occurrence of directional flows between neighbourhoods. By tracing the progression from directional migratory asymmetry to broader mobility structures, the framework places relational population movement at the empirical centre of neighbourhood restructuring analysis.</w:t>
      </w:r>
    </w:p>
    <w:bookmarkEnd w:id="21"/>
    <w:bookmarkStart w:id="22" w:name="interpretive-claim"/>
    <w:p>
      <w:pPr>
        <w:pStyle w:val="Heading2"/>
      </w:pPr>
      <w:r>
        <w:t xml:space="preserve">2.3 Interpretive Claim</w:t>
      </w:r>
    </w:p>
    <w:p>
      <w:pPr>
        <w:pStyle w:val="FirstParagraph"/>
      </w:pPr>
      <w:r>
        <w:t xml:space="preserve">The transition from empirical observation to theoretical interpretation constitutes the interpretive component of the framework. The migration asymmetries and cascading mobility structures identified by the study are treated as empirical signatures of residential restructuring rather than direct observations of involuntary displacement itself. This distinction is epistemically important because the study measures aggregate migration flows and interprets their structure through the lens of displacement theory rather than claiming to observe individual forced moves directly. It is reinforced by a measurement fact: the deprivation position of an origin area is a proxy for, not a measurement of, the socio-economic position of the mover, so a move from a wealthier area does not entail a wealthier person.</w:t>
      </w:r>
    </w:p>
    <w:p>
      <w:pPr>
        <w:pStyle w:val="BodyText"/>
      </w:pPr>
      <w:r>
        <w:t xml:space="preserve">Drawing on Marcuse’s (1985) typology, the framework conceptualises displacement not as a singular event but as a broader relational process embedded within urban restructuring, and is primarily concerned with displacement pressure and chain displacement operating at neighbourhood scale. Displacement pressure extends beyond households that have already moved by altering the affordability, accessibility, and social conditions of neighbourhood life. Because these pressures operate structurally and cumulatively, they are more likely to generate observable migration asymmetries within aggregate origin–destination data. The study therefore interprets persistent directional asymmetries across the deprivation hierarchy as indicators consistent with broader processes of displacement pressure and cascading residential restructuring.</w:t>
      </w:r>
    </w:p>
    <w:p>
      <w:pPr>
        <w:pStyle w:val="BodyText"/>
      </w:pPr>
      <w:r>
        <w:t xml:space="preserve">A final interpretive distinction underpins the study’s comparative design. Attribute-based approaches measure changes in who lives in a place, its socio-economic composition, while the flow framework measures how the urban hierarchy is being reshuffled through a place. These are conceptually different objects, and there is no theoretical guarantee that they coincide. The framework therefore holds the relationship between flow-detected restructuring and attribute-detected gentrification open as an empirical question: convergence would license reading cascade signatures as gentrification proxies, while systematic divergence would indicate that the flow lens is a different instrument, measuring a distinct dimension of urban change that attribute methods overlook.</w:t>
      </w:r>
    </w:p>
    <w:bookmarkEnd w:id="22"/>
    <w:bookmarkStart w:id="23" w:name="corroboration-and-comparative-testing"/>
    <w:p>
      <w:pPr>
        <w:pStyle w:val="Heading2"/>
      </w:pPr>
      <w:r>
        <w:t xml:space="preserve">2.4 Corroboration and Comparative Testing</w:t>
      </w:r>
    </w:p>
    <w:p>
      <w:pPr>
        <w:pStyle w:val="FirstParagraph"/>
      </w:pPr>
      <w:r>
        <w:t xml:space="preserve">The final component of the framework introduces an independent evaluation layer linking migration restructuring to neighbourhood socio-economic change. If cascading mobility structures genuinely reflect the processes attribute methods label gentrification, then neighbourhoods exhibiting strong cascade signatures should independently demonstrate socio-economic ascent over the same period, and should be flagged by attribute-based classifications of neighbourhood change.</w:t>
      </w:r>
    </w:p>
    <w:p>
      <w:pPr>
        <w:pStyle w:val="BodyText"/>
      </w:pPr>
      <w:r>
        <w:t xml:space="preserve">Three independent checks operationalise this evaluation. First, following the outcome logic of Yee and Dennett (2022) and Zhu and Dennett (2023), changes in the Index of Multiple Deprivation between 2010 and 2019 provide a neighbourhood-ascent outcome. Second, the flow-based typology is compared directly with the attribute-based neighbourhood classification of Yee and Dennett (2022). Third, it is compared with an occupational-ascent measure capturing professionalisation of the resident workforce between the two censuses. Triangulating across an outcome index and two attribute benchmarks addresses the concern that any single validation variable is insufficient, and allows patterns of agreement and disagreement to be located in space and time rather than summarised in a single coefficient.</w:t>
      </w:r>
    </w:p>
    <w:p>
      <w:pPr>
        <w:pStyle w:val="BodyText"/>
      </w:pPr>
      <w:r>
        <w:t xml:space="preserve">A further design principle governs how the comparison is read: equivalence between lenses is treated as resolution-dependent. The flow framework does not produce a single gentrification score but a family of distinguishable mechanisms, an arrival-led cascade, a displacement-led cascade whose signal sits in the outflow arm, and boundary-crossing departure, and the attribute tradition likewise distinguishes variants of gentrification, from mainstream gentrification to the super-gentrification of already-affluent areas (Butler and Lees, 2006). A comparison conducted only at the level of pooled classifications can therefore return a null even where the two lenses align mechanism by mechanism, because heterogeneous mechanisms are averaged against heterogeneous subtypes. The corroboration stage accordingly tests correspondence at both resolutions: between the pooled flow typology and the pooled attribute classes, and between individual flow mechanisms and individual gentrification subtypes. A pooled null accompanied by structured mechanism-level alignment is itself a substantive finding, indicating that the flow lens does not measure gentrification in general but discriminates between its variants by the migratory mechanism through which each operates.</w:t>
      </w:r>
    </w:p>
    <w:p>
      <w:pPr>
        <w:pStyle w:val="BodyText"/>
      </w:pPr>
      <w:r>
        <w:t xml:space="preserve">Importantly, neighbourhood socio-economic ascent functions as a separate corroboration mechanism rather than part of the metric construction process. The migration indicators are derived entirely from directional mobility structures against a deprivation baseline fixed in 2010, and the 2019 IMD is reserved exclusively for the outcome side; the evaluation is therefore non-circular by construction. Equally importantly, the evaluation is designed to be informative in both directions: divergence between the flow typology and attribute benchmarks is not treated as failure of the flow method, but as evidence about what each class of method measures, and the locations where they disagree are themselves objects of analysis.</w:t>
      </w:r>
    </w:p>
    <w:p>
      <w:pPr>
        <w:pStyle w:val="BodyText"/>
      </w:pPr>
      <w:r>
        <w:t xml:space="preserve">The methodology developed in the following chapter operationalises this conceptual framework: it translates directional migration asymmetries into cascade and counter-cascade indicator suites and a flow-regime typology, isolates the effects of reference-frame choice and boundary-crossing flows through a three-frame design, decomposes the cascade signature into measurable flow mechanisms through a time-symmetric classification tree, and confronts the resulting classifications, at both pooled and mechanism resolution, with the three independent measures of neighbourhood change set out above.</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2026-07-12T12:03:04Z</dcterms:created>
  <dcterms:modified xsi:type="dcterms:W3CDTF">2026-07-12T12:03:04Z</dcterms:modified>
</cp:coreProperties>
</file>

<file path=docProps/custom.xml><?xml version="1.0" encoding="utf-8"?>
<Properties xmlns="http://schemas.openxmlformats.org/officeDocument/2006/custom-properties" xmlns:vt="http://schemas.openxmlformats.org/officeDocument/2006/docPropsVTypes"/>
</file>