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methodology"/>
    <w:p>
      <w:pPr>
        <w:pStyle w:val="Heading1"/>
      </w:pPr>
      <w:r>
        <w:t xml:space="preserve">3. Methodology</w:t>
      </w:r>
    </w:p>
    <w:bookmarkStart w:id="20" w:name="research-design"/>
    <w:p>
      <w:pPr>
        <w:pStyle w:val="Heading2"/>
      </w:pPr>
      <w:r>
        <w:t xml:space="preserve">3.1 Research Design</w:t>
      </w:r>
    </w:p>
    <w:p>
      <w:pPr>
        <w:pStyle w:val="FirstParagraph"/>
      </w:pPr>
      <w:r>
        <w:t xml:space="preserve">This study develops a flow-centred framework for identifying residential restructuring in London through directional migration asymmetries across the urban deprivation hierarchy between 2011 and 2021, and uses that framework to test a widely assumed equivalence: that gentrification can be read directly from cascading migration flows, in which affluent residents move into a neighbourhood and existing residents are pushed towards more deprived areas. Rather than operationalising gentrification through neighbourhood upgrading indicators, the study conceptualises displacement pressure as a relational mobility structure observable through the simultaneous co-occurrence of upward-directed inflows and downward-directed outflows between neighbourhoods positioned differently within London’s socio-economic hierarchy. Crucially, the framework does not presume that this flow signature and attribute-defined gentrification coincide; their correspondence is treated as an empirical question and is examined against independent attribute-based benchmarks.</w:t>
      </w:r>
    </w:p>
    <w:p>
      <w:pPr>
        <w:pStyle w:val="BodyText"/>
      </w:pPr>
      <w:r>
        <w:t xml:space="preserve">The analytical framework proceeds in five interconnected stages. First, all London MSOAs are classified into a fixed deprivation hierarchy using IMD 2010 scores. Second, Census origin–destination migration flows are decomposed into four elementary hierarchy-crossing flows, from which two parallel indicator suites are constructed: a cascade family capturing wealthier in-migration combined with poorer-directed out-migration, and a counter-cascade family capturing the reverse direction. Third, MSOAs are classified into flow-regime types according to the balance and intensity of their deprivation-crossing flows. Fourth, a three-frame reference design separates the effect of changing the decile ladder (London-relative versus national) from the effect of adding flows that cross London’s boundary, so that boundary effects can be attributed rather than confounded. Finally, the resulting flow structures and typology are evaluated against three independent measures of neighbourhood socio-economic change: IMD percentile change between 2010 and 2019, the attribute-based neighbourhood classification of Yee and Dennett (2022), and an occupational-ascent measure derived from Census occupation data.</w:t>
      </w:r>
    </w:p>
    <w:p>
      <w:pPr>
        <w:pStyle w:val="BodyText"/>
      </w:pPr>
      <w:r>
        <w:t xml:space="preserve">A central methodological principle of the study is the separation between the measurement of migration restructuring and the measurement of neighbourhood outcomes. All flow indicators are derived entirely from origin–destination migration asymmetries scored against the 2010 baseline hierarchy, while the IMD 2019 release is reserved exclusively for the outcome side of the analysis. Because the classification never sees the outcome data it is later evaluated against, the validation is non-circular by construction. This separation enables the study to evaluate whether neighbourhoods exhibiting strong cascade signatures also display trajectories consistent with socio-economic ascent, and, equally, to detect the case in which they do not.</w:t>
      </w:r>
    </w:p>
    <w:p>
      <w:pPr>
        <w:pStyle w:val="BodyText"/>
      </w:pPr>
      <w:r>
        <w:t xml:space="preserve">Importantly, the study does not claim that all downward movement across the deprivation hierarchy constitutes forced displacement. Census migration data capture residential mobility patterns rather than the motivations underlying individual household moves, and the deprivation position of an origin area is only a proxy for the socio-economic position of the mover: a move from a wealthier area does not necessarily indicate a wealthier person. The framework therefore interprets persistent directional asymmetries and cascading mobility structures as indicators of structural restructuring pressure operating at the neighbourhood scale rather than direct observations of involuntary displacement events.</w:t>
      </w:r>
    </w:p>
    <w:bookmarkEnd w:id="20"/>
    <w:bookmarkStart w:id="21" w:name="study-area-and-temporal-scope"/>
    <w:p>
      <w:pPr>
        <w:pStyle w:val="Heading2"/>
      </w:pPr>
      <w:r>
        <w:t xml:space="preserve">3.2 Study Area and Temporal Scope</w:t>
      </w:r>
    </w:p>
    <w:p>
      <w:pPr>
        <w:pStyle w:val="FirstParagraph"/>
      </w:pPr>
      <w:r>
        <w:t xml:space="preserve">The study area comprises Greater London, defined as the 33 local authority districts consisting of the 32 London boroughs and the City of London. The unit of analysis is the Middle Layer Super Output Area (MSOA), a census geography designed to contain approximately 7,200 residents and 2,800 households (ONS, 2011). MSOAs provide an appropriate neighbourhood-scale unit for analysing residential restructuring because they are sufficiently granular to capture localised migration dynamics while remaining large enough to contain statistically meaningful migration volumes.</w:t>
      </w:r>
    </w:p>
    <w:p>
      <w:pPr>
        <w:pStyle w:val="BodyText"/>
      </w:pPr>
      <w:r>
        <w:t xml:space="preserve">All datasets are harmonised to 2011 MSOA boundaries to ensure longitudinal consistency across the study period. The 2021 Census introduced revised MSOA geographies, including a number of boundary splits and mergers. To maintain temporal comparability, only one-to-one correspondences between 2011 and 2021 MSOAs are retained, with a single documented exception: the two adjacent Camden MSOAs (Camden 024 and 025) that were merged into one 2021 MSOA are analysed as a single best-fit zone rather than excluded, since their combined extent corresponds exactly to the 2021 unit. This treatment affects two of the analytical units and leaves the decile assignment of all other MSOAs unchanged. Following harmonisation, the final analytical dataset comprises 982 temporally consistent MSOA-level zones across Greater London.</w:t>
      </w:r>
    </w:p>
    <w:bookmarkEnd w:id="21"/>
    <w:bookmarkStart w:id="25" w:name="data-sources"/>
    <w:p>
      <w:pPr>
        <w:pStyle w:val="Heading2"/>
      </w:pPr>
      <w:r>
        <w:t xml:space="preserve">3.3 Data Sources</w:t>
      </w:r>
    </w:p>
    <w:bookmarkStart w:id="22" w:name="census-origindestination-migration-data"/>
    <w:p>
      <w:pPr>
        <w:pStyle w:val="Heading3"/>
      </w:pPr>
      <w:r>
        <w:t xml:space="preserve">3.3.1 Census Origin–Destination Migration Data</w:t>
      </w:r>
    </w:p>
    <w:p>
      <w:pPr>
        <w:pStyle w:val="FirstParagraph"/>
      </w:pPr>
      <w:r>
        <w:t xml:space="preserve">The primary data source is the Census origin–destination (O-D) migration dataset, which records residential moves made during the year preceding each Census. To capture changes over the decade, two datasets are used to construct the flow indicators.</w:t>
      </w:r>
    </w:p>
    <w:p>
      <w:pPr>
        <w:pStyle w:val="BodyText"/>
      </w:pPr>
      <w:r>
        <w:t xml:space="preserve">The 2021 Census O-D dataset (Table RM097), publicly available through NOMIS, records migration flows between MSOAs across England and Wales for the year ending March 2021. Its historical counterpart, the 2011 Census O-D dataset (Table MF01EW), records residential migration flows for the year ending March 2011. Because publicly available 2011 migration data are not available at MSOA scale, safeguarded OA-level migration data accessed through WICID are spatially aggregated to 2011 MSOA boundaries to ensure consistency with the analytical framework used throughout the study.</w:t>
      </w:r>
    </w:p>
    <w:p>
      <w:pPr>
        <w:pStyle w:val="BodyText"/>
      </w:pPr>
      <w:r>
        <w:t xml:space="preserve">Each O-D record contains an origin geography, destination geography, and the number of migrants making that move. Within-area moves, where origin and destination are identical at MSOA level, are excluded because they represent local residential churn rather than inter-neighbourhood restructuring dynamics. After filtering (Section 3.4), the two periods contain broadly comparable volumes of London-internal migration (approximately 852,000 person-moves in 2011 and 766,000 in 2021), so neither census year is dramatically underpowered relative to the other.</w:t>
      </w:r>
    </w:p>
    <w:p>
      <w:pPr>
        <w:pStyle w:val="BodyText"/>
      </w:pPr>
      <w:r>
        <w:t xml:space="preserve">The Census migration data do not contain information on movers’ socio-economic status. Instead, socio-economic directionality is inferred from the relative deprivation positions of origin and destination neighbourhoods within the fixed deprivation hierarchy.</w:t>
      </w:r>
    </w:p>
    <w:bookmarkEnd w:id="22"/>
    <w:bookmarkStart w:id="23" w:name="index-of-multiple-deprivation"/>
    <w:p>
      <w:pPr>
        <w:pStyle w:val="Heading3"/>
      </w:pPr>
      <w:r>
        <w:t xml:space="preserve">3.3.2 Index of Multiple Deprivation</w:t>
      </w:r>
    </w:p>
    <w:p>
      <w:pPr>
        <w:pStyle w:val="FirstParagraph"/>
      </w:pPr>
      <w:r>
        <w:t xml:space="preserve">Neighbourhood deprivation is measured using the English Index of Multiple Deprivation (IMD), a composite area-level indicator produced by the Ministry of Housing, Communities and Local Government (MHCLG). The IMD combines multiple dimensions of deprivation, including income, employment, education, health, crime, housing, and living environment conditions. To align as closely as possible with the 2011 and 2021 Census migration data, the 2010 and 2019 IMD releases are utilised. Although this introduces a temporal mismatch between the migration and deprivation datasets, these represent the closest temporally aligned deprivation measures available and provide a sufficiently stable representation of neighbourhood socio-economic structure over the study period.</w:t>
      </w:r>
    </w:p>
    <w:p>
      <w:pPr>
        <w:pStyle w:val="BodyText"/>
      </w:pPr>
      <w:r>
        <w:t xml:space="preserve">The two releases play strictly separated roles. IMD 2010 is used to construct the fixed baseline deprivation hierarchy that underpins the migration flow classification framework, on both a London-relative and a national ladder (Section 3.5). IMD 2019 is reserved exclusively for the validation stage, where the change in an MSOA’s deprivation percentile between 2010 and 2019 serves as an independent outcome measure, and for a robustness check in which the baseline hierarchy is re-derived from 2019 scores. Because no official MSOA-level IMD product exists (MHCLG published higher-geography summary measures only at local authority level), both releases are aggregated from LSOA to 2011 MSOA boundaries using population-weighted means of the cardinal scores, with year-matched population weights: the 2010 release is weighted by 2011 Census usual-resident population (Table KS101EW), and the 2019 release by the mid-2015 population estimates shipped within the IMD 2019 file. Aggregated scores are then re-ranked to produce valid ordinal positions, mirroring MHCLG’s rank-of-average-score approach (McLennan et al., 2019).</w:t>
      </w:r>
    </w:p>
    <w:bookmarkEnd w:id="23"/>
    <w:bookmarkStart w:id="24" w:name="comparative-benchmark-data"/>
    <w:p>
      <w:pPr>
        <w:pStyle w:val="Heading3"/>
      </w:pPr>
      <w:r>
        <w:t xml:space="preserve">3.3.3 Comparative Benchmark Data</w:t>
      </w:r>
    </w:p>
    <w:p>
      <w:pPr>
        <w:pStyle w:val="FirstParagraph"/>
      </w:pPr>
      <w:r>
        <w:t xml:space="preserve">Two additional datasets support the comparative validation stage. First, the LSOA-level neighbourhood trajectory classification produced by Yee and Dennett (2022), which identifies gentrifying, declining and stable neighbourhoods in London from composite socio-economic attributes over 2001–2011, is aggregated to MSOA scale to serve as an attribute-based gentrification benchmark (Section 3.10.3). Second, Census occupation tables at MSOA level (Table KS608EW for 2011 and Table TS063 for 2021, accessed via NOMIS) provide counts of residents by SOC major occupational group, from which an occupational-ascent measure is constructed (Section 3.10.4). Occupation is used in place of NS-SeC because the NS-SeC classifications published for 2011 and 2021 are not directly comparable across censuses, whereas SOC major groups 1–3 can be consistently identified in both years.</w:t>
      </w:r>
    </w:p>
    <w:bookmarkEnd w:id="24"/>
    <w:bookmarkEnd w:id="25"/>
    <w:bookmarkStart w:id="28" w:name="X4e9d6be94b68353401b6b740fc4494e8ef636d0"/>
    <w:p>
      <w:pPr>
        <w:pStyle w:val="Heading2"/>
      </w:pPr>
      <w:r>
        <w:t xml:space="preserve">3.4 Spatial Harmonisation and Data Processing</w:t>
      </w:r>
    </w:p>
    <w:bookmarkStart w:id="26" w:name="X8e56083ab5ced03727d0a9bc8c4aa3e6320d806"/>
    <w:p>
      <w:pPr>
        <w:pStyle w:val="Heading3"/>
      </w:pPr>
      <w:r>
        <w:t xml:space="preserve">3.4.1 Harmonising Migration Geographies: An Explicit Exclusion Pipeline</w:t>
      </w:r>
    </w:p>
    <w:p>
      <w:pPr>
        <w:pStyle w:val="FirstParagraph"/>
      </w:pPr>
      <w:r>
        <w:t xml:space="preserve">Longitudinal analysis of migration flows requires temporally consistent spatial boundaries (Blake et al., 2000; Rowe, 2017). All migration datasets are therefore harmonised to the 2011 MSOA geography: the safeguarded 2011 OA-level flows are aggregated to 2011 MSOAs using official ONS lookup tables, and the 2021 MSOA-level flows are translated back to 2011 codes using the ONS 2011-to-2021 MSOA correspondence table, restricted to unchanged one-to-one MSOAs plus the documented Camden best-fit merge (Section 3.2).</w:t>
      </w:r>
    </w:p>
    <w:p>
      <w:pPr>
        <w:pStyle w:val="BodyText"/>
      </w:pPr>
      <w:r>
        <w:t xml:space="preserve">Rather than silently dropping records, the processing pipeline makes every exclusion explicit and auditable. Each origin and destination code appearing in the raw O-D tables is first classified into exactly one of six mutually exclusive categories: London analysis units, England-and-Wales non-London geographies, boundary-changed 2021 MSOAs with no one-to-one 2011 counterpart, Scottish and Northern Irish geographies, ONS pseudo-codes (such as</w:t>
      </w:r>
      <w:r>
        <w:t xml:space="preserve"> </w:t>
      </w:r>
      <w:r>
        <w:t xml:space="preserve">“</w:t>
      </w:r>
      <w:r>
        <w:t xml:space="preserve">no fixed address</w:t>
      </w:r>
      <w:r>
        <w:t xml:space="preserve">”</w:t>
      </w:r>
      <w:r>
        <w:t xml:space="preserve"> </w:t>
      </w:r>
      <w:r>
        <w:t xml:space="preserve">codes), and a residual unknown category used to flag unanticipated codes for inspection. This endpoint audit is diagnostic only; the actual filter is a single positive whitelist rule applied identically to both census years: a flow record is retained if and only if both endpoints harmonise to a 2011 MSOA in the London analysis set with an available deprivation decile, and origin and destination differ at MSOA level. The whitelist encodes the analytical requirement directly, because a flow can only contribute to the cascade framework if both endpoints carry a decile position, and it guarantees that an unanticipated code can never enter the analysis. Each filtering step reports the rows and persons removed, producing a reproducible exclusion waterfall. The quantitatively largest legitimate exclusions are boundary-changed MSOAs; genuinely unmappable records are negligible (in 2011, 32 output areas covering roughly 0.05% of migrants could not be assigned to an MSOA).</w:t>
      </w:r>
    </w:p>
    <w:bookmarkEnd w:id="26"/>
    <w:bookmarkStart w:id="27" w:name="Xd48b16f1827f082055fcb422f68ba3dac32c81e"/>
    <w:p>
      <w:pPr>
        <w:pStyle w:val="Heading3"/>
      </w:pPr>
      <w:r>
        <w:t xml:space="preserve">3.4.2 Aggregating and Re-ranking Deprivation Measures</w:t>
      </w:r>
    </w:p>
    <w:p>
      <w:pPr>
        <w:pStyle w:val="FirstParagraph"/>
      </w:pPr>
      <w:r>
        <w:t xml:space="preserve">Because the IMD is produced at LSOA scale, deprivation scores are aggregated to 2011 MSOA boundaries using population-weighted averaging with the year-matched weights described in Section 3.3.2. Only cardinal scores are aggregated; LSOA ranks and deciles are not carried upward, since averaging ordinal positions does not yield a valid ordinal measure. After aggregation, MSOAs are re-ranked on the aggregated score within each release to produce genuine London-relative ranks, percentiles and deciles.</w:t>
      </w:r>
    </w:p>
    <w:p>
      <w:pPr>
        <w:pStyle w:val="BodyText"/>
      </w:pPr>
      <w:r>
        <w:t xml:space="preserve">A series of robustness tests confirmed that the resulting hierarchy is insensitive to these preprocessing choices. MSOA-level aggregations are practically identical whether 2011 weights, mid-2015 weights, or unweighted means are used, reflecting the stability of LSOA population shares within MSOAs, and wealth deciles derived from the 2010 and 2019 releases are very highly correlated. The deprivation hierarchy underpinning the flow classification is therefore not an artefact of arbitrary weighting or baseline decisions.</w:t>
      </w:r>
    </w:p>
    <w:bookmarkEnd w:id="27"/>
    <w:bookmarkEnd w:id="28"/>
    <w:bookmarkStart w:id="29" w:name="Xa74e9dcaa21c5c9a9ce3fba6357eb433c0ba071"/>
    <w:p>
      <w:pPr>
        <w:pStyle w:val="Heading2"/>
      </w:pPr>
      <w:r>
        <w:t xml:space="preserve">3.5 Neighbourhood Classification: The Deprivation Hierarchy</w:t>
      </w:r>
    </w:p>
    <w:p>
      <w:pPr>
        <w:pStyle w:val="FirstParagraph"/>
      </w:pPr>
      <w:r>
        <w:t xml:space="preserve">To analyse longitudinal changes in migration structures, a temporally consistent neighbourhood classification framework is required. Research in population geography and longitudinal spatial analysis has long demonstrated that changes in zonal boundaries, classification systems, or socio-economic indices across time can compromise the comparability of migration datasets and obscure genuine spatial dynamics (Blake et al., 2000; Rowe and Bell, 2017). Achieving consistency in neighbourhood classification is therefore methodologically necessary to distinguish substantive urban restructuring processes from artefacts of statistical reclassification (Norman et al., 2003).</w:t>
      </w:r>
    </w:p>
    <w:p>
      <w:pPr>
        <w:pStyle w:val="BodyText"/>
      </w:pPr>
      <w:r>
        <w:t xml:space="preserve">Following the approach adopted by Patias et al. (2022) in the analysis of neighbourhood socio-economic trajectories, this study employs a fixed deprivation hierarchy based on the 2010 Index of Multiple Deprivation. Each of London’s 982 MSOA-level zones is assigned to a deprivation decile according to its 2010 IMD score, where Decile 1 represents the most deprived 10% of neighbourhoods and Decile 10 the least deprived 10%. These classifications are retained throughout the analysis of both 2011 and 2021 migration flows.</w:t>
      </w:r>
    </w:p>
    <w:p>
      <w:pPr>
        <w:pStyle w:val="BodyText"/>
      </w:pPr>
      <w:r>
        <w:t xml:space="preserve">The fixed-baseline approach is analytically important for two reasons. First, the study seeks to identify changes in migration structures rather than changes in neighbourhood classification itself: holding the ladder still means that any difference between the 2011 and 2021 flow patterns is attributable to how people moved, not to neighbourhoods being re-ranked beneath them (Barr et al., 2012). Second, fixing the baseline at 2010 keeps the 2019 IMD entirely on the outcome side of the analysis, so that when flow structures are later evaluated against 2010–2019 deprivation change, the classification is not being assessed against information it already used. The validation design is thereby non-circular by construction. The cost of this choice, an increasingly stale baseline by 2021, is acknowledged as a limitation in Section 3.11.</w:t>
      </w:r>
    </w:p>
    <w:p>
      <w:pPr>
        <w:pStyle w:val="BodyText"/>
      </w:pPr>
      <w:r>
        <w:t xml:space="preserve">Two versions of the hierarchy are constructed. The London-relative ladder ranks the 982 London zones against each other and serves as the primary classification. The national ladder ranks all English MSOAs (approximately 6,800) on the same population-weighted 2010 IMD scores and assigns national deciles, which are required for the reference-frame analysis in Section 3.9. The two ladders are almost perfectly rank-concordant for London MSOAs (Spearman’s ρ ≈ 0.99), but their levels differ substantially: because London is relatively deprived on the IMD, roughly 69% of London MSOAs fall below national Decile 6, so the national ladder compresses much of London’s internal variation into a narrower band of deciles. This compression is precisely the reclassification effect the frame design isolates.</w:t>
      </w:r>
    </w:p>
    <w:p>
      <w:pPr>
        <w:pStyle w:val="BodyText"/>
      </w:pPr>
      <w:r>
        <w:t xml:space="preserve">Within this framework, deprivation deciles are interpreted as positions within a broader urban hierarchy rather than merely descriptive neighbourhood categories. Drawing on Marcuse’s (1985) conceptualisation of spatial restructuring, in which neighbourhood decline and gentrification are understood as interconnected components of a single urban process, migration flows between deciles are interpreted as movement across London’s socio-economic structure rather than purely geographic relocation. To evaluate sensitivity to the baseline choice, robustness checks re-derive the deciles from the 2019 IMD; the 2010 baseline is retained for the main analysis because it provides a temporally prior and fixed socio-economic reference structure.</w:t>
      </w:r>
    </w:p>
    <w:bookmarkEnd w:id="29"/>
    <w:bookmarkStart w:id="30" w:name="Xc4e0bbe40437d50dcb3cba8ae69d9cc512acedf"/>
    <w:p>
      <w:pPr>
        <w:pStyle w:val="Heading2"/>
      </w:pPr>
      <w:r>
        <w:t xml:space="preserve">3.6 Flow Classification: Four Elementary Flows</w:t>
      </w:r>
    </w:p>
    <w:p>
      <w:pPr>
        <w:pStyle w:val="FirstParagraph"/>
      </w:pPr>
      <w:r>
        <w:t xml:space="preserve">For each MSOA, all origin–destination migration flows are classified according to movement across the deprivation hierarchy. This study defines a hierarchy-crossing move as any flow between neighbourhoods positioned in different deprivation deciles of the fixed 2010 classification. From the perspective of a focal MSOA, every hierarchy-crossing move belongs to exactly one of four elementary flows:</w:t>
      </w:r>
    </w:p>
    <w:p>
      <w:pPr>
        <w:numPr>
          <w:ilvl w:val="0"/>
          <w:numId w:val="1001"/>
        </w:numPr>
      </w:pPr>
      <w:r>
        <w:t xml:space="preserve">Inflow from less deprived areas (Inflow_Wealthier): migrants arriving from neighbourhoods positioned in less deprived deciles than the focal MSOA.</w:t>
      </w:r>
    </w:p>
    <w:p>
      <w:pPr>
        <w:numPr>
          <w:ilvl w:val="0"/>
          <w:numId w:val="1001"/>
        </w:numPr>
      </w:pPr>
      <w:r>
        <w:t xml:space="preserve">Outflow to more deprived areas (Outflow_Poorer): migrants leaving the focal MSOA for destinations in more deprived deciles.</w:t>
      </w:r>
    </w:p>
    <w:p>
      <w:pPr>
        <w:numPr>
          <w:ilvl w:val="0"/>
          <w:numId w:val="1001"/>
        </w:numPr>
      </w:pPr>
      <w:r>
        <w:t xml:space="preserve">Outflow to less deprived areas (Outflow_Wealthier): migrants leaving for destinations in less deprived deciles.</w:t>
      </w:r>
    </w:p>
    <w:p>
      <w:pPr>
        <w:numPr>
          <w:ilvl w:val="0"/>
          <w:numId w:val="1001"/>
        </w:numPr>
      </w:pPr>
      <w:r>
        <w:t xml:space="preserve">Inflow from more deprived areas (Inflow_Poorer): migrants arriving from more deprived deciles.</w:t>
      </w:r>
    </w:p>
    <w:p>
      <w:pPr>
        <w:pStyle w:val="FirstParagraph"/>
      </w:pPr>
      <w:r>
        <w:t xml:space="preserve">The first pair constitutes the</w:t>
      </w:r>
      <w:r>
        <w:t xml:space="preserve"> </w:t>
      </w:r>
      <w:r>
        <w:rPr>
          <w:bCs/>
          <w:b/>
        </w:rPr>
        <w:t xml:space="preserve">cascade direction</w:t>
      </w:r>
      <w:r>
        <w:t xml:space="preserve">: the joint signature of wealthier in-migration and poorer-directed out-migration that classic accounts of gentrification-induced displacement predict. The second pair constitutes the</w:t>
      </w:r>
      <w:r>
        <w:t xml:space="preserve"> </w:t>
      </w:r>
      <w:r>
        <w:rPr>
          <w:bCs/>
          <w:b/>
        </w:rPr>
        <w:t xml:space="preserve">counter-cascade direction</w:t>
      </w:r>
      <w:r>
        <w:t xml:space="preserve">: upward-directed out-migration combined with inflows from more deprived areas. Treating the two directions symmetrically is a deliberate design choice. If only the cascade direction were measured, every neighbourhood would appear on a single gentrification-pressure scale; measuring both directions allows the framework to establish which direction actually dominates a neighbourhood’s deprivation-crossing migration, and thereby to test rather than presume the cascade reading.</w:t>
      </w:r>
    </w:p>
    <w:p>
      <w:pPr>
        <w:pStyle w:val="BodyText"/>
      </w:pPr>
      <w:r>
        <w:t xml:space="preserve">Lateral flows, moves between neighbourhoods occupying the same deprivation decile, do not cross the socio-economic hierarchy and are excluded from the directional metrics, although they remain part of total migration volumes used for normalisation. Throughout, directional labels such as</w:t>
      </w:r>
      <w:r>
        <w:t xml:space="preserve"> </w:t>
      </w:r>
      <w:r>
        <w:t xml:space="preserve">“</w:t>
      </w:r>
      <w:r>
        <w:t xml:space="preserve">from a less deprived area</w:t>
      </w:r>
      <w:r>
        <w:t xml:space="preserve">”</w:t>
      </w:r>
      <w:r>
        <w:t xml:space="preserve"> </w:t>
      </w:r>
      <w:r>
        <w:t xml:space="preserve">describe positions of</w:t>
      </w:r>
      <w:r>
        <w:t xml:space="preserve"> </w:t>
      </w:r>
      <w:r>
        <w:rPr>
          <w:iCs/>
          <w:i/>
        </w:rPr>
        <w:t xml:space="preserve">areas</w:t>
      </w:r>
      <w:r>
        <w:t xml:space="preserve"> </w:t>
      </w:r>
      <w:r>
        <w:t xml:space="preserve">within the deprivation hierarchy, not attributes of individual movers.</w:t>
      </w:r>
    </w:p>
    <w:p>
      <w:pPr>
        <w:pStyle w:val="BodyText"/>
      </w:pPr>
      <w:r>
        <w:t xml:space="preserve">The exclusion of same-decile moves from the cascade definition is itself defended by a dedicated sensitivity analysis rather than asserted. A plausible broadening, prompted in supervision, would count outflows to</w:t>
      </w:r>
      <w:r>
        <w:t xml:space="preserve"> </w:t>
      </w:r>
      <w:r>
        <w:rPr>
          <w:iCs/>
          <w:i/>
        </w:rPr>
        <w:t xml:space="preserve">same-decile</w:t>
      </w:r>
      <w:r>
        <w:t xml:space="preserve"> </w:t>
      </w:r>
      <w:r>
        <w:t xml:space="preserve">destinations alongside poorer-directed outflows on the grounds that displaced households may relocate sideways rather than downward. Same-decile out-moves are indeed substantial, approximately 0.4 times the volume of the to-poorer arm and around 17% of all out-migration, so the question is one of volume as well as principle. Three specifications are therefore compared: the strict design (cascade churn = wealthier inflow + poorer outflow), an asymmetric broadening that adds same-decile outflow to the cascade arm only, and a symmetric broadening that adds same-decile flows to both arms. The asymmetric reading approximately triples the Cascade-led count, but as a pure scale artefact: because Cascade Dominance is a ratio, padding only the cascade arm lifts every neighbourhood’s dominance mechanically, which is not evidence that sideways movers are part of a cascade. The symmetric reading leaves roughly 80% of the strict cascade-led set intact but collapses Cross-Decile Share towards 1.0 for every London MSOA, since within the London-only frame cross-decile and same-decile moves jointly exhaust internal migration, thereby erasing the Lateral class on which the typology’s second axis depends. The strict cross-decile definition, which reproduces the published typology exactly, is retained on conceptual grounds: a cascade is defined as movement down the hierarchy, and same-decile moves are lateral by construction, so folding them into the cascade is a category change rather than a parameter tweak. Sideways displacement can be reported, where relevant, as a separately named broad-displacement robustness variant.</w:t>
      </w:r>
    </w:p>
    <w:p>
      <w:pPr>
        <w:pStyle w:val="BodyText"/>
      </w:pPr>
      <w:r>
        <w:t xml:space="preserve">Cross-hierarchy movement alone does not uniquely characterise neighbourhood restructuring. Two neighbourhoods may exhibit similar volumes of hierarchy-crossing mobility yet represent fundamentally different dynamics: one may be dominated by the cascade direction with little counter-flow, while another may experience large flows in both directions simultaneously. The metric suite developed below therefore captures directional balance, overall intensity, co-occurrence of opposing flows, and inflow composition, separately for each direction, so that distinct restructuring regimes are not collapsed into a single volume measure.</w:t>
      </w:r>
    </w:p>
    <w:bookmarkEnd w:id="30"/>
    <w:bookmarkStart w:id="33" w:name="Xb39e78349afc05792c0a384830a5db073bf0b30"/>
    <w:p>
      <w:pPr>
        <w:pStyle w:val="Heading2"/>
      </w:pPr>
      <w:r>
        <w:t xml:space="preserve">3.7 Metric Construction: Cascade and Counter-Cascade Indicator Suites</w:t>
      </w:r>
    </w:p>
    <w:p>
      <w:pPr>
        <w:pStyle w:val="FirstParagraph"/>
      </w:pPr>
      <w:r>
        <w:t xml:space="preserve">Two parallel suites of four indicators are constructed from the elementary flows, one for each direction, together with a small set of derived metrics that summarise their balance. All metrics are computed separately for each census period using flows observed within that period only, while retaining the fixed deprivation hierarchy defined in Section 3.5. Metric values for 2011 and 2021 therefore represent independent cross-sectional measurements under a consistent classification, and temporal change indicators (Δ metrics) are derived by differencing the period-specific values.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Metric</w:t>
            </w:r>
          </w:p>
        </w:tc>
        <w:tc>
          <w:tcPr/>
          <w:p>
            <w:pPr>
              <w:pStyle w:val="Compact"/>
              <w:jc w:val="left"/>
            </w:pPr>
            <w:r>
              <w:rPr>
                <w:bCs/>
                <w:b/>
              </w:rPr>
              <w:t xml:space="preserve">Formula</w:t>
            </w:r>
          </w:p>
        </w:tc>
        <w:tc>
          <w:tcPr/>
          <w:p>
            <w:pPr>
              <w:pStyle w:val="Compact"/>
              <w:jc w:val="left"/>
            </w:pPr>
            <w:r>
              <w:rPr>
                <w:bCs/>
                <w:b/>
              </w:rPr>
              <w:t xml:space="preserve">Dimension</w:t>
            </w:r>
          </w:p>
        </w:tc>
      </w:tr>
      <w:tr>
        <w:tc>
          <w:tcPr/>
          <w:p>
            <w:pPr>
              <w:pStyle w:val="Compact"/>
              <w:jc w:val="left"/>
            </w:pPr>
            <w:r>
              <w:t xml:space="preserve">Net_Cascade</w:t>
            </w:r>
          </w:p>
        </w:tc>
        <w:tc>
          <w:tcPr/>
          <w:p>
            <w:pPr>
              <w:pStyle w:val="Compact"/>
              <w:jc w:val="left"/>
            </w:pPr>
            <w:r>
              <w:t xml:space="preserve">Inflow_Wealthier − Outflow_Poorer</w:t>
            </w:r>
          </w:p>
        </w:tc>
        <w:tc>
          <w:tcPr/>
          <w:p>
            <w:pPr>
              <w:pStyle w:val="Compact"/>
              <w:jc w:val="left"/>
            </w:pPr>
            <w:r>
              <w:t xml:space="preserve">Directional balance (cascade)</w:t>
            </w:r>
          </w:p>
        </w:tc>
      </w:tr>
      <w:tr>
        <w:tc>
          <w:tcPr/>
          <w:p>
            <w:pPr>
              <w:pStyle w:val="Compact"/>
              <w:jc w:val="left"/>
            </w:pPr>
            <w:r>
              <w:t xml:space="preserve">CFI_Churn</w:t>
            </w:r>
          </w:p>
        </w:tc>
        <w:tc>
          <w:tcPr/>
          <w:p>
            <w:pPr>
              <w:pStyle w:val="Compact"/>
              <w:jc w:val="left"/>
            </w:pPr>
            <w:r>
              <w:t xml:space="preserve">Inflow_Wealthier + Outflow_Poorer</w:t>
            </w:r>
          </w:p>
        </w:tc>
        <w:tc>
          <w:tcPr/>
          <w:p>
            <w:pPr>
              <w:pStyle w:val="Compact"/>
              <w:jc w:val="left"/>
            </w:pPr>
            <w:r>
              <w:t xml:space="preserve">Cascade intensity</w:t>
            </w:r>
          </w:p>
        </w:tc>
      </w:tr>
      <w:tr>
        <w:tc>
          <w:tcPr/>
          <w:p>
            <w:pPr>
              <w:pStyle w:val="Compact"/>
              <w:jc w:val="left"/>
            </w:pPr>
            <w:r>
              <w:t xml:space="preserve">CFI_Rate</w:t>
            </w:r>
          </w:p>
        </w:tc>
        <w:tc>
          <w:tcPr/>
          <w:p>
            <w:pPr>
              <w:pStyle w:val="Compact"/>
              <w:jc w:val="left"/>
            </w:pPr>
            <w:r>
              <w:t xml:space="preserve">(Inflow_Wealthier × Outflow_Poorer) / Total_Migration</w:t>
            </w:r>
          </w:p>
        </w:tc>
        <w:tc>
          <w:tcPr/>
          <w:p>
            <w:pPr>
              <w:pStyle w:val="Compact"/>
              <w:jc w:val="left"/>
            </w:pPr>
            <w:r>
              <w:t xml:space="preserve">Cascade co-occurrence</w:t>
            </w:r>
          </w:p>
        </w:tc>
      </w:tr>
      <w:tr>
        <w:tc>
          <w:tcPr/>
          <w:p>
            <w:pPr>
              <w:pStyle w:val="Compact"/>
              <w:jc w:val="left"/>
            </w:pPr>
            <w:r>
              <w:t xml:space="preserve">Pct_Inflow_Wealthier</w:t>
            </w:r>
          </w:p>
        </w:tc>
        <w:tc>
          <w:tcPr/>
          <w:p>
            <w:pPr>
              <w:pStyle w:val="Compact"/>
              <w:jc w:val="left"/>
            </w:pPr>
            <w:r>
              <w:t xml:space="preserve">Inflow_Wealthier / Total_Inflow × 100</w:t>
            </w:r>
          </w:p>
        </w:tc>
        <w:tc>
          <w:tcPr/>
          <w:p>
            <w:pPr>
              <w:pStyle w:val="Compact"/>
              <w:jc w:val="left"/>
            </w:pPr>
            <w:r>
              <w:t xml:space="preserve">Inflow composition</w:t>
            </w:r>
          </w:p>
        </w:tc>
      </w:tr>
      <w:tr>
        <w:tc>
          <w:tcPr/>
          <w:p>
            <w:pPr>
              <w:pStyle w:val="Compact"/>
              <w:jc w:val="left"/>
            </w:pPr>
            <w:r>
              <w:t xml:space="preserve">Net_Counter</w:t>
            </w:r>
          </w:p>
        </w:tc>
        <w:tc>
          <w:tcPr/>
          <w:p>
            <w:pPr>
              <w:pStyle w:val="Compact"/>
              <w:jc w:val="left"/>
            </w:pPr>
            <w:r>
              <w:t xml:space="preserve">Outflow_Wealthier − Inflow_Poorer</w:t>
            </w:r>
          </w:p>
        </w:tc>
        <w:tc>
          <w:tcPr/>
          <w:p>
            <w:pPr>
              <w:pStyle w:val="Compact"/>
              <w:jc w:val="left"/>
            </w:pPr>
            <w:r>
              <w:t xml:space="preserve">Directional balance (counter)</w:t>
            </w:r>
          </w:p>
        </w:tc>
      </w:tr>
      <w:tr>
        <w:tc>
          <w:tcPr/>
          <w:p>
            <w:pPr>
              <w:pStyle w:val="Compact"/>
              <w:jc w:val="left"/>
            </w:pPr>
            <w:r>
              <w:t xml:space="preserve">Counter_Churn</w:t>
            </w:r>
          </w:p>
        </w:tc>
        <w:tc>
          <w:tcPr/>
          <w:p>
            <w:pPr>
              <w:pStyle w:val="Compact"/>
              <w:jc w:val="left"/>
            </w:pPr>
            <w:r>
              <w:t xml:space="preserve">Outflow_Wealthier + Inflow_Poorer</w:t>
            </w:r>
          </w:p>
        </w:tc>
        <w:tc>
          <w:tcPr/>
          <w:p>
            <w:pPr>
              <w:pStyle w:val="Compact"/>
              <w:jc w:val="left"/>
            </w:pPr>
            <w:r>
              <w:t xml:space="preserve">Counter-cascade intensity</w:t>
            </w:r>
          </w:p>
        </w:tc>
      </w:tr>
      <w:tr>
        <w:tc>
          <w:tcPr/>
          <w:p>
            <w:pPr>
              <w:pStyle w:val="Compact"/>
              <w:jc w:val="left"/>
            </w:pPr>
            <w:r>
              <w:t xml:space="preserve">Counter_Rate</w:t>
            </w:r>
          </w:p>
        </w:tc>
        <w:tc>
          <w:tcPr/>
          <w:p>
            <w:pPr>
              <w:pStyle w:val="Compact"/>
              <w:jc w:val="left"/>
            </w:pPr>
            <w:r>
              <w:t xml:space="preserve">(Outflow_Wealthier × Inflow_Poorer) / Total_Migration</w:t>
            </w:r>
          </w:p>
        </w:tc>
        <w:tc>
          <w:tcPr/>
          <w:p>
            <w:pPr>
              <w:pStyle w:val="Compact"/>
              <w:jc w:val="left"/>
            </w:pPr>
            <w:r>
              <w:t xml:space="preserve">Counter co-occurrence</w:t>
            </w:r>
          </w:p>
        </w:tc>
      </w:tr>
      <w:tr>
        <w:tc>
          <w:tcPr/>
          <w:p>
            <w:pPr>
              <w:pStyle w:val="Compact"/>
              <w:jc w:val="left"/>
            </w:pPr>
            <w:r>
              <w:t xml:space="preserve">Pct_Outflow_Wealthier</w:t>
            </w:r>
          </w:p>
        </w:tc>
        <w:tc>
          <w:tcPr/>
          <w:p>
            <w:pPr>
              <w:pStyle w:val="Compact"/>
              <w:jc w:val="left"/>
            </w:pPr>
            <w:r>
              <w:t xml:space="preserve">Outflow_Wealthier / Total_Outflow × 100</w:t>
            </w:r>
          </w:p>
        </w:tc>
        <w:tc>
          <w:tcPr/>
          <w:p>
            <w:pPr>
              <w:pStyle w:val="Compact"/>
              <w:jc w:val="left"/>
            </w:pPr>
            <w:r>
              <w:t xml:space="preserve">Outflow composition</w:t>
            </w:r>
          </w:p>
        </w:tc>
      </w:tr>
    </w:tbl>
    <w:p>
      <w:pPr>
        <w:pStyle w:val="BodyText"/>
      </w:pPr>
      <w:r>
        <w:rPr>
          <w:iCs/>
          <w:i/>
        </w:rPr>
        <w:t xml:space="preserve">Table 3.1. The cascade and counter-cascade indicator suites, computed per MSOA and census period.</w:t>
      </w:r>
    </w:p>
    <w:bookmarkStart w:id="31" w:name="directional-balance-and-intensity"/>
    <w:p>
      <w:pPr>
        <w:pStyle w:val="Heading3"/>
      </w:pPr>
      <w:r>
        <w:t xml:space="preserve">Directional balance and intensity</w:t>
      </w:r>
    </w:p>
    <w:p>
      <w:pPr>
        <w:pStyle w:val="FirstParagraph"/>
      </w:pPr>
      <w:r>
        <w:rPr>
          <w:bCs/>
          <w:b/>
        </w:rPr>
        <w:t xml:space="preserve">Net Cascade</w:t>
      </w:r>
      <w:r>
        <w:t xml:space="preserve"> </w:t>
      </w:r>
      <w:r>
        <w:t xml:space="preserve">measures the balance between upward-directed inflows and downward-directed outflows; positive values indicate stronger wealthier in-migration relative to poorer-directed out-migration. The metric is partially constrained by hierarchy position: MSOAs in the most deprived decile cannot export flows to lower-ranked neighbourhoods, mechanically biasing values positive, while the inverse constraint applies at the top of the hierarchy.</w:t>
      </w:r>
      <w:r>
        <w:t xml:space="preserve"> </w:t>
      </w:r>
      <w:r>
        <w:rPr>
          <w:bCs/>
          <w:b/>
        </w:rPr>
        <w:t xml:space="preserve">Net Counter</w:t>
      </w:r>
      <w:r>
        <w:t xml:space="preserve"> </w:t>
      </w:r>
      <w:r>
        <w:t xml:space="preserve">is subject to the mirror-image constraints. Both balance metrics are therefore interpreted comparatively rather than as direct intensity measures, and the frame analysis in Section 3.9 provides an additional check on these boundary artefacts.</w:t>
      </w:r>
    </w:p>
    <w:p>
      <w:pPr>
        <w:pStyle w:val="BodyText"/>
      </w:pPr>
      <w:r>
        <w:rPr>
          <w:bCs/>
          <w:b/>
        </w:rPr>
        <w:t xml:space="preserve">CFI Churn</w:t>
      </w:r>
      <w:r>
        <w:t xml:space="preserve"> </w:t>
      </w:r>
      <w:r>
        <w:t xml:space="preserve">and</w:t>
      </w:r>
      <w:r>
        <w:t xml:space="preserve"> </w:t>
      </w:r>
      <w:r>
        <w:rPr>
          <w:bCs/>
          <w:b/>
        </w:rPr>
        <w:t xml:space="preserve">Counter Churn</w:t>
      </w:r>
      <w:r>
        <w:t xml:space="preserve"> </w:t>
      </w:r>
      <w:r>
        <w:t xml:space="preserve">measure the overall intensity of hierarchy-crossing flows in each direction by summing the relevant flow components. The additive formulation draws conceptually on the population churn measure of Dennett and Stillwell (2008), adapted here to flows crossing the deprivation hierarchy; churn-type turnover measures are known to track deprivation at small area scales, which motivates their inclusion as intensity dimensions.</w:t>
      </w:r>
    </w:p>
    <w:p>
      <w:pPr>
        <w:pStyle w:val="BodyText"/>
      </w:pPr>
      <w:r>
        <w:rPr>
          <w:bCs/>
          <w:b/>
        </w:rPr>
        <w:t xml:space="preserve">CFI Rate</w:t>
      </w:r>
      <w:r>
        <w:t xml:space="preserve"> </w:t>
      </w:r>
      <w:r>
        <w:t xml:space="preserve">and</w:t>
      </w:r>
      <w:r>
        <w:t xml:space="preserve"> </w:t>
      </w:r>
      <w:r>
        <w:rPr>
          <w:bCs/>
          <w:b/>
        </w:rPr>
        <w:t xml:space="preserve">Counter Rate</w:t>
      </w:r>
      <w:r>
        <w:t xml:space="preserve"> </w:t>
      </w:r>
      <w:r>
        <w:t xml:space="preserve">use a multiplicative interaction term normalised by total migration to capture the simultaneous co-occurrence of both flows within a direction; the interaction collapses if either component approaches zero. This formulation is conceptually analogous to spatial interaction models in which the product of origin and destination masses represents the intensity of bilateral interaction (Wilson, 1971). The compositional percentages capture the socio-economic profile of a neighbourhood’s inflows and outflows respectively.</w:t>
      </w:r>
    </w:p>
    <w:bookmarkEnd w:id="31"/>
    <w:bookmarkStart w:id="32" w:name="derived-balance-metrics"/>
    <w:p>
      <w:pPr>
        <w:pStyle w:val="Heading3"/>
      </w:pPr>
      <w:r>
        <w:t xml:space="preserve">Derived balance metrics</w:t>
      </w:r>
    </w:p>
    <w:p>
      <w:pPr>
        <w:pStyle w:val="FirstParagraph"/>
      </w:pPr>
      <w:r>
        <w:t xml:space="preserve">Because the four base flows form two strongly correlated pairs (wealthier-connected and poorer-connected flows), several candidate summary metrics are redundant with the base suites. A systematic redundancy assessment tested five candidates and retained the two that carry information not already expressed elsewhere:</w:t>
      </w:r>
    </w:p>
    <w:p>
      <w:pPr>
        <w:numPr>
          <w:ilvl w:val="0"/>
          <w:numId w:val="1002"/>
        </w:numPr>
      </w:pPr>
      <w:r>
        <w:rPr>
          <w:bCs/>
          <w:b/>
        </w:rPr>
        <w:t xml:space="preserve">Cascade Dominance</w:t>
      </w:r>
      <w:r>
        <w:t xml:space="preserve"> </w:t>
      </w:r>
      <w:r>
        <w:t xml:space="preserve">= CFI_Churn / (CFI_Churn + Counter_Churn). Values above 0.5 indicate that the cascade direction dominates a neighbourhood’s deprivation-crossing migration; values below 0.5 indicate counter-cascade dominance. A ratio specification is used rather than a raw churn difference, which duplicates the ratio while remaining scale-dependent; this choice is verified in a dedicated sensitivity test.</w:t>
      </w:r>
    </w:p>
    <w:p>
      <w:pPr>
        <w:numPr>
          <w:ilvl w:val="0"/>
          <w:numId w:val="1002"/>
        </w:numPr>
      </w:pPr>
      <w:r>
        <w:rPr>
          <w:bCs/>
          <w:b/>
        </w:rPr>
        <w:t xml:space="preserve">Cross-Decile Share</w:t>
      </w:r>
      <w:r>
        <w:t xml:space="preserve"> </w:t>
      </w:r>
      <w:r>
        <w:t xml:space="preserve">= (CFI_Churn + Counter_Churn) / Total_Migration. The share of all migration through a neighbourhood that crosses decile boundaries at all, distinguishing neighbourhoods whose migration engages the hierarchy from those whose migration is predominantly lateral.</w:t>
      </w:r>
    </w:p>
    <w:p>
      <w:pPr>
        <w:pStyle w:val="FirstParagraph"/>
      </w:pPr>
      <w:r>
        <w:t xml:space="preserve">In addition, a sign-concordance flag classifies each MSOA by whether Net_Cascade and Net_Counter agree in sign. Around 90% of MSOAs are concordant, reflecting the strong influence of hierarchy position on both balances; the divergent minority, in particular neighbourhoods losing population in both directions of the hierarchy simultaneously, are flagged as analytically distinctive cases and examined separately.</w:t>
      </w:r>
    </w:p>
    <w:bookmarkEnd w:id="32"/>
    <w:bookmarkEnd w:id="33"/>
    <w:bookmarkStart w:id="34" w:name="flow-regime-typology"/>
    <w:p>
      <w:pPr>
        <w:pStyle w:val="Heading2"/>
      </w:pPr>
      <w:r>
        <w:t xml:space="preserve">3.8 Flow-Regime Typology</w:t>
      </w:r>
    </w:p>
    <w:p>
      <w:pPr>
        <w:pStyle w:val="FirstParagraph"/>
      </w:pPr>
      <w:r>
        <w:t xml:space="preserve">While the metric suites quantify continuous variation, a typological framework translates these flow structures into interpretable neighbourhood flow regimes. The typology is defined on the two derived axes: Cascade Dominance, which identifies which direction of deprivation-crossing flow dominates, and Cross-Decile Share, which identifies how much of a neighbourhood’s migration engages the hierarchy at all.</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Type</w:t>
            </w:r>
          </w:p>
        </w:tc>
        <w:tc>
          <w:tcPr/>
          <w:p>
            <w:pPr>
              <w:pStyle w:val="Compact"/>
              <w:jc w:val="left"/>
            </w:pPr>
            <w:r>
              <w:rPr>
                <w:bCs/>
                <w:b/>
              </w:rPr>
              <w:t xml:space="preserve">Rule</w:t>
            </w:r>
          </w:p>
        </w:tc>
        <w:tc>
          <w:tcPr/>
          <w:p>
            <w:pPr>
              <w:pStyle w:val="Compact"/>
              <w:jc w:val="left"/>
            </w:pPr>
            <w:r>
              <w:rPr>
                <w:bCs/>
                <w:b/>
              </w:rPr>
              <w:t xml:space="preserve">Interpretation</w:t>
            </w:r>
          </w:p>
        </w:tc>
      </w:tr>
      <w:tr>
        <w:tc>
          <w:tcPr/>
          <w:p>
            <w:pPr>
              <w:pStyle w:val="Compact"/>
              <w:jc w:val="left"/>
            </w:pPr>
            <w:r>
              <w:t xml:space="preserve">Lateral</w:t>
            </w:r>
          </w:p>
        </w:tc>
        <w:tc>
          <w:tcPr/>
          <w:p>
            <w:pPr>
              <w:pStyle w:val="Compact"/>
              <w:jc w:val="left"/>
            </w:pPr>
            <w:r>
              <w:t xml:space="preserve">Cross-Decile Share below the 25th percentile</w:t>
            </w:r>
          </w:p>
        </w:tc>
        <w:tc>
          <w:tcPr/>
          <w:p>
            <w:pPr>
              <w:pStyle w:val="Compact"/>
              <w:jc w:val="left"/>
            </w:pPr>
            <w:r>
              <w:t xml:space="preserve">Migration rarely crosses decile boundaries; the neighbourhood barely engages the hierarchy</w:t>
            </w:r>
          </w:p>
        </w:tc>
      </w:tr>
      <w:tr>
        <w:tc>
          <w:tcPr/>
          <w:p>
            <w:pPr>
              <w:pStyle w:val="Compact"/>
              <w:jc w:val="left"/>
            </w:pPr>
            <w:r>
              <w:t xml:space="preserve">Cascade-led</w:t>
            </w:r>
          </w:p>
        </w:tc>
        <w:tc>
          <w:tcPr/>
          <w:p>
            <w:pPr>
              <w:pStyle w:val="Compact"/>
              <w:jc w:val="left"/>
            </w:pPr>
            <w:r>
              <w:t xml:space="preserve">Cascade Dominance &gt; 0.52</w:t>
            </w:r>
          </w:p>
        </w:tc>
        <w:tc>
          <w:tcPr/>
          <w:p>
            <w:pPr>
              <w:pStyle w:val="Compact"/>
              <w:jc w:val="left"/>
            </w:pPr>
            <w:r>
              <w:t xml:space="preserve">The cascade direction dominates: the flow signature classically equated with gentrification pressure</w:t>
            </w:r>
          </w:p>
        </w:tc>
      </w:tr>
      <w:tr>
        <w:tc>
          <w:tcPr/>
          <w:p>
            <w:pPr>
              <w:pStyle w:val="Compact"/>
              <w:jc w:val="left"/>
            </w:pPr>
            <w:r>
              <w:t xml:space="preserve">Counter-led</w:t>
            </w:r>
          </w:p>
        </w:tc>
        <w:tc>
          <w:tcPr/>
          <w:p>
            <w:pPr>
              <w:pStyle w:val="Compact"/>
              <w:jc w:val="left"/>
            </w:pPr>
            <w:r>
              <w:t xml:space="preserve">Cascade Dominance &lt; 0.48</w:t>
            </w:r>
          </w:p>
        </w:tc>
        <w:tc>
          <w:tcPr/>
          <w:p>
            <w:pPr>
              <w:pStyle w:val="Compact"/>
              <w:jc w:val="left"/>
            </w:pPr>
            <w:r>
              <w:t xml:space="preserve">The counter direction dominates: upward-directed departures and/or inflows from more deprived areas prevail</w:t>
            </w:r>
          </w:p>
        </w:tc>
      </w:tr>
      <w:tr>
        <w:tc>
          <w:tcPr/>
          <w:p>
            <w:pPr>
              <w:pStyle w:val="Compact"/>
              <w:jc w:val="left"/>
            </w:pPr>
            <w:r>
              <w:t xml:space="preserve">Symmetric</w:t>
            </w:r>
          </w:p>
        </w:tc>
        <w:tc>
          <w:tcPr/>
          <w:p>
            <w:pPr>
              <w:pStyle w:val="Compact"/>
              <w:jc w:val="left"/>
            </w:pPr>
            <w:r>
              <w:t xml:space="preserve">0.48 ≤ Cascade Dominance ≤ 0.52</w:t>
            </w:r>
          </w:p>
        </w:tc>
        <w:tc>
          <w:tcPr/>
          <w:p>
            <w:pPr>
              <w:pStyle w:val="Compact"/>
              <w:jc w:val="left"/>
            </w:pPr>
            <w:r>
              <w:t xml:space="preserve">Deprivation-crossing flows are roughly balanced between the two directions</w:t>
            </w:r>
          </w:p>
        </w:tc>
      </w:tr>
    </w:tbl>
    <w:p>
      <w:pPr>
        <w:pStyle w:val="BodyText"/>
      </w:pPr>
      <w:r>
        <w:rPr>
          <w:iCs/>
          <w:i/>
        </w:rPr>
        <w:t xml:space="preserve">Table 3.2. Flow-regime typology defined on Cascade Dominance × Cross-Decile Share. The Lateral rule is applied first; the dominance rules classify the remaining MSOAs.</w:t>
      </w:r>
    </w:p>
    <w:p>
      <w:pPr>
        <w:pStyle w:val="BodyText"/>
      </w:pPr>
      <w:r>
        <w:t xml:space="preserve">Threshold choices are handled transparently. The symmetric band (±0.02 around the 0.50 midline) and the 25th-percentile Cross-Decile Share cutoff are the baseline specification; sensitivity analyses vary the dominance bandwidth and compare ratio- and difference-based dominance definitions to confirm that the qualitative typology structure is not threshold-dependent. When the typology is assigned under different reference frames (Section 3.9), the Cross-Decile Share percentile is computed within each frame over valid MSOAs only. A small number of MSOAs (20 in 2021) with no recorded hierarchy-crossing flows, reflecting statistical disclosure control and pandemic-period data collection in the 2021 Census, are assigned a distinct suppressed label rather than being conflated with Lateral, and are excluded from the percentile computation so they cannot distort the classification threshold.</w:t>
      </w:r>
    </w:p>
    <w:p>
      <w:pPr>
        <w:pStyle w:val="BodyText"/>
      </w:pPr>
      <w:r>
        <w:t xml:space="preserve">The typology remains fundamentally flow-centred: neighbourhoods are classified according to the direction and intensity of hierarchical migration structures, never according to deprivation outcomes. Cascade-led is the regime that the classic cascade-displacement account equates with gentrification; whether that equation holds is precisely what the validation stage examines.</w:t>
      </w:r>
    </w:p>
    <w:bookmarkEnd w:id="34"/>
    <w:bookmarkStart w:id="36" w:name="Xd025d33fc56da014a208bb620211ea554ac4134"/>
    <w:p>
      <w:pPr>
        <w:pStyle w:val="Heading2"/>
      </w:pPr>
      <w:r>
        <w:t xml:space="preserve">3.9 Reference-Frame Design: Isolating Boundary Effects</w:t>
      </w:r>
    </w:p>
    <w:p>
      <w:pPr>
        <w:pStyle w:val="FirstParagraph"/>
      </w:pPr>
      <w:r>
        <w:t xml:space="preserve">London-internal analysis implicitly makes two decisions at once: it ranks neighbourhoods against other London neighbourhoods rather than against England as a whole, and it discards all flows that cross London’s boundary. A naïve comparison between a</w:t>
      </w:r>
      <w:r>
        <w:t xml:space="preserve"> </w:t>
      </w:r>
      <w:r>
        <w:t xml:space="preserve">“</w:t>
      </w:r>
      <w:r>
        <w:t xml:space="preserve">London-only</w:t>
      </w:r>
      <w:r>
        <w:t xml:space="preserve">”</w:t>
      </w:r>
      <w:r>
        <w:t xml:space="preserve"> </w:t>
      </w:r>
      <w:r>
        <w:t xml:space="preserve">and a</w:t>
      </w:r>
      <w:r>
        <w:t xml:space="preserve"> </w:t>
      </w:r>
      <w:r>
        <w:t xml:space="preserve">“</w:t>
      </w:r>
      <w:r>
        <w:t xml:space="preserve">national</w:t>
      </w:r>
      <w:r>
        <w:t xml:space="preserve">”</w:t>
      </w:r>
      <w:r>
        <w:t xml:space="preserve"> </w:t>
      </w:r>
      <w:r>
        <w:t xml:space="preserve">analysis therefore confounds two distinct mechanisms: changing the measurement ladder and adding external flows. To separate them, all flow metrics and the typology are computed under three reference frames: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Frame</w:t>
            </w:r>
          </w:p>
        </w:tc>
        <w:tc>
          <w:tcPr/>
          <w:p>
            <w:pPr>
              <w:pStyle w:val="Compact"/>
              <w:jc w:val="left"/>
            </w:pPr>
            <w:r>
              <w:rPr>
                <w:bCs/>
                <w:b/>
              </w:rPr>
              <w:t xml:space="preserve">Flows included</w:t>
            </w:r>
          </w:p>
        </w:tc>
        <w:tc>
          <w:tcPr/>
          <w:p>
            <w:pPr>
              <w:pStyle w:val="Compact"/>
              <w:jc w:val="left"/>
            </w:pPr>
            <w:r>
              <w:rPr>
                <w:bCs/>
                <w:b/>
              </w:rPr>
              <w:t xml:space="preserve">Decile ladder</w:t>
            </w:r>
          </w:p>
        </w:tc>
        <w:tc>
          <w:tcPr/>
          <w:p>
            <w:pPr>
              <w:pStyle w:val="Compact"/>
              <w:jc w:val="left"/>
            </w:pPr>
            <w:r>
              <w:rPr>
                <w:bCs/>
                <w:b/>
              </w:rPr>
              <w:t xml:space="preserve">Role</w:t>
            </w:r>
          </w:p>
        </w:tc>
      </w:tr>
      <w:tr>
        <w:tc>
          <w:tcPr/>
          <w:p>
            <w:pPr>
              <w:pStyle w:val="Compact"/>
              <w:jc w:val="left"/>
            </w:pPr>
            <w:r>
              <w:t xml:space="preserve">A</w:t>
            </w:r>
          </w:p>
        </w:tc>
        <w:tc>
          <w:tcPr/>
          <w:p>
            <w:pPr>
              <w:pStyle w:val="Compact"/>
              <w:jc w:val="left"/>
            </w:pPr>
            <w:r>
              <w:t xml:space="preserve">London-internal only</w:t>
            </w:r>
          </w:p>
        </w:tc>
        <w:tc>
          <w:tcPr/>
          <w:p>
            <w:pPr>
              <w:pStyle w:val="Compact"/>
              <w:jc w:val="left"/>
            </w:pPr>
            <w:r>
              <w:t xml:space="preserve">London-relative (982 zones)</w:t>
            </w:r>
          </w:p>
        </w:tc>
        <w:tc>
          <w:tcPr/>
          <w:p>
            <w:pPr>
              <w:pStyle w:val="Compact"/>
              <w:jc w:val="left"/>
            </w:pPr>
            <w:r>
              <w:t xml:space="preserve">Core analytical lens</w:t>
            </w:r>
          </w:p>
        </w:tc>
      </w:tr>
      <w:tr>
        <w:tc>
          <w:tcPr/>
          <w:p>
            <w:pPr>
              <w:pStyle w:val="Compact"/>
              <w:jc w:val="left"/>
            </w:pPr>
            <w:r>
              <w:t xml:space="preserve">B</w:t>
            </w:r>
          </w:p>
        </w:tc>
        <w:tc>
          <w:tcPr/>
          <w:p>
            <w:pPr>
              <w:pStyle w:val="Compact"/>
              <w:jc w:val="left"/>
            </w:pPr>
            <w:r>
              <w:t xml:space="preserve">London-internal only</w:t>
            </w:r>
          </w:p>
        </w:tc>
        <w:tc>
          <w:tcPr/>
          <w:p>
            <w:pPr>
              <w:pStyle w:val="Compact"/>
              <w:jc w:val="left"/>
            </w:pPr>
            <w:r>
              <w:t xml:space="preserve">National (~6,800 MSOAs)</w:t>
            </w:r>
          </w:p>
        </w:tc>
        <w:tc>
          <w:tcPr/>
          <w:p>
            <w:pPr>
              <w:pStyle w:val="Compact"/>
              <w:jc w:val="left"/>
            </w:pPr>
            <w:r>
              <w:t xml:space="preserve">Isolates the reclassification effect</w:t>
            </w:r>
          </w:p>
        </w:tc>
      </w:tr>
      <w:tr>
        <w:tc>
          <w:tcPr/>
          <w:p>
            <w:pPr>
              <w:pStyle w:val="Compact"/>
              <w:jc w:val="left"/>
            </w:pPr>
            <w:r>
              <w:t xml:space="preserve">C</w:t>
            </w:r>
          </w:p>
        </w:tc>
        <w:tc>
          <w:tcPr/>
          <w:p>
            <w:pPr>
              <w:pStyle w:val="Compact"/>
              <w:jc w:val="left"/>
            </w:pPr>
            <w:r>
              <w:t xml:space="preserve">London-internal + London-touching external</w:t>
            </w:r>
          </w:p>
        </w:tc>
        <w:tc>
          <w:tcPr/>
          <w:p>
            <w:pPr>
              <w:pStyle w:val="Compact"/>
              <w:jc w:val="left"/>
            </w:pPr>
            <w:r>
              <w:t xml:space="preserve">National</w:t>
            </w:r>
          </w:p>
        </w:tc>
        <w:tc>
          <w:tcPr/>
          <w:p>
            <w:pPr>
              <w:pStyle w:val="Compact"/>
              <w:jc w:val="left"/>
            </w:pPr>
            <w:r>
              <w:t xml:space="preserve">Adds the external-flow effect</w:t>
            </w:r>
          </w:p>
        </w:tc>
      </w:tr>
    </w:tbl>
    <w:p>
      <w:pPr>
        <w:pStyle w:val="BodyText"/>
      </w:pPr>
      <w:r>
        <w:rPr>
          <w:iCs/>
          <w:i/>
        </w:rPr>
        <w:t xml:space="preserve">Table 3.3. The three-frame design. Reclassification effect = B − A (same flows, different ladder); external-flow effect = C − B (same ladder, external flows added); total = C − A.</w:t>
      </w:r>
    </w:p>
    <w:p>
      <w:pPr>
        <w:pStyle w:val="BodyText"/>
      </w:pPr>
      <w:r>
        <w:t xml:space="preserve">Frame B holds the flow set fixed while switching the decile ladder, so any difference between Frames A and B is attributable purely to reclassification: a move between two London MSOAs may cross a London-relative decile boundary without crossing a national one, because the national ladder compresses London’s internal variation. Frame C then holds the national ladder fixed while adding flows with one endpoint outside London, so any difference between Frames B and C is attributable purely to external flows. Every typology switch between frames can thereby be attributed to one mechanism or the other, rather than to their confounded total. This decomposition replaces an earlier proxy approach based on focal-MSOA decile stability, which is invalid because a flow is reclassified whenever either endpoint changes decile, not only when the focal MSOA does.</w:t>
      </w:r>
    </w:p>
    <w:bookmarkStart w:id="35" w:name="constructing-the-external-node"/>
    <w:p>
      <w:pPr>
        <w:pStyle w:val="Heading3"/>
      </w:pPr>
      <w:r>
        <w:t xml:space="preserve">Constructing the external node</w:t>
      </w:r>
    </w:p>
    <w:p>
      <w:pPr>
        <w:pStyle w:val="FirstParagraph"/>
      </w:pPr>
      <w:r>
        <w:t xml:space="preserve">For Frame C, all non-London areas are collapsed into a single synthetic external node (EXT_OUTSIDE) that serves as origin or destination for London-touching flows. Every English MSOA carries a national 2010 decile (Section 3.5); the external node is assigned the population-weighted mean decile of all non-London MSOAs, which is Decile 6. A flow-weighted diagnostic validates this simplification: weighting instead by the actual origins of migrants into London and the actual destinations of migrants out of London yields mean deciles of approximately 6.4 and 6.5 respectively in both census years, confirming both that a single-decile representation is adequate and that the type of place London exchanges migrants with, slightly more affluent than the England average, is stable across the decade even though flow volumes change substantially. Because roughly 69% of London MSOAs sit below national Decile 6, most inflows from outside London register in the cascade direction for the receiving neighbourhood, and most outflows to the rest of England register in the counter direction, which is why the frame decomposition is essential for interpreting boundary-crossing flows.</w:t>
      </w:r>
    </w:p>
    <w:p>
      <w:pPr>
        <w:pStyle w:val="BodyText"/>
      </w:pPr>
      <w:r>
        <w:t xml:space="preserve">Frame A is retained as the core lens throughout, because the London-relative ladder is the frame in which moving up within London retains its substantive meaning for intra-urban gentrification analysis; Frames B and C provide complementary context that exposes, and attributes, the boundary effects a London-only analysis cannot see. The synthetic external node is a flow partner, not a unit of analysis: results are reported for the 982 London zones only.</w:t>
      </w:r>
    </w:p>
    <w:bookmarkEnd w:id="35"/>
    <w:bookmarkEnd w:id="36"/>
    <w:bookmarkStart w:id="43" w:name="validation-and-comparative-design"/>
    <w:p>
      <w:pPr>
        <w:pStyle w:val="Heading2"/>
      </w:pPr>
      <w:r>
        <w:t xml:space="preserve">3.10 Validation and Comparative Design</w:t>
      </w:r>
    </w:p>
    <w:p>
      <w:pPr>
        <w:pStyle w:val="FirstParagraph"/>
      </w:pPr>
      <w:r>
        <w:t xml:space="preserve">If the cascade signature genuinely captures gentrification, it should align with independent measures of neighbourhood ascent. The validation stage therefore confronts the flow typology with three independent benchmarks: deprivation change on the IMD, an attribute-based gentrification classification, and an occupational-ascent measure. Convergence would support reading cascade flows as a gentrification proxy; systematic divergence would indicate that the flow lens measures a distinct process. Both outcomes are informative under the study’s design.</w:t>
      </w:r>
    </w:p>
    <w:bookmarkStart w:id="37" w:name="imd-change-as-validation-outcome"/>
    <w:p>
      <w:pPr>
        <w:pStyle w:val="Heading3"/>
      </w:pPr>
      <w:r>
        <w:t xml:space="preserve">3.10.1 IMD Change as Validation Outcome</w:t>
      </w:r>
    </w:p>
    <w:p>
      <w:pPr>
        <w:pStyle w:val="FirstParagraph"/>
      </w:pPr>
      <w:r>
        <w:t xml:space="preserve">The principal outcome is IMD Percentile Change, calculated as the change in an MSOA’s national deprivation percentile position between IMD 2010 and IMD 2019. Ranks are converted into percentiles to ensure comparability across releases, as the total number of English LSOAs differs between datasets. Positive values indicate relative upward repositioning within the national deprivation hierarchy. A secondary comparison using raw IMD score differences is retained for robustness only, because scores are not strictly comparable across releases. Since the 2019 release is never used in metric construction, this validation is non-circular by design (Section 3.5).</w:t>
      </w:r>
    </w:p>
    <w:bookmarkEnd w:id="37"/>
    <w:bookmarkStart w:id="38" w:name="statistical-validation-strategy"/>
    <w:p>
      <w:pPr>
        <w:pStyle w:val="Heading3"/>
      </w:pPr>
      <w:r>
        <w:t xml:space="preserve">3.10.2 Statistical Validation Strategy</w:t>
      </w:r>
    </w:p>
    <w:p>
      <w:pPr>
        <w:pStyle w:val="FirstParagraph"/>
      </w:pPr>
      <w:r>
        <w:t xml:space="preserve">Association between flow structures and deprivation change is assessed through a series of complementary analyses. Given the skewed distributions of migration-derived metrics, rank-based methods are preferred throughout.</w:t>
      </w:r>
    </w:p>
    <w:p>
      <w:pPr>
        <w:numPr>
          <w:ilvl w:val="0"/>
          <w:numId w:val="1003"/>
        </w:numPr>
      </w:pPr>
      <w:r>
        <w:rPr>
          <w:bCs/>
          <w:b/>
        </w:rPr>
        <w:t xml:space="preserve">Bivariate association.</w:t>
      </w:r>
      <w:r>
        <w:t xml:space="preserve"> </w:t>
      </w:r>
      <w:r>
        <w:t xml:space="preserve">Spearman rank correlations between each flow metric and IMD Percentile Change.</w:t>
      </w:r>
    </w:p>
    <w:p>
      <w:pPr>
        <w:numPr>
          <w:ilvl w:val="0"/>
          <w:numId w:val="1003"/>
        </w:numPr>
      </w:pPr>
      <w:r>
        <w:rPr>
          <w:bCs/>
          <w:b/>
        </w:rPr>
        <w:t xml:space="preserve">Partial correlation.</w:t>
      </w:r>
      <w:r>
        <w:t xml:space="preserve"> </w:t>
      </w:r>
      <w:r>
        <w:t xml:space="preserve">Because both migration structure and deprivation change are associated with baseline hierarchy position, partial correlations controlling for the baseline deprivation decile assess which metrics carry information beyond position in the hierarchy.</w:t>
      </w:r>
    </w:p>
    <w:p>
      <w:pPr>
        <w:numPr>
          <w:ilvl w:val="0"/>
          <w:numId w:val="1003"/>
        </w:numPr>
      </w:pPr>
      <w:r>
        <w:rPr>
          <w:bCs/>
          <w:b/>
        </w:rPr>
        <w:t xml:space="preserve">Typological validation.</w:t>
      </w:r>
      <w:r>
        <w:t xml:space="preserve"> </w:t>
      </w:r>
      <w:r>
        <w:t xml:space="preserve">Kruskal–Wallis tests compare IMD Percentile Change distributions across the four flow-regime types, in each census period and under each frame.</w:t>
      </w:r>
    </w:p>
    <w:p>
      <w:pPr>
        <w:numPr>
          <w:ilvl w:val="0"/>
          <w:numId w:val="1003"/>
        </w:numPr>
      </w:pPr>
      <w:r>
        <w:rPr>
          <w:bCs/>
          <w:b/>
        </w:rPr>
        <w:t xml:space="preserve">Structural checks.</w:t>
      </w:r>
      <w:r>
        <w:t xml:space="preserve"> </w:t>
      </w:r>
      <w:r>
        <w:t xml:space="preserve">Before validation, metrics are aggregated by baseline decile to confirm expected hierarchical structure: churn metrics should exhibit an inverted-U profile across deciles, reflecting boundary constraints and mid-hierarchy restructuring pressure, while net balance metrics should vary monotonically with decile. Spearman correlations evaluate these orderings. Borough-level aggregation additionally checks that MSOA-scale patterns persist under coarser aggregation.</w:t>
      </w:r>
    </w:p>
    <w:bookmarkEnd w:id="38"/>
    <w:bookmarkStart w:id="39" w:name="X293db0e2f8c094646f913b2b09ba3b89a80b1e8"/>
    <w:p>
      <w:pPr>
        <w:pStyle w:val="Heading3"/>
      </w:pPr>
      <w:r>
        <w:t xml:space="preserve">3.10.3 Comparison with an Attribute-Based Gentrification Classification</w:t>
      </w:r>
    </w:p>
    <w:p>
      <w:pPr>
        <w:pStyle w:val="FirstParagraph"/>
      </w:pPr>
      <w:r>
        <w:t xml:space="preserve">The first external benchmark is the neighbourhood trajectory classification of Yee and Dennett (2022), which identifies gentrifying (GEN), declining and stable neighbourhoods in London from composite socio-economic attributes. Because their labels are published at LSOA scale, they are aggregated to MSOAs using a modal rule: an MSOA is labelled GEN only if GEN is the most common label among its constituent LSOAs. A looser any-GEN-LSOA aggregation is used as a sensitivity check; it weakens but does not reverse the observed associations.</w:t>
      </w:r>
    </w:p>
    <w:p>
      <w:pPr>
        <w:pStyle w:val="BodyText"/>
      </w:pPr>
      <w:r>
        <w:t xml:space="preserve">Correspondence between the attribute classification and the flow framework is quantified at two resolutions, and the temporal role of each census leg is fixed in advance. Because the benchmark labels are built from 2001–2011 attribute change, the 2011 flow leg constitutes a concurrent validation (flows measured within the window the labels describe), while the 2021 leg constitutes a decade-later persistence test of whether any label–flow alignment survives ten years on; the 2021 leg is never interpreted as validating 2021 flows against 2011-era labels.</w:t>
      </w:r>
    </w:p>
    <w:p>
      <w:pPr>
        <w:pStyle w:val="BodyText"/>
      </w:pPr>
      <w:r>
        <w:t xml:space="preserve">At the first, pooled resolution, the four-way flow typology is cross-tabulated against the attribute classes. Cramér’s V measures the overall strength of association between the two categorical schemes, the Adjusted Rand Index measures partition agreement beyond chance, and lift ratios measure whether attribute-defined gentrifying MSOAs are over- or under-represented within each flow regime. Two known properties of this pooled test motivate a second stage: whole-class statistics are dominated by the benchmark’s large Stable base (roughly 71% of MSOAs), and V and ARI are not meaningful at the small sample sizes of individual flow mechanisms. V and ARI are accordingly reported once, for the pooled comparison, and then retired in favour of enrichment statistics.</w:t>
      </w:r>
    </w:p>
    <w:p>
      <w:pPr>
        <w:pStyle w:val="BodyText"/>
      </w:pPr>
      <w:r>
        <w:t xml:space="preserve">At the second, mechanism resolution, the cascade-led class is decomposed by the mechanism tree defined in Section 3.10.5, and each leaf (together with the reference regimes and the genuine-persistent set) is tested for enrichment of attribute-defined gentrification: the lift ratio P(GEN | group) / P(GEN), where a value of 1.0 indicates independence, tested with Fisher’s exact test on the corresponding 2×2 table, which remains exact at any sample size, with Benjamini–Hochberg correction applied across the family of leaf tests within each aggregation. The tests are run under both the modal and the any-GEN aggregation and for both census legs. In addition, the benchmark’s Class-3 gentrification subtypes (super-gentrification, mainstream gentrification, and marginal gentrification) are carried to MSOA scale as any-LSOA flags, since Class-3 gentrification labels never win a plurality at MSOA scale, and each subtype is tested for enrichment against each mechanism leaf. This subtype decomposition asks a sharper question than the pooled comparison: not whether flows correlate with gentrification in general, but whether distinct flow mechanisms align with distinct, theoretically recognised variants of gentrification.</w:t>
      </w:r>
    </w:p>
    <w:p>
      <w:pPr>
        <w:pStyle w:val="BodyText"/>
      </w:pPr>
      <w:r>
        <w:t xml:space="preserve">Finally, a two-way convergence test examines whether the flow signal adds information on the outcome side: MSOAs are cross-classified by GEN status and cascade-led status, and mean IMD Percentile Change is compared across the four cells, testing directly whether a cascade signature reinforces, is orthogonal to, or attenuates the deprivation trajectory associated with attribute-defined gentrification.</w:t>
      </w:r>
    </w:p>
    <w:bookmarkEnd w:id="39"/>
    <w:bookmarkStart w:id="40" w:name="comparison-with-occupational-ascent"/>
    <w:p>
      <w:pPr>
        <w:pStyle w:val="Heading3"/>
      </w:pPr>
      <w:r>
        <w:t xml:space="preserve">3.10.4 Comparison with Occupational Ascent</w:t>
      </w:r>
    </w:p>
    <w:p>
      <w:pPr>
        <w:pStyle w:val="FirstParagraph"/>
      </w:pPr>
      <w:r>
        <w:t xml:space="preserve">The second external benchmark is an occupational-ascent measure in the tradition of professionalisation-based gentrification indicators (following the approach of D. Smith): the change between 2011 and 2021 in the share of employed residents in SOC major groups 1–3 (managers, professionals, and associate professionals). Occupation is used because the NS-SeC classifications published for the two censuses are not directly comparable, whereas SOC major groups can be consistently extracted from Tables KS608EW (2011) and TS063 (2021). The 2021 occupation counts are harmonised to 2011 MSOA geography with the same correspondence rules as the flow data, giving full coverage of the 982 analytical zones. Ascent is compared with the flow typology and Cascade Dominance via Spearman correlations and Kruskal–Wallis tests, under all three frames, so that any association (or its absence) can be checked for frame artefacts. Because occupational upgrading was near-universal across London over the decade, the measure has compressed variance, which is taken into account when interpreting effect sizes.</w:t>
      </w:r>
    </w:p>
    <w:bookmarkEnd w:id="40"/>
    <w:bookmarkStart w:id="41" w:name="case-study-diagnostics"/>
    <w:p>
      <w:pPr>
        <w:pStyle w:val="Heading3"/>
      </w:pPr>
      <w:r>
        <w:t xml:space="preserve">3.10.5 Case-Study Diagnostics</w:t>
      </w:r>
    </w:p>
    <w:p>
      <w:pPr>
        <w:pStyle w:val="FirstParagraph"/>
      </w:pPr>
      <w:r>
        <w:t xml:space="preserve">Finally, the cascade-led class is decomposed into flow mechanisms, and extreme MSOAs are examined through alluvial decompositions of their full flow profiles across frames and census years.</w:t>
      </w:r>
    </w:p>
    <w:p>
      <w:pPr>
        <w:pStyle w:val="BodyText"/>
      </w:pPr>
      <w:r>
        <w:t xml:space="preserve">The decomposition is performed by a time-symmetric mechanism tree: a per-year classification whose every leaf is a measurable flow property and which contains no reference to the census year it is applied in. This design responds to a definitional asymmetry in an earlier iteration of the diagnostics, in which a genuine-cascade profile was derived from the 2011 comparison and an exodus profile from the 2021 anomaly, so that the categories were not applied symmetrically across census years and the 2011 map could not legitimately carry an exodus class. Under the tree, each Frame C cascade-led MSOA is first split on its cascade inflow share (the proportion of its cascade churn contributed by wealthier arrivals): MSOAs at or above 0.25 are inflow-led, subdivided into inflow-driven (those that are also Cascade-led under Frame A, i.e. frame-robust) and a frame-sensitive residual; MSOAs below 0.25 are outflow-dominated, subdivided by the external arm share (the proportion of the Frame C poorer-directed outflow arm that goes to the synthetic external node) into external-majority (at or above 0.5) and internal-majority leaves. The external arm share is defined only for MSOAs above national Decile 6, since the external node, fixed at D6, only counts as poorer from above; MSOAs at or below D6 are assigned a share of zero, an exclusion verified to be immaterial in practice. Narrative labels are interpretations layered on top of the tree rather than categories within it: a genuine cascade is an MSOA occupying the inflow-driven leaf in both census years, and the exodus reading attaches to the 2021 external-majority class, licensed by the observed shift in London’s external migration exchange, with the 2011 members of that leaf serving as the pre-shift baseline.</w:t>
      </w:r>
    </w:p>
    <w:p>
      <w:pPr>
        <w:pStyle w:val="BodyText"/>
      </w:pPr>
      <w:r>
        <w:t xml:space="preserve">The two thresholds are justified in deliberately different ways, each labelled for what it is. The inflow-share threshold of 0.25 is located by the data: among frame-robust cascade-led MSOAs the distribution of inflow shares is bimodal, a cluster hugging zero and a continuum starting around 0.3, separated by an interval that is empty in both censuses independently, so any threshold inside the shared gap yields an identical classification and the exact value carries no analytical weight. A midline cut of 0.5 would be wrong in principle, because under the chain-displacement mechanism (Marcuse, 1985) the outflow arm is expected to be comparable to or larger than the inflow arm, one arrival potentially triggering several downward moves, so a 0.5 cut would misclassify archetypal cascade cases as outflow-driven. The caveat that gaps can arise by chance in modest samples is acknowledged; the defence is that the same interval is empty in two independent censuses, the classification is invariant across the whole interval, and the two groups it separates differ by roughly an order of magnitude in inflow share. The external-arm threshold of 0.5, by contrast, has no empirical gap, the distribution being dense through the 0.40–0.60 region in both years, and is therefore declared as a majority convention: 0.5 is the unique value at which the class label is literally true, that the majority of an area’s poorer-directed outflow leaves London. It is defended by a sensitivity band of ±0.05, reported alongside the main results, under which the qualitative finding the threshold feeds must survive every cut.</w:t>
      </w:r>
    </w:p>
    <w:p>
      <w:pPr>
        <w:pStyle w:val="BodyText"/>
      </w:pPr>
      <w:r>
        <w:t xml:space="preserve">Extreme and exemplar MSOAs from each leaf are then examined through alluvial decompositions of their full flow profiles across frames and census years, with each case annotated by the leaf-splitting statistics: national-frame dominance, cascade inflow share, external arm share, the external share of total cross-decile churn, and London-frame dominance. Jointly, the tree and the case decompositions separate a genuine gentrification-cascade profile (inflow-led, frame-robust, persistent) from two outflow-dominated profiles that a coarser analysis would conflate: a national-ladder artefact, in which a high-decile MSOA’s downward outflow remains predominantly within London and its cascade signal is manufactured by the compressed national ladder, and a literal exodus, in which the majority of the downward outflow crosses the London boundary. This provides the qualitative complement to the statistical validation, and the leaf structure feeds directly into the mechanism-resolved benchmark comparison of Section 3.10.3.</w:t>
      </w:r>
    </w:p>
    <w:bookmarkEnd w:id="41"/>
    <w:bookmarkStart w:id="42" w:name="interpretive-status-of-the-comparisons"/>
    <w:p>
      <w:pPr>
        <w:pStyle w:val="Heading3"/>
      </w:pPr>
      <w:r>
        <w:t xml:space="preserve">3.10.6 Interpretive Status of the Comparisons</w:t>
      </w:r>
    </w:p>
    <w:p>
      <w:pPr>
        <w:pStyle w:val="FirstParagraph"/>
      </w:pPr>
      <w:r>
        <w:t xml:space="preserve">The comparisons with existing classifications are interpretive as well as statistical. Areas of overlap identify where migration-based restructuring corresponds with attribute-measured neighbourhood change; divergences, where an attribute method flags an area that the flow typology reads as lateral or counter-led, or vice versa, are treated not as classification failure but as substantive findings about the difference between measuring who lives in a place and measuring how the hierarchy is being reshuffled through it. Accordingly, the comparisons contextualise the empirical meaning of the flow indicators rather than establishing equivalence between frameworks.</w:t>
      </w:r>
    </w:p>
    <w:bookmarkEnd w:id="42"/>
    <w:bookmarkEnd w:id="43"/>
    <w:bookmarkStart w:id="53" w:name="Xe868e990fb8e549312b402472969d0ba86ee898"/>
    <w:p>
      <w:pPr>
        <w:pStyle w:val="Heading2"/>
      </w:pPr>
      <w:r>
        <w:t xml:space="preserve">3.11 Methodological Considerations and Limitations</w:t>
      </w:r>
    </w:p>
    <w:bookmarkStart w:id="44" w:name="X705e5e337bf26b99263d470ebc52a9c16fc12b6"/>
    <w:p>
      <w:pPr>
        <w:pStyle w:val="Heading3"/>
      </w:pPr>
      <w:r>
        <w:t xml:space="preserve">Ecological Inference and the Area-Origin Proxy</w:t>
      </w:r>
    </w:p>
    <w:p>
      <w:pPr>
        <w:pStyle w:val="FirstParagraph"/>
      </w:pPr>
      <w:r>
        <w:t xml:space="preserve">The analysis operates at neighbourhood scale and cannot identify individual displacement experiences or motivations. More specifically, the deprivation position of an origin area is a noisy proxy for the socio-economic position of the mover: a person arriving from a less deprived area is not necessarily affluent (Easton et al., 2020). This is not only a caveat but a candidate explanation for divergence between flow-based and attribute-based measures, since the two need not align if area-of-origin poorly indexes mover status. The framework should therefore be interpreted as identifying structural mobility asymmetries rather than observing displacement events or gentrifier characteristics.</w:t>
      </w:r>
    </w:p>
    <w:bookmarkEnd w:id="44"/>
    <w:bookmarkStart w:id="45" w:name="vertical-versus-horizontal-displacement"/>
    <w:p>
      <w:pPr>
        <w:pStyle w:val="Heading3"/>
      </w:pPr>
      <w:r>
        <w:t xml:space="preserve">Vertical versus Horizontal Displacement</w:t>
      </w:r>
    </w:p>
    <w:p>
      <w:pPr>
        <w:pStyle w:val="FirstParagraph"/>
      </w:pPr>
      <w:r>
        <w:t xml:space="preserve">The hierarchy framework captures vertical movement across deciles and is insensitive to horizontal displacement between similarly deprived neighbourhoods; all directional metrics exclude intra-decile relocations. The framework therefore likely underestimates the total scale of displacement-related mobility.</w:t>
      </w:r>
    </w:p>
    <w:bookmarkEnd w:id="45"/>
    <w:bookmarkStart w:id="46" w:name="an-ageing-baseline"/>
    <w:p>
      <w:pPr>
        <w:pStyle w:val="Heading3"/>
      </w:pPr>
      <w:r>
        <w:t xml:space="preserve">An Ageing Baseline</w:t>
      </w:r>
    </w:p>
    <w:p>
      <w:pPr>
        <w:pStyle w:val="FirstParagraph"/>
      </w:pPr>
      <w:r>
        <w:t xml:space="preserve">Fixing the ladder at 2010 is necessary for non-circular validation, but by 2021 the baseline is eleven years old: a decade of neighbourhood change is scored against a deprivation structure measured before it occurred. The 2019-baseline sensitivity analysis bounds this concern, and the very high correlation between 2010- and 2019-derived deciles suggests the hierarchy is stable, but the trade-off between temporal fixity and currency is inherent to the design.</w:t>
      </w:r>
    </w:p>
    <w:bookmarkEnd w:id="46"/>
    <w:bookmarkStart w:id="47" w:name="X9b4058377896258d34b50668e8778a444915db0"/>
    <w:p>
      <w:pPr>
        <w:pStyle w:val="Heading3"/>
      </w:pPr>
      <w:r>
        <w:t xml:space="preserve">Boundary Harmonisation and the Modifiable Areal Unit Problem</w:t>
      </w:r>
    </w:p>
    <w:p>
      <w:pPr>
        <w:pStyle w:val="FirstParagraph"/>
      </w:pPr>
      <w:r>
        <w:t xml:space="preserve">Although all datasets are harmonised to 2011 MSOA boundaries, the analysis remains subject to the Modifiable Areal Unit Problem (Openshaw and Taylor, 1979); relationships identified at MSOA scale may differ under alternative aggregations. MSOAs nevertheless provide a pragmatic compromise between granularity and the availability of Census migration data. The single-node representation of all non-London areas in Frame C is an additional deliberate simplification: it is validated by the flow-weighted diagnostic in Section 3.9, but it cannot capture heterogeneity among external origins and destinations.</w:t>
      </w:r>
    </w:p>
    <w:bookmarkEnd w:id="47"/>
    <w:bookmarkStart w:id="48" w:name="covid-19-and-the-2021-census"/>
    <w:p>
      <w:pPr>
        <w:pStyle w:val="Heading3"/>
      </w:pPr>
      <w:r>
        <w:t xml:space="preserve">COVID-19 and the 2021 Census</w:t>
      </w:r>
    </w:p>
    <w:p>
      <w:pPr>
        <w:pStyle w:val="FirstParagraph"/>
      </w:pPr>
      <w:r>
        <w:t xml:space="preserve">The 2021 Census was conducted in March 2021 under lockdown conditions. This affects the analysis through two channels that must be kept distinct. Substantively, pandemic-era relocation patterns, in particular elevated out-migration from London, are part of the 2021 signal itself and are analysed as such through the frame decomposition and case-study diagnostics. Metrologically, lockdown-period collection, disclosure control and imputation degrade the 2021 flow estimates: absolute volumes are lower, and a small number of MSOAs record no hierarchy-crossing flows at all and are handled through the suppressed typology label. The analysis therefore prioritises relative spatial patterning over direct comparison of absolute magnitudes across census years, and within-London volume declines in 2021 are interpreted conservatively. A related and unresolvable limitation is that the design cannot distinguish a durable structural shift from a transient pandemic artefact using only the 2021 observation.</w:t>
      </w:r>
    </w:p>
    <w:bookmarkEnd w:id="48"/>
    <w:bookmarkStart w:id="49" w:name="threshold-sensitivity"/>
    <w:p>
      <w:pPr>
        <w:pStyle w:val="Heading3"/>
      </w:pPr>
      <w:r>
        <w:t xml:space="preserve">Threshold Sensitivity</w:t>
      </w:r>
    </w:p>
    <w:p>
      <w:pPr>
        <w:pStyle w:val="FirstParagraph"/>
      </w:pPr>
      <w:r>
        <w:t xml:space="preserve">The typology depends on the symmetric dominance band and the Cross-Decile Share percentile cutoff, and the mechanism tree adds an inflow-share threshold and an external-arm threshold. Sensitivity analyses varying the typology thresholds, comparing ratio- versus difference-based dominance definitions, and testing the definition of cascade churn itself against same-decile broadenings (Section 3.6) are reported alongside the main results; the tree’s inflow-share cut is located in an empirical gap and its external-arm cut carries an explicit ±0.05 sensitivity band (Section 3.10.5). Conclusions that survive these perturbations are emphasised.</w:t>
      </w:r>
    </w:p>
    <w:bookmarkEnd w:id="49"/>
    <w:bookmarkStart w:id="50" w:name="structural-ceilings-on-the-inflow-arm"/>
    <w:p>
      <w:pPr>
        <w:pStyle w:val="Heading3"/>
      </w:pPr>
      <w:r>
        <w:t xml:space="preserve">Structural Ceilings on the Inflow Arm</w:t>
      </w:r>
    </w:p>
    <w:p>
      <w:pPr>
        <w:pStyle w:val="FirstParagraph"/>
      </w:pPr>
      <w:r>
        <w:t xml:space="preserve">Because the inflow-led branch of the mechanism tree requires wealthier arrivals, and areas near the top of the hierarchy have few or no wealthier partners, the inflow-driven leaf is structurally closed to the highest deciles: the median wealthier-inflow share falls monotonically to zero at national Decile 10. Any alignment between top-decile neighbourhood types and the outflow-dominated leaves is therefore part substance and part construction, and is interpreted accordingly: for such areas the displacement arm is the only observable cascade signature, and claims are limited to whether that signature is present, not to causal direction. Relatedly, the any-LSOA subtype flags used in the benchmark comparison are sensitive to MSOA size, and several leaf-level tests operate at modest sample sizes; exact tests and multiplicity correction mitigate, but cannot remove, the resulting power constraints.</w:t>
      </w:r>
    </w:p>
    <w:bookmarkEnd w:id="50"/>
    <w:bookmarkStart w:id="51" w:name="spatial-autocorrelation"/>
    <w:p>
      <w:pPr>
        <w:pStyle w:val="Heading3"/>
      </w:pPr>
      <w:r>
        <w:t xml:space="preserve">Spatial Autocorrelation</w:t>
      </w:r>
    </w:p>
    <w:p>
      <w:pPr>
        <w:pStyle w:val="FirstParagraph"/>
      </w:pPr>
      <w:r>
        <w:t xml:space="preserve">Neighbourhood observations are spatially interdependent (Anselin, 1988), and adjacent areas may exhibit correlated socio-economic and migration characteristics; recent work by Zhu (2023) demonstrates this in London specifically. Conventional tests may therefore overstate observational independence. The present study focuses primarily on relational restructuring patterns, and future work could formally incorporate spatial dependence through Moran’s I diagnostics and spatial econometric specifications.</w:t>
      </w:r>
    </w:p>
    <w:bookmarkEnd w:id="51"/>
    <w:bookmarkStart w:id="52" w:name="temporal-mismatch"/>
    <w:p>
      <w:pPr>
        <w:pStyle w:val="Heading3"/>
      </w:pPr>
      <w:r>
        <w:t xml:space="preserve">Temporal Mismatch</w:t>
      </w:r>
    </w:p>
    <w:p>
      <w:pPr>
        <w:pStyle w:val="FirstParagraph"/>
      </w:pPr>
      <w:r>
        <w:t xml:space="preserve">The validation stage combines migration flows from 2011 and 2021 with deprivation trajectories measured between 2010 and 2019. These windows overlap but are not perfectly aligned, and in particular the 2021 flow leg post-dates most of the outcome window. Consequently, the analysis does not establish causal relationships between migration restructuring and neighbourhood ascent; it evaluates whether flow signatures and socio-economic trajectories are consistent, and documents where they are not.</w:t>
      </w:r>
    </w:p>
    <w:bookmarkEnd w:id="52"/>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2026-07-12T12:03:04Z</dcterms:created>
  <dcterms:modified xsi:type="dcterms:W3CDTF">2026-07-12T12:03:04Z</dcterms:modified>
</cp:coreProperties>
</file>

<file path=docProps/custom.xml><?xml version="1.0" encoding="utf-8"?>
<Properties xmlns="http://schemas.openxmlformats.org/officeDocument/2006/custom-properties" xmlns:vt="http://schemas.openxmlformats.org/officeDocument/2006/docPropsVTypes"/>
</file>