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5BB21" w14:textId="77777777" w:rsidR="0016069D" w:rsidRPr="0016069D" w:rsidRDefault="0016069D" w:rsidP="0016069D">
      <w:pPr>
        <w:spacing w:before="480" w:after="240" w:line="240" w:lineRule="auto"/>
        <w:outlineLvl w:val="0"/>
        <w:rPr>
          <w:rFonts w:ascii="Times New Roman" w:eastAsia="Times New Roman" w:hAnsi="Times New Roman" w:cs="Times New Roman"/>
          <w:b/>
          <w:bCs/>
          <w:kern w:val="36"/>
          <w:sz w:val="48"/>
          <w:szCs w:val="48"/>
          <w14:ligatures w14:val="none"/>
        </w:rPr>
      </w:pPr>
      <w:r w:rsidRPr="0016069D">
        <w:rPr>
          <w:rFonts w:ascii="Arial" w:eastAsia="Times New Roman" w:hAnsi="Arial" w:cs="Arial"/>
          <w:b/>
          <w:bCs/>
          <w:color w:val="000000"/>
          <w:kern w:val="36"/>
          <w:sz w:val="46"/>
          <w:szCs w:val="46"/>
          <w14:ligatures w14:val="none"/>
        </w:rPr>
        <w:t>3. Methodology</w:t>
      </w:r>
    </w:p>
    <w:p w14:paraId="72F88E3E" w14:textId="77777777" w:rsidR="0016069D" w:rsidRPr="0016069D" w:rsidRDefault="0016069D" w:rsidP="0016069D">
      <w:pPr>
        <w:spacing w:before="300" w:line="240" w:lineRule="auto"/>
        <w:outlineLvl w:val="1"/>
        <w:rPr>
          <w:rFonts w:ascii="Times New Roman" w:eastAsia="Times New Roman" w:hAnsi="Times New Roman" w:cs="Times New Roman"/>
          <w:b/>
          <w:bCs/>
          <w:kern w:val="0"/>
          <w:sz w:val="36"/>
          <w:szCs w:val="36"/>
          <w14:ligatures w14:val="none"/>
        </w:rPr>
      </w:pPr>
      <w:r w:rsidRPr="0016069D">
        <w:rPr>
          <w:rFonts w:ascii="Arial" w:eastAsia="Times New Roman" w:hAnsi="Arial" w:cs="Arial"/>
          <w:b/>
          <w:bCs/>
          <w:color w:val="000000"/>
          <w:kern w:val="0"/>
          <w:sz w:val="34"/>
          <w:szCs w:val="34"/>
          <w14:ligatures w14:val="none"/>
        </w:rPr>
        <w:t>3.1 Research Design</w:t>
      </w:r>
    </w:p>
    <w:p w14:paraId="4475D5A3" w14:textId="2228DEE3"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 xml:space="preserve">This chapter sets out a flow-centred framework for identifying residential restructuring in London through directional migration asymmetries across the urban deprivation hierarchy between 2011 and 2021. The framework is built to test a widely assumed equivalence that gentrification can be read directly from cascading migration flows, in which affluent residents move into a neighbourhood while existing residents are pushed towards more deprived areas </w:t>
      </w:r>
      <w:r w:rsidRPr="0016069D">
        <w:rPr>
          <w:rFonts w:ascii="Arial" w:eastAsia="Times New Roman" w:hAnsi="Arial" w:cs="Arial"/>
          <w:color w:val="000000"/>
          <w:kern w:val="0"/>
          <w:sz w:val="22"/>
          <w:szCs w:val="22"/>
          <w:shd w:val="clear" w:color="auto" w:fill="FFFF00"/>
          <w14:ligatures w14:val="none"/>
        </w:rPr>
        <w:t>(Marcuse, 1985)</w:t>
      </w:r>
      <w:r w:rsidRPr="0016069D">
        <w:rPr>
          <w:rFonts w:ascii="Arial" w:eastAsia="Times New Roman" w:hAnsi="Arial" w:cs="Arial"/>
          <w:color w:val="000000"/>
          <w:kern w:val="0"/>
          <w:sz w:val="22"/>
          <w:szCs w:val="22"/>
          <w14:ligatures w14:val="none"/>
        </w:rPr>
        <w:t xml:space="preserve">. Rather than operationalising gentrification through upgrading indicators, the study conceptualises displacement pressure as a relational mobility structure, specifically the co-occurrence of upward-directed inflows and downward-directed outflows between differently positioned </w:t>
      </w:r>
      <w:r w:rsidRPr="0016069D">
        <w:rPr>
          <w:rFonts w:ascii="Arial" w:eastAsia="Times New Roman" w:hAnsi="Arial" w:cs="Arial"/>
          <w:color w:val="000000"/>
          <w:kern w:val="0"/>
          <w:sz w:val="22"/>
          <w:szCs w:val="22"/>
          <w14:ligatures w14:val="none"/>
        </w:rPr>
        <w:t>neighbourhoods and</w:t>
      </w:r>
      <w:r w:rsidRPr="0016069D">
        <w:rPr>
          <w:rFonts w:ascii="Arial" w:eastAsia="Times New Roman" w:hAnsi="Arial" w:cs="Arial"/>
          <w:color w:val="000000"/>
          <w:kern w:val="0"/>
          <w:sz w:val="22"/>
          <w:szCs w:val="22"/>
          <w14:ligatures w14:val="none"/>
        </w:rPr>
        <w:t xml:space="preserve"> treats its correspondence with attribute-defined gentrification as an empirical question rather than a presumption.</w:t>
      </w:r>
    </w:p>
    <w:p w14:paraId="7791A474"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 xml:space="preserve">Sections 3.2–3.4 first describe the study area, data sources, and spatial harmonisation on which the framework rests. The framework then proceeds in six stages, each occupying one section of this chapter. A fixed deprivation hierarchy is first constructed from the 2010 Index of Multiple Deprivation (IMD) (Section 3.5). Every recorded migration is then classified, relative to that hierarchy, into one of four elementary flow types (Section 3.6), from which parallel suites of cascade and counter-cascade indicators are derived (Section 3.7). Neighbourhoods are classified into flow regimes </w:t>
      </w:r>
      <w:proofErr w:type="gramStart"/>
      <w:r w:rsidRPr="0016069D">
        <w:rPr>
          <w:rFonts w:ascii="Arial" w:eastAsia="Times New Roman" w:hAnsi="Arial" w:cs="Arial"/>
          <w:color w:val="000000"/>
          <w:kern w:val="0"/>
          <w:sz w:val="22"/>
          <w:szCs w:val="22"/>
          <w14:ligatures w14:val="none"/>
        </w:rPr>
        <w:t>on the basis of</w:t>
      </w:r>
      <w:proofErr w:type="gramEnd"/>
      <w:r w:rsidRPr="0016069D">
        <w:rPr>
          <w:rFonts w:ascii="Arial" w:eastAsia="Times New Roman" w:hAnsi="Arial" w:cs="Arial"/>
          <w:color w:val="000000"/>
          <w:kern w:val="0"/>
          <w:sz w:val="22"/>
          <w:szCs w:val="22"/>
          <w14:ligatures w14:val="none"/>
        </w:rPr>
        <w:t xml:space="preserve"> those indicators (Section 3.8), and all metrics and classifications are recomputed under three reference frames that separate the effect of changing the decile ladder from the effect of adding flows that cross London’s boundary (Section 3.9). A mechanism tree then decomposes the most theoretically loaded regime into distinct generating processes (Section 3.10). Finally, the resulting classification is evaluated against independent measures of neighbourhood change (Section 3.11), and the limitations of the design are discussed (Section 3.12). </w:t>
      </w:r>
    </w:p>
    <w:p w14:paraId="295EF8F8"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Two design principles guide every stage. The first is the separation of measurement from outcome. This ensures non-circular validation by deriving flow indicators solely from the IMD 2010 baseline, while reserving IMD 2019 exclusively for outcomes. The other is interpretive restraint. Rather than equating downward movement with forced displacement, the study recognises that an area’s deprivation level is merely a proxy for a mover’s individual status. Consequently, the framework identifies structural restructuring pressures at the neighbourhood scale instead of observing specific displacement events.</w:t>
      </w:r>
    </w:p>
    <w:p w14:paraId="3B81FB1D" w14:textId="77777777" w:rsidR="0016069D" w:rsidRPr="0016069D" w:rsidRDefault="0016069D" w:rsidP="0016069D">
      <w:pPr>
        <w:spacing w:before="300" w:line="240" w:lineRule="auto"/>
        <w:outlineLvl w:val="1"/>
        <w:rPr>
          <w:rFonts w:ascii="Times New Roman" w:eastAsia="Times New Roman" w:hAnsi="Times New Roman" w:cs="Times New Roman"/>
          <w:b/>
          <w:bCs/>
          <w:kern w:val="0"/>
          <w:sz w:val="36"/>
          <w:szCs w:val="36"/>
          <w14:ligatures w14:val="none"/>
        </w:rPr>
      </w:pPr>
      <w:r w:rsidRPr="0016069D">
        <w:rPr>
          <w:rFonts w:ascii="Arial" w:eastAsia="Times New Roman" w:hAnsi="Arial" w:cs="Arial"/>
          <w:b/>
          <w:bCs/>
          <w:color w:val="000000"/>
          <w:kern w:val="0"/>
          <w:sz w:val="34"/>
          <w:szCs w:val="34"/>
          <w14:ligatures w14:val="none"/>
        </w:rPr>
        <w:t>3.2 Study Area and Temporal Scope</w:t>
      </w:r>
    </w:p>
    <w:p w14:paraId="048B6A25" w14:textId="71E0453A"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 xml:space="preserve">The study area comprises Greater London (32 London boroughs and the City of London). The unit of analysis is the Middle Layer Super Output Area (MSOA), a census geography of approximately 7,200 residents </w:t>
      </w:r>
      <w:r w:rsidRPr="0016069D">
        <w:rPr>
          <w:rFonts w:ascii="Arial" w:eastAsia="Times New Roman" w:hAnsi="Arial" w:cs="Arial"/>
          <w:color w:val="000000"/>
          <w:kern w:val="0"/>
          <w:sz w:val="22"/>
          <w:szCs w:val="22"/>
          <w:shd w:val="clear" w:color="auto" w:fill="FFFF00"/>
          <w14:ligatures w14:val="none"/>
        </w:rPr>
        <w:t>(ONS, 2011)</w:t>
      </w:r>
      <w:r w:rsidRPr="0016069D">
        <w:rPr>
          <w:rFonts w:ascii="Arial" w:eastAsia="Times New Roman" w:hAnsi="Arial" w:cs="Arial"/>
          <w:color w:val="000000"/>
          <w:kern w:val="0"/>
          <w:sz w:val="22"/>
          <w:szCs w:val="22"/>
          <w14:ligatures w14:val="none"/>
        </w:rPr>
        <w:t xml:space="preserve">, granular enough to capture localised migration dynamics while containing statistically meaningful flow volumes. The analysis compares residential migration recorded in the 2011 and 2021 Censuses, each covering moves in the year preceding </w:t>
      </w:r>
      <w:r w:rsidRPr="0016069D">
        <w:rPr>
          <w:rFonts w:ascii="Arial" w:eastAsia="Times New Roman" w:hAnsi="Arial" w:cs="Arial"/>
          <w:color w:val="000000"/>
          <w:kern w:val="0"/>
          <w:sz w:val="22"/>
          <w:szCs w:val="22"/>
          <w14:ligatures w14:val="none"/>
        </w:rPr>
        <w:t>Census Day</w:t>
      </w:r>
      <w:r w:rsidRPr="0016069D">
        <w:rPr>
          <w:rFonts w:ascii="Arial" w:eastAsia="Times New Roman" w:hAnsi="Arial" w:cs="Arial"/>
          <w:color w:val="000000"/>
          <w:kern w:val="0"/>
          <w:sz w:val="22"/>
          <w:szCs w:val="22"/>
          <w14:ligatures w14:val="none"/>
        </w:rPr>
        <w:t>, with neighbourhood deprivation measured at the closest matching releases of IMD. After spatial harmonisation (Section 3.4), the analytical dataset comprises 982 temporally consistent MSOA-level zones.</w:t>
      </w:r>
    </w:p>
    <w:p w14:paraId="7373C26A" w14:textId="77777777" w:rsidR="0016069D" w:rsidRPr="0016069D" w:rsidRDefault="0016069D" w:rsidP="0016069D">
      <w:pPr>
        <w:spacing w:before="300" w:line="240" w:lineRule="auto"/>
        <w:outlineLvl w:val="1"/>
        <w:rPr>
          <w:rFonts w:ascii="Times New Roman" w:eastAsia="Times New Roman" w:hAnsi="Times New Roman" w:cs="Times New Roman"/>
          <w:b/>
          <w:bCs/>
          <w:kern w:val="0"/>
          <w:sz w:val="36"/>
          <w:szCs w:val="36"/>
          <w14:ligatures w14:val="none"/>
        </w:rPr>
      </w:pPr>
      <w:r w:rsidRPr="0016069D">
        <w:rPr>
          <w:rFonts w:ascii="Arial" w:eastAsia="Times New Roman" w:hAnsi="Arial" w:cs="Arial"/>
          <w:b/>
          <w:bCs/>
          <w:color w:val="000000"/>
          <w:kern w:val="0"/>
          <w:sz w:val="34"/>
          <w:szCs w:val="34"/>
          <w14:ligatures w14:val="none"/>
        </w:rPr>
        <w:t>3.3 Data Sources</w:t>
      </w:r>
    </w:p>
    <w:p w14:paraId="3AF64675"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lastRenderedPageBreak/>
        <w:t>The analysis draws on three bodies of data: census migration flows, deprivation indices, and two external benchmarks. The primary source is the Census origin–destination (O–D) migration dataset, which records residential moves in the year preceding each Census. The 2021 flows are taken from Table RM097 via NOMIS. Because the 2011 counterpart (Table MF01EW) is not available at MSOA-scale, safeguarded OA-level flows are accessed through WICID. Each O–D record contains origin and destination geographies together with migration volumes but carries no information on movers’ socio-economic status. Directionality is therefore inferred from the relative deprivation positions of origin and destination neighbourhoods.</w:t>
      </w:r>
    </w:p>
    <w:p w14:paraId="14F9CA34"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Neighbourhood deprivation is measured using the IMD data, a composite area-level indicator produced by the Ministry of Housing, Communities and Local Government (MHCLG), with 2010 and 2019 releases as the closest temporal matches to the two censuses. The releases play strictly separated roles. IMD 2010 constructs the fixed baseline hierarchy (Section 3.5), while IMD 2019 is reserved for the validation outcome (Section 3.11).</w:t>
      </w:r>
    </w:p>
    <w:p w14:paraId="4DCEDC3F"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 xml:space="preserve">Two further datasets support the comparative stage. The LSOA-level neighbourhood trajectory classification of </w:t>
      </w:r>
      <w:r w:rsidRPr="0016069D">
        <w:rPr>
          <w:rFonts w:ascii="Arial" w:eastAsia="Times New Roman" w:hAnsi="Arial" w:cs="Arial"/>
          <w:color w:val="000000"/>
          <w:kern w:val="0"/>
          <w:sz w:val="22"/>
          <w:szCs w:val="22"/>
          <w:shd w:val="clear" w:color="auto" w:fill="FFFF00"/>
          <w14:ligatures w14:val="none"/>
        </w:rPr>
        <w:t>Yee and Dennett (2022)</w:t>
      </w:r>
      <w:r w:rsidRPr="0016069D">
        <w:rPr>
          <w:rFonts w:ascii="Arial" w:eastAsia="Times New Roman" w:hAnsi="Arial" w:cs="Arial"/>
          <w:color w:val="000000"/>
          <w:kern w:val="0"/>
          <w:sz w:val="22"/>
          <w:szCs w:val="22"/>
          <w14:ligatures w14:val="none"/>
        </w:rPr>
        <w:t>, which identifies gentrifying, declining and stable neighbourhoods over 2001–2011, serves as the attribute-based benchmark (Section 3.11), and the Census occupation tables (KS608EW, TS063) supply the occupational-ascent measure constructed in Appendix F.</w:t>
      </w:r>
    </w:p>
    <w:p w14:paraId="13E42EF0" w14:textId="77777777" w:rsidR="0016069D" w:rsidRPr="0016069D" w:rsidRDefault="0016069D" w:rsidP="0016069D">
      <w:pPr>
        <w:spacing w:before="300" w:line="240" w:lineRule="auto"/>
        <w:outlineLvl w:val="1"/>
        <w:rPr>
          <w:rFonts w:ascii="Times New Roman" w:eastAsia="Times New Roman" w:hAnsi="Times New Roman" w:cs="Times New Roman"/>
          <w:b/>
          <w:bCs/>
          <w:kern w:val="0"/>
          <w:sz w:val="36"/>
          <w:szCs w:val="36"/>
          <w14:ligatures w14:val="none"/>
        </w:rPr>
      </w:pPr>
      <w:r w:rsidRPr="0016069D">
        <w:rPr>
          <w:rFonts w:ascii="Arial" w:eastAsia="Times New Roman" w:hAnsi="Arial" w:cs="Arial"/>
          <w:b/>
          <w:bCs/>
          <w:color w:val="000000"/>
          <w:kern w:val="0"/>
          <w:sz w:val="34"/>
          <w:szCs w:val="34"/>
          <w14:ligatures w14:val="none"/>
        </w:rPr>
        <w:t>3.4 Spatial Harmonisation and Data Processing</w:t>
      </w:r>
    </w:p>
    <w:p w14:paraId="33E95CB1"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 xml:space="preserve">All datasets are brought to a single, temporally consistent geography before any metric is computed, since changing boundaries or indices confound genuine dynamics with statistical reclassification </w:t>
      </w:r>
      <w:r w:rsidRPr="0016069D">
        <w:rPr>
          <w:rFonts w:ascii="Arial" w:eastAsia="Times New Roman" w:hAnsi="Arial" w:cs="Arial"/>
          <w:color w:val="000000"/>
          <w:kern w:val="0"/>
          <w:sz w:val="22"/>
          <w:szCs w:val="22"/>
          <w:shd w:val="clear" w:color="auto" w:fill="FFFF00"/>
          <w14:ligatures w14:val="none"/>
        </w:rPr>
        <w:t>(Blake et al., 2000; Rowe, 2017)</w:t>
      </w:r>
      <w:r w:rsidRPr="0016069D">
        <w:rPr>
          <w:rFonts w:ascii="Arial" w:eastAsia="Times New Roman" w:hAnsi="Arial" w:cs="Arial"/>
          <w:color w:val="000000"/>
          <w:kern w:val="0"/>
          <w:sz w:val="22"/>
          <w:szCs w:val="22"/>
          <w14:ligatures w14:val="none"/>
        </w:rPr>
        <w:t xml:space="preserve">. Using official ONS lookup and correspondence tables, all data are harmonised to 2011 MSOA geography. Boundary changes between the censuses are handled by retaining only one-to-one correspondences between 2011 and 2021 MSOAs, with a single documented exception, where two adjacent Camden MSOAs merged in 2021 are analysed as one best-fit zone, yielding the 982 zones introduced above. Within this frame, the 2011 OA-level flows are aggregated up to MSOA </w:t>
      </w:r>
      <w:proofErr w:type="gramStart"/>
      <w:r w:rsidRPr="0016069D">
        <w:rPr>
          <w:rFonts w:ascii="Arial" w:eastAsia="Times New Roman" w:hAnsi="Arial" w:cs="Arial"/>
          <w:color w:val="000000"/>
          <w:kern w:val="0"/>
          <w:sz w:val="22"/>
          <w:szCs w:val="22"/>
          <w14:ligatures w14:val="none"/>
        </w:rPr>
        <w:t>scale</w:t>
      </w:r>
      <w:proofErr w:type="gramEnd"/>
      <w:r w:rsidRPr="0016069D">
        <w:rPr>
          <w:rFonts w:ascii="Arial" w:eastAsia="Times New Roman" w:hAnsi="Arial" w:cs="Arial"/>
          <w:color w:val="000000"/>
          <w:kern w:val="0"/>
          <w:sz w:val="22"/>
          <w:szCs w:val="22"/>
          <w14:ligatures w14:val="none"/>
        </w:rPr>
        <w:t xml:space="preserve"> and the 2021 flows are mapped back from 2021 to 2011 MSOA codes. Because no official MSOA-level IMD product exists, both IMD releases are aggregated from LSOA scale using population-weighted means of cardinal scores and re-ranked to produce valid ordinal positions, mirroring MHCLG’s rank-of-average-score approach </w:t>
      </w:r>
      <w:r w:rsidRPr="0016069D">
        <w:rPr>
          <w:rFonts w:ascii="Arial" w:eastAsia="Times New Roman" w:hAnsi="Arial" w:cs="Arial"/>
          <w:color w:val="000000"/>
          <w:kern w:val="0"/>
          <w:sz w:val="22"/>
          <w:szCs w:val="22"/>
          <w:shd w:val="clear" w:color="auto" w:fill="FFFF00"/>
          <w14:ligatures w14:val="none"/>
        </w:rPr>
        <w:t>(McLennan et al., 2019)</w:t>
      </w:r>
      <w:r w:rsidRPr="0016069D">
        <w:rPr>
          <w:rFonts w:ascii="Arial" w:eastAsia="Times New Roman" w:hAnsi="Arial" w:cs="Arial"/>
          <w:color w:val="000000"/>
          <w:kern w:val="0"/>
          <w:sz w:val="22"/>
          <w:szCs w:val="22"/>
          <w14:ligatures w14:val="none"/>
        </w:rPr>
        <w:t>.</w:t>
      </w:r>
    </w:p>
    <w:p w14:paraId="1A95D249"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Flows are then filtered by a single positive whitelist rule applied identically to both census years. For the core London-internal dataset, a flow is retained if and only if both endpoints harmonise to a London analysis MSOA with an available deprivation decile and origin and destination differ, within-MSOA moves are thereby excluded as local churn. Any flow with exactly one endpoint in a London analysis MSOA is also preserved, with all non-London origins and destinations collapsed into a single synthetic external node. This node represents the rest of the country as a whole and enters the analysis only through the external-flow frame (Section 3.9), where its deprivation position is assigned and validated. Flows with neither endpoint in London fall outside the study’s scope.</w:t>
      </w:r>
    </w:p>
    <w:p w14:paraId="00B10826"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Rather than silently dropping records, the pipeline classifies every origin and destination code into one of six mutually exclusive categories and reports the rows and persons removed at each step, producing a reproducible exclusion waterfall. Genuinely unmappable records are negligible (~0.05% of 2011 migrants), and after filtering the two periods contain broadly comparable volumes of London-internal migration (~852,000 person-moves in 201, ~766,000 in 2021). Robustness tests confirm that the resulting hierarchy is insensitive to weighting and baseline choices. The full pipeline and exclusion accounting are documented in Appendix A.</w:t>
      </w:r>
    </w:p>
    <w:p w14:paraId="2292542D" w14:textId="77777777" w:rsidR="0016069D" w:rsidRPr="0016069D" w:rsidRDefault="0016069D" w:rsidP="0016069D">
      <w:pPr>
        <w:spacing w:before="300" w:line="240" w:lineRule="auto"/>
        <w:outlineLvl w:val="1"/>
        <w:rPr>
          <w:rFonts w:ascii="Times New Roman" w:eastAsia="Times New Roman" w:hAnsi="Times New Roman" w:cs="Times New Roman"/>
          <w:b/>
          <w:bCs/>
          <w:kern w:val="0"/>
          <w:sz w:val="36"/>
          <w:szCs w:val="36"/>
          <w14:ligatures w14:val="none"/>
        </w:rPr>
      </w:pPr>
      <w:r w:rsidRPr="0016069D">
        <w:rPr>
          <w:rFonts w:ascii="Arial" w:eastAsia="Times New Roman" w:hAnsi="Arial" w:cs="Arial"/>
          <w:b/>
          <w:bCs/>
          <w:color w:val="000000"/>
          <w:kern w:val="0"/>
          <w:sz w:val="34"/>
          <w:szCs w:val="34"/>
          <w14:ligatures w14:val="none"/>
        </w:rPr>
        <w:lastRenderedPageBreak/>
        <w:t>3.5 Neighbourhood Classification: The Deprivation Hierarchy</w:t>
      </w:r>
    </w:p>
    <w:p w14:paraId="62B408EE"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 xml:space="preserve">The first analytical stage positions every neighbourhood within a fixed deprivation hierarchy against which all subsequent flows are scored. Following the approach of </w:t>
      </w:r>
      <w:r w:rsidRPr="0016069D">
        <w:rPr>
          <w:rFonts w:ascii="Arial" w:eastAsia="Times New Roman" w:hAnsi="Arial" w:cs="Arial"/>
          <w:color w:val="000000"/>
          <w:kern w:val="0"/>
          <w:sz w:val="22"/>
          <w:szCs w:val="22"/>
          <w:shd w:val="clear" w:color="auto" w:fill="FFFF00"/>
          <w14:ligatures w14:val="none"/>
        </w:rPr>
        <w:t>Patias et al. (2022)</w:t>
      </w:r>
      <w:r w:rsidRPr="0016069D">
        <w:rPr>
          <w:rFonts w:ascii="Arial" w:eastAsia="Times New Roman" w:hAnsi="Arial" w:cs="Arial"/>
          <w:color w:val="000000"/>
          <w:kern w:val="0"/>
          <w:sz w:val="22"/>
          <w:szCs w:val="22"/>
          <w14:ligatures w14:val="none"/>
        </w:rPr>
        <w:t xml:space="preserve"> to neighbourhood socio-economic trajectories, each of the 982 MSOAs is assigned a deprivation decile from its 2010 IMD score, with Decile 1 the most deprived 10% of neighbourhoods and Decile 10 the least deprived, and these positions are held fixed for both census years.</w:t>
      </w:r>
    </w:p>
    <w:p w14:paraId="2FC77BD9"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The fixed baseline serves two purposes. Holding the ladder constant attributes any difference between the 2011 and 2021 flow patterns to how people moved rather than to re-ranking beneath them, and this baseline keeps the 2019 IMD entirely on the outcome side, making the validation non-circular by construction. The primary trade-off, as an increasingly stale baseline by 2021, is bounded by a sensitivity analysis re-deriving the deciles from the 2019 release (Section 3.12).</w:t>
      </w:r>
    </w:p>
    <w:p w14:paraId="12E70CDA"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We construct two versions of the 2010 IMD hierarchy to facilitate the reference-frame analysis (Section 3.9). The primary London-relative ladder ranks all 982 London MSOAs against one another. The secondary national ladder ranks all ~6,800 English and Wales MSOAs using the identical 2010 IMD scores. Although the two ladders demonstrate near-</w:t>
      </w:r>
      <w:proofErr w:type="gramStart"/>
      <w:r w:rsidRPr="0016069D">
        <w:rPr>
          <w:rFonts w:ascii="Arial" w:eastAsia="Times New Roman" w:hAnsi="Arial" w:cs="Arial"/>
          <w:color w:val="000000"/>
          <w:kern w:val="0"/>
          <w:sz w:val="22"/>
          <w:szCs w:val="22"/>
          <w14:ligatures w14:val="none"/>
        </w:rPr>
        <w:t>perfect  rank</w:t>
      </w:r>
      <w:proofErr w:type="gramEnd"/>
      <w:r w:rsidRPr="0016069D">
        <w:rPr>
          <w:rFonts w:ascii="Arial" w:eastAsia="Times New Roman" w:hAnsi="Arial" w:cs="Arial"/>
          <w:color w:val="000000"/>
          <w:kern w:val="0"/>
          <w:sz w:val="22"/>
          <w:szCs w:val="22"/>
          <w14:ligatures w14:val="none"/>
        </w:rPr>
        <w:t xml:space="preserve"> concordance for London (rho ≈ 0.99), London’s disproportionate level of relative deprivation means that approximately 69% of its MSOAs fall into the most deprived half of the national distribution (Decile 1-5). Consequently, the national ladder compresses London’s internal variation. Isolating this specific reclassification effect is the primary object of the dual-frame design. Drawing on </w:t>
      </w:r>
      <w:r w:rsidRPr="0016069D">
        <w:rPr>
          <w:rFonts w:ascii="Arial" w:eastAsia="Times New Roman" w:hAnsi="Arial" w:cs="Arial"/>
          <w:color w:val="000000"/>
          <w:kern w:val="0"/>
          <w:sz w:val="22"/>
          <w:szCs w:val="22"/>
          <w:shd w:val="clear" w:color="auto" w:fill="FFFF00"/>
          <w14:ligatures w14:val="none"/>
        </w:rPr>
        <w:t>Marcuse (1985)</w:t>
      </w:r>
      <w:r w:rsidRPr="0016069D">
        <w:rPr>
          <w:rFonts w:ascii="Arial" w:eastAsia="Times New Roman" w:hAnsi="Arial" w:cs="Arial"/>
          <w:color w:val="000000"/>
          <w:kern w:val="0"/>
          <w:sz w:val="22"/>
          <w:szCs w:val="22"/>
          <w14:ligatures w14:val="none"/>
        </w:rPr>
        <w:t>, we interpret these deciles not as static descriptive categories, but as relational positions within an interconnected urban hierarchy of decline and gentrification.</w:t>
      </w:r>
    </w:p>
    <w:p w14:paraId="44E4B294" w14:textId="77777777" w:rsidR="0016069D" w:rsidRPr="0016069D" w:rsidRDefault="0016069D" w:rsidP="0016069D">
      <w:pPr>
        <w:spacing w:before="300" w:line="240" w:lineRule="auto"/>
        <w:outlineLvl w:val="1"/>
        <w:rPr>
          <w:rFonts w:ascii="Times New Roman" w:eastAsia="Times New Roman" w:hAnsi="Times New Roman" w:cs="Times New Roman"/>
          <w:b/>
          <w:bCs/>
          <w:kern w:val="0"/>
          <w:sz w:val="36"/>
          <w:szCs w:val="36"/>
          <w14:ligatures w14:val="none"/>
        </w:rPr>
      </w:pPr>
      <w:r w:rsidRPr="0016069D">
        <w:rPr>
          <w:rFonts w:ascii="Arial" w:eastAsia="Times New Roman" w:hAnsi="Arial" w:cs="Arial"/>
          <w:b/>
          <w:bCs/>
          <w:color w:val="000000"/>
          <w:kern w:val="0"/>
          <w:sz w:val="34"/>
          <w:szCs w:val="34"/>
          <w14:ligatures w14:val="none"/>
        </w:rPr>
        <w:t>3.6 Flow Classification: Four Elementary Flows</w:t>
      </w:r>
    </w:p>
    <w:p w14:paraId="14A3B820"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 xml:space="preserve">With the hierarchy fixed, every migration can be classified by the direction in which it crosses it. A hierarchy-crossing move is any flow between neighbourhoods in different deprivation deciles. From the perspective of a focal MSOA, each such move belongs to exactly one of four elementary flows: </w:t>
      </w:r>
      <w:proofErr w:type="spellStart"/>
      <w:r w:rsidRPr="0016069D">
        <w:rPr>
          <w:rFonts w:ascii="Arial" w:eastAsia="Times New Roman" w:hAnsi="Arial" w:cs="Arial"/>
          <w:b/>
          <w:bCs/>
          <w:color w:val="000000"/>
          <w:kern w:val="0"/>
          <w:sz w:val="22"/>
          <w:szCs w:val="22"/>
          <w14:ligatures w14:val="none"/>
        </w:rPr>
        <w:t>Inflow_Wealthier</w:t>
      </w:r>
      <w:proofErr w:type="spellEnd"/>
      <w:r w:rsidRPr="0016069D">
        <w:rPr>
          <w:rFonts w:ascii="Arial" w:eastAsia="Times New Roman" w:hAnsi="Arial" w:cs="Arial"/>
          <w:color w:val="000000"/>
          <w:kern w:val="0"/>
          <w:sz w:val="22"/>
          <w:szCs w:val="22"/>
          <w14:ligatures w14:val="none"/>
        </w:rPr>
        <w:t xml:space="preserve"> (arrivals from less deprived deciles), </w:t>
      </w:r>
      <w:proofErr w:type="spellStart"/>
      <w:r w:rsidRPr="0016069D">
        <w:rPr>
          <w:rFonts w:ascii="Arial" w:eastAsia="Times New Roman" w:hAnsi="Arial" w:cs="Arial"/>
          <w:b/>
          <w:bCs/>
          <w:color w:val="000000"/>
          <w:kern w:val="0"/>
          <w:sz w:val="22"/>
          <w:szCs w:val="22"/>
          <w14:ligatures w14:val="none"/>
        </w:rPr>
        <w:t>Outflow_Poorer</w:t>
      </w:r>
      <w:proofErr w:type="spellEnd"/>
      <w:r w:rsidRPr="0016069D">
        <w:rPr>
          <w:rFonts w:ascii="Arial" w:eastAsia="Times New Roman" w:hAnsi="Arial" w:cs="Arial"/>
          <w:color w:val="000000"/>
          <w:kern w:val="0"/>
          <w:sz w:val="22"/>
          <w:szCs w:val="22"/>
          <w14:ligatures w14:val="none"/>
        </w:rPr>
        <w:t xml:space="preserve"> (departures to more deprived deciles), </w:t>
      </w:r>
      <w:proofErr w:type="spellStart"/>
      <w:r w:rsidRPr="0016069D">
        <w:rPr>
          <w:rFonts w:ascii="Arial" w:eastAsia="Times New Roman" w:hAnsi="Arial" w:cs="Arial"/>
          <w:b/>
          <w:bCs/>
          <w:color w:val="000000"/>
          <w:kern w:val="0"/>
          <w:sz w:val="22"/>
          <w:szCs w:val="22"/>
          <w14:ligatures w14:val="none"/>
        </w:rPr>
        <w:t>Outflow_Wealthier</w:t>
      </w:r>
      <w:proofErr w:type="spellEnd"/>
      <w:r w:rsidRPr="0016069D">
        <w:rPr>
          <w:rFonts w:ascii="Arial" w:eastAsia="Times New Roman" w:hAnsi="Arial" w:cs="Arial"/>
          <w:color w:val="000000"/>
          <w:kern w:val="0"/>
          <w:sz w:val="22"/>
          <w:szCs w:val="22"/>
          <w14:ligatures w14:val="none"/>
        </w:rPr>
        <w:t xml:space="preserve"> (departures to less deprived deciles), and </w:t>
      </w:r>
      <w:proofErr w:type="spellStart"/>
      <w:r w:rsidRPr="0016069D">
        <w:rPr>
          <w:rFonts w:ascii="Arial" w:eastAsia="Times New Roman" w:hAnsi="Arial" w:cs="Arial"/>
          <w:b/>
          <w:bCs/>
          <w:color w:val="000000"/>
          <w:kern w:val="0"/>
          <w:sz w:val="22"/>
          <w:szCs w:val="22"/>
          <w14:ligatures w14:val="none"/>
        </w:rPr>
        <w:t>Inflow_Poorer</w:t>
      </w:r>
      <w:proofErr w:type="spellEnd"/>
      <w:r w:rsidRPr="0016069D">
        <w:rPr>
          <w:rFonts w:ascii="Arial" w:eastAsia="Times New Roman" w:hAnsi="Arial" w:cs="Arial"/>
          <w:color w:val="000000"/>
          <w:kern w:val="0"/>
          <w:sz w:val="22"/>
          <w:szCs w:val="22"/>
          <w14:ligatures w14:val="none"/>
        </w:rPr>
        <w:t xml:space="preserve"> (arrivals from more deprived deciles). These directional labels describe the relative deprivation positions of areas, not the characteristics of individual movers. The first pair defines the two component flows associated with the </w:t>
      </w:r>
      <w:r w:rsidRPr="0016069D">
        <w:rPr>
          <w:rFonts w:ascii="Arial" w:eastAsia="Times New Roman" w:hAnsi="Arial" w:cs="Arial"/>
          <w:b/>
          <w:bCs/>
          <w:color w:val="000000"/>
          <w:kern w:val="0"/>
          <w:sz w:val="22"/>
          <w:szCs w:val="22"/>
          <w14:ligatures w14:val="none"/>
        </w:rPr>
        <w:t>cascade direction</w:t>
      </w:r>
      <w:r w:rsidRPr="0016069D">
        <w:rPr>
          <w:rFonts w:ascii="Arial" w:eastAsia="Times New Roman" w:hAnsi="Arial" w:cs="Arial"/>
          <w:color w:val="000000"/>
          <w:kern w:val="0"/>
          <w:sz w:val="22"/>
          <w:szCs w:val="22"/>
          <w14:ligatures w14:val="none"/>
        </w:rPr>
        <w:t xml:space="preserve">, which is the combination of wealthier in-migration and poorer out-migration expected under classic accounts of gentrification-induced displacement. The other pair defines the </w:t>
      </w:r>
      <w:r w:rsidRPr="0016069D">
        <w:rPr>
          <w:rFonts w:ascii="Arial" w:eastAsia="Times New Roman" w:hAnsi="Arial" w:cs="Arial"/>
          <w:b/>
          <w:bCs/>
          <w:color w:val="000000"/>
          <w:kern w:val="0"/>
          <w:sz w:val="22"/>
          <w:szCs w:val="22"/>
          <w14:ligatures w14:val="none"/>
        </w:rPr>
        <w:t>counter-cascade direction</w:t>
      </w:r>
      <w:r w:rsidRPr="0016069D">
        <w:rPr>
          <w:rFonts w:ascii="Arial" w:eastAsia="Times New Roman" w:hAnsi="Arial" w:cs="Arial"/>
          <w:color w:val="000000"/>
          <w:kern w:val="0"/>
          <w:sz w:val="22"/>
          <w:szCs w:val="22"/>
          <w14:ligatures w14:val="none"/>
        </w:rPr>
        <w:t xml:space="preserve">. Treating the two symmetrically is a deliberate design choice. Measuring only the cascade direction would place every neighbourhood on a single gentrification-pressure scale, whereas measuring both allows the framework to establish which direction </w:t>
      </w:r>
      <w:proofErr w:type="gramStart"/>
      <w:r w:rsidRPr="0016069D">
        <w:rPr>
          <w:rFonts w:ascii="Arial" w:eastAsia="Times New Roman" w:hAnsi="Arial" w:cs="Arial"/>
          <w:color w:val="000000"/>
          <w:kern w:val="0"/>
          <w:sz w:val="22"/>
          <w:szCs w:val="22"/>
          <w14:ligatures w14:val="none"/>
        </w:rPr>
        <w:t>actually dominates</w:t>
      </w:r>
      <w:proofErr w:type="gramEnd"/>
      <w:r w:rsidRPr="0016069D">
        <w:rPr>
          <w:rFonts w:ascii="Arial" w:eastAsia="Times New Roman" w:hAnsi="Arial" w:cs="Arial"/>
          <w:color w:val="000000"/>
          <w:kern w:val="0"/>
          <w:sz w:val="22"/>
          <w:szCs w:val="22"/>
          <w14:ligatures w14:val="none"/>
        </w:rPr>
        <w:t>, and thereby to test rather than presume the cascade reading.</w:t>
      </w:r>
    </w:p>
    <w:p w14:paraId="67DB6DBA"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Moves between neighbourhoods in the same deprivation decile are classified as lateral flows because they do not cross the depreciation hierarchy. These flows are strictly excluded from the directional classification but retained in total migration volumes for normalisation. Although lateral relocation may accompany neighbourhood restructuring, including it within the cascade would alter the meaning of the measure by conflating hierarchy-crossing and within-level mobility. Alternative cascade definitions are examined in Section 3.8, with the full comparison in Appendix D.</w:t>
      </w:r>
    </w:p>
    <w:p w14:paraId="680D6B0F" w14:textId="77777777" w:rsidR="0016069D" w:rsidRPr="0016069D" w:rsidRDefault="0016069D" w:rsidP="0016069D">
      <w:pPr>
        <w:spacing w:before="300" w:line="240" w:lineRule="auto"/>
        <w:outlineLvl w:val="1"/>
        <w:rPr>
          <w:rFonts w:ascii="Times New Roman" w:eastAsia="Times New Roman" w:hAnsi="Times New Roman" w:cs="Times New Roman"/>
          <w:b/>
          <w:bCs/>
          <w:kern w:val="0"/>
          <w:sz w:val="36"/>
          <w:szCs w:val="36"/>
          <w14:ligatures w14:val="none"/>
        </w:rPr>
      </w:pPr>
      <w:r w:rsidRPr="0016069D">
        <w:rPr>
          <w:rFonts w:ascii="Arial" w:eastAsia="Times New Roman" w:hAnsi="Arial" w:cs="Arial"/>
          <w:b/>
          <w:bCs/>
          <w:color w:val="000000"/>
          <w:kern w:val="0"/>
          <w:sz w:val="34"/>
          <w:szCs w:val="34"/>
          <w14:ligatures w14:val="none"/>
        </w:rPr>
        <w:lastRenderedPageBreak/>
        <w:t>3.7 Metric Construction</w:t>
      </w:r>
    </w:p>
    <w:p w14:paraId="65D10D44"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The elementary flows are next converted into continuous indicators. Two parallel suites of four metrics are computed per MSOA, separately for each census period under the fixed hierarchy, so 2011 and 2021 values are independent cross-sectional measurements under a consistent classification (Table 3.1).</w:t>
      </w:r>
    </w:p>
    <w:tbl>
      <w:tblPr>
        <w:tblW w:w="0" w:type="auto"/>
        <w:tblCellMar>
          <w:top w:w="15" w:type="dxa"/>
          <w:left w:w="15" w:type="dxa"/>
          <w:bottom w:w="15" w:type="dxa"/>
          <w:right w:w="15" w:type="dxa"/>
        </w:tblCellMar>
        <w:tblLook w:val="04A0" w:firstRow="1" w:lastRow="0" w:firstColumn="1" w:lastColumn="0" w:noHBand="0" w:noVBand="1"/>
      </w:tblPr>
      <w:tblGrid>
        <w:gridCol w:w="2235"/>
        <w:gridCol w:w="4289"/>
        <w:gridCol w:w="2486"/>
      </w:tblGrid>
      <w:tr w:rsidR="0016069D" w:rsidRPr="0016069D" w14:paraId="3200586F" w14:textId="77777777">
        <w:trPr>
          <w:trHeight w:val="375"/>
        </w:trPr>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1FF6DC58"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b/>
                <w:bCs/>
                <w:color w:val="000000"/>
                <w:kern w:val="0"/>
                <w:sz w:val="20"/>
                <w:szCs w:val="20"/>
                <w14:ligatures w14:val="none"/>
              </w:rPr>
              <w:t>Metric</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5C6FF25C"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b/>
                <w:bCs/>
                <w:color w:val="000000"/>
                <w:kern w:val="0"/>
                <w:sz w:val="20"/>
                <w:szCs w:val="20"/>
                <w14:ligatures w14:val="none"/>
              </w:rPr>
              <w:t>Formula</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4DB19DD2"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b/>
                <w:bCs/>
                <w:color w:val="000000"/>
                <w:kern w:val="0"/>
                <w:sz w:val="20"/>
                <w:szCs w:val="20"/>
                <w14:ligatures w14:val="none"/>
              </w:rPr>
              <w:t>Dimension</w:t>
            </w:r>
          </w:p>
        </w:tc>
      </w:tr>
      <w:tr w:rsidR="0016069D" w:rsidRPr="0016069D" w14:paraId="354AB25B"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24D5751"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proofErr w:type="spellStart"/>
            <w:r w:rsidRPr="0016069D">
              <w:rPr>
                <w:rFonts w:ascii="Arial" w:eastAsia="Times New Roman" w:hAnsi="Arial" w:cs="Arial"/>
                <w:color w:val="000000"/>
                <w:kern w:val="0"/>
                <w:sz w:val="20"/>
                <w:szCs w:val="20"/>
                <w14:ligatures w14:val="none"/>
              </w:rPr>
              <w:t>Net_Cascade</w:t>
            </w:r>
            <w:proofErr w:type="spellEnd"/>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C1B92B7"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proofErr w:type="spellStart"/>
            <w:r w:rsidRPr="0016069D">
              <w:rPr>
                <w:rFonts w:ascii="Arial" w:eastAsia="Times New Roman" w:hAnsi="Arial" w:cs="Arial"/>
                <w:color w:val="000000"/>
                <w:kern w:val="0"/>
                <w:sz w:val="20"/>
                <w:szCs w:val="20"/>
                <w14:ligatures w14:val="none"/>
              </w:rPr>
              <w:t>Inflow_Wealthier</w:t>
            </w:r>
            <w:proofErr w:type="spellEnd"/>
            <w:r w:rsidRPr="0016069D">
              <w:rPr>
                <w:rFonts w:ascii="Arial" w:eastAsia="Times New Roman" w:hAnsi="Arial" w:cs="Arial"/>
                <w:color w:val="000000"/>
                <w:kern w:val="0"/>
                <w:sz w:val="20"/>
                <w:szCs w:val="20"/>
                <w14:ligatures w14:val="none"/>
              </w:rPr>
              <w:t xml:space="preserve"> − </w:t>
            </w:r>
            <w:proofErr w:type="spellStart"/>
            <w:r w:rsidRPr="0016069D">
              <w:rPr>
                <w:rFonts w:ascii="Arial" w:eastAsia="Times New Roman" w:hAnsi="Arial" w:cs="Arial"/>
                <w:color w:val="000000"/>
                <w:kern w:val="0"/>
                <w:sz w:val="20"/>
                <w:szCs w:val="20"/>
                <w14:ligatures w14:val="none"/>
              </w:rPr>
              <w:t>Outflow_Poorer</w:t>
            </w:r>
            <w:proofErr w:type="spellEnd"/>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8D883F2"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Directional balance (cascade)</w:t>
            </w:r>
          </w:p>
        </w:tc>
      </w:tr>
      <w:tr w:rsidR="0016069D" w:rsidRPr="0016069D" w14:paraId="6D909B74" w14:textId="77777777">
        <w:trPr>
          <w:trHeight w:val="34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DA925ED"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proofErr w:type="spellStart"/>
            <w:r w:rsidRPr="0016069D">
              <w:rPr>
                <w:rFonts w:ascii="Arial" w:eastAsia="Times New Roman" w:hAnsi="Arial" w:cs="Arial"/>
                <w:color w:val="000000"/>
                <w:kern w:val="0"/>
                <w:sz w:val="20"/>
                <w:szCs w:val="20"/>
                <w14:ligatures w14:val="none"/>
              </w:rPr>
              <w:t>CFI_Churn</w:t>
            </w:r>
            <w:proofErr w:type="spellEnd"/>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D20B8E9"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proofErr w:type="spellStart"/>
            <w:r w:rsidRPr="0016069D">
              <w:rPr>
                <w:rFonts w:ascii="Arial" w:eastAsia="Times New Roman" w:hAnsi="Arial" w:cs="Arial"/>
                <w:color w:val="000000"/>
                <w:kern w:val="0"/>
                <w:sz w:val="20"/>
                <w:szCs w:val="20"/>
                <w14:ligatures w14:val="none"/>
              </w:rPr>
              <w:t>Inflow_Wealthier</w:t>
            </w:r>
            <w:proofErr w:type="spellEnd"/>
            <w:r w:rsidRPr="0016069D">
              <w:rPr>
                <w:rFonts w:ascii="Arial" w:eastAsia="Times New Roman" w:hAnsi="Arial" w:cs="Arial"/>
                <w:color w:val="000000"/>
                <w:kern w:val="0"/>
                <w:sz w:val="20"/>
                <w:szCs w:val="20"/>
                <w14:ligatures w14:val="none"/>
              </w:rPr>
              <w:t xml:space="preserve"> + </w:t>
            </w:r>
            <w:proofErr w:type="spellStart"/>
            <w:r w:rsidRPr="0016069D">
              <w:rPr>
                <w:rFonts w:ascii="Arial" w:eastAsia="Times New Roman" w:hAnsi="Arial" w:cs="Arial"/>
                <w:color w:val="000000"/>
                <w:kern w:val="0"/>
                <w:sz w:val="20"/>
                <w:szCs w:val="20"/>
                <w14:ligatures w14:val="none"/>
              </w:rPr>
              <w:t>Outflow_Poorer</w:t>
            </w:r>
            <w:proofErr w:type="spellEnd"/>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B6284E1"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Cascade intensity</w:t>
            </w:r>
          </w:p>
        </w:tc>
      </w:tr>
      <w:tr w:rsidR="0016069D" w:rsidRPr="0016069D" w14:paraId="25059046"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FA8AAAC"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proofErr w:type="spellStart"/>
            <w:r w:rsidRPr="0016069D">
              <w:rPr>
                <w:rFonts w:ascii="Arial" w:eastAsia="Times New Roman" w:hAnsi="Arial" w:cs="Arial"/>
                <w:color w:val="000000"/>
                <w:kern w:val="0"/>
                <w:sz w:val="20"/>
                <w:szCs w:val="20"/>
                <w14:ligatures w14:val="none"/>
              </w:rPr>
              <w:t>CFI_Rate</w:t>
            </w:r>
            <w:proofErr w:type="spellEnd"/>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64A87A26"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w:t>
            </w:r>
            <w:proofErr w:type="spellStart"/>
            <w:r w:rsidRPr="0016069D">
              <w:rPr>
                <w:rFonts w:ascii="Arial" w:eastAsia="Times New Roman" w:hAnsi="Arial" w:cs="Arial"/>
                <w:color w:val="000000"/>
                <w:kern w:val="0"/>
                <w:sz w:val="20"/>
                <w:szCs w:val="20"/>
                <w14:ligatures w14:val="none"/>
              </w:rPr>
              <w:t>Inflow_Wealthier</w:t>
            </w:r>
            <w:proofErr w:type="spellEnd"/>
            <w:r w:rsidRPr="0016069D">
              <w:rPr>
                <w:rFonts w:ascii="Arial" w:eastAsia="Times New Roman" w:hAnsi="Arial" w:cs="Arial"/>
                <w:color w:val="000000"/>
                <w:kern w:val="0"/>
                <w:sz w:val="20"/>
                <w:szCs w:val="20"/>
                <w14:ligatures w14:val="none"/>
              </w:rPr>
              <w:t xml:space="preserve"> × </w:t>
            </w:r>
            <w:proofErr w:type="spellStart"/>
            <w:r w:rsidRPr="0016069D">
              <w:rPr>
                <w:rFonts w:ascii="Arial" w:eastAsia="Times New Roman" w:hAnsi="Arial" w:cs="Arial"/>
                <w:color w:val="000000"/>
                <w:kern w:val="0"/>
                <w:sz w:val="20"/>
                <w:szCs w:val="20"/>
                <w14:ligatures w14:val="none"/>
              </w:rPr>
              <w:t>Outflow_Poorer</w:t>
            </w:r>
            <w:proofErr w:type="spellEnd"/>
            <w:r w:rsidRPr="0016069D">
              <w:rPr>
                <w:rFonts w:ascii="Arial" w:eastAsia="Times New Roman" w:hAnsi="Arial" w:cs="Arial"/>
                <w:color w:val="000000"/>
                <w:kern w:val="0"/>
                <w:sz w:val="20"/>
                <w:szCs w:val="20"/>
                <w14:ligatures w14:val="none"/>
              </w:rPr>
              <w:t xml:space="preserve">) / </w:t>
            </w:r>
            <w:proofErr w:type="spellStart"/>
            <w:r w:rsidRPr="0016069D">
              <w:rPr>
                <w:rFonts w:ascii="Arial" w:eastAsia="Times New Roman" w:hAnsi="Arial" w:cs="Arial"/>
                <w:color w:val="000000"/>
                <w:kern w:val="0"/>
                <w:sz w:val="20"/>
                <w:szCs w:val="20"/>
                <w14:ligatures w14:val="none"/>
              </w:rPr>
              <w:t>Total_Migration</w:t>
            </w:r>
            <w:proofErr w:type="spellEnd"/>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E62F2B3"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Cascade co-occurrence</w:t>
            </w:r>
          </w:p>
        </w:tc>
      </w:tr>
      <w:tr w:rsidR="0016069D" w:rsidRPr="0016069D" w14:paraId="6D0DC377" w14:textId="77777777">
        <w:trPr>
          <w:trHeight w:val="34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617C9FB3"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proofErr w:type="spellStart"/>
            <w:r w:rsidRPr="0016069D">
              <w:rPr>
                <w:rFonts w:ascii="Arial" w:eastAsia="Times New Roman" w:hAnsi="Arial" w:cs="Arial"/>
                <w:color w:val="000000"/>
                <w:kern w:val="0"/>
                <w:sz w:val="20"/>
                <w:szCs w:val="20"/>
                <w14:ligatures w14:val="none"/>
              </w:rPr>
              <w:t>Pct_Inflow_Wealthier</w:t>
            </w:r>
            <w:proofErr w:type="spellEnd"/>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50780CE"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proofErr w:type="spellStart"/>
            <w:r w:rsidRPr="0016069D">
              <w:rPr>
                <w:rFonts w:ascii="Arial" w:eastAsia="Times New Roman" w:hAnsi="Arial" w:cs="Arial"/>
                <w:color w:val="000000"/>
                <w:kern w:val="0"/>
                <w:sz w:val="20"/>
                <w:szCs w:val="20"/>
                <w14:ligatures w14:val="none"/>
              </w:rPr>
              <w:t>Inflow_Wealthier</w:t>
            </w:r>
            <w:proofErr w:type="spellEnd"/>
            <w:r w:rsidRPr="0016069D">
              <w:rPr>
                <w:rFonts w:ascii="Arial" w:eastAsia="Times New Roman" w:hAnsi="Arial" w:cs="Arial"/>
                <w:color w:val="000000"/>
                <w:kern w:val="0"/>
                <w:sz w:val="20"/>
                <w:szCs w:val="20"/>
                <w14:ligatures w14:val="none"/>
              </w:rPr>
              <w:t xml:space="preserve"> / </w:t>
            </w:r>
            <w:proofErr w:type="spellStart"/>
            <w:r w:rsidRPr="0016069D">
              <w:rPr>
                <w:rFonts w:ascii="Arial" w:eastAsia="Times New Roman" w:hAnsi="Arial" w:cs="Arial"/>
                <w:color w:val="000000"/>
                <w:kern w:val="0"/>
                <w:sz w:val="20"/>
                <w:szCs w:val="20"/>
                <w14:ligatures w14:val="none"/>
              </w:rPr>
              <w:t>Total_Inflow</w:t>
            </w:r>
            <w:proofErr w:type="spellEnd"/>
            <w:r w:rsidRPr="0016069D">
              <w:rPr>
                <w:rFonts w:ascii="Arial" w:eastAsia="Times New Roman" w:hAnsi="Arial" w:cs="Arial"/>
                <w:color w:val="000000"/>
                <w:kern w:val="0"/>
                <w:sz w:val="20"/>
                <w:szCs w:val="20"/>
                <w14:ligatures w14:val="none"/>
              </w:rPr>
              <w:t xml:space="preserve"> × 100</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BE50C19"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Inflow composition</w:t>
            </w:r>
          </w:p>
        </w:tc>
      </w:tr>
      <w:tr w:rsidR="0016069D" w:rsidRPr="0016069D" w14:paraId="6318F7D5"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410A8C3"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proofErr w:type="spellStart"/>
            <w:r w:rsidRPr="0016069D">
              <w:rPr>
                <w:rFonts w:ascii="Arial" w:eastAsia="Times New Roman" w:hAnsi="Arial" w:cs="Arial"/>
                <w:color w:val="000000"/>
                <w:kern w:val="0"/>
                <w:sz w:val="20"/>
                <w:szCs w:val="20"/>
                <w14:ligatures w14:val="none"/>
              </w:rPr>
              <w:t>Net_Counter</w:t>
            </w:r>
            <w:proofErr w:type="spellEnd"/>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E271655"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proofErr w:type="spellStart"/>
            <w:r w:rsidRPr="0016069D">
              <w:rPr>
                <w:rFonts w:ascii="Arial" w:eastAsia="Times New Roman" w:hAnsi="Arial" w:cs="Arial"/>
                <w:color w:val="000000"/>
                <w:kern w:val="0"/>
                <w:sz w:val="20"/>
                <w:szCs w:val="20"/>
                <w14:ligatures w14:val="none"/>
              </w:rPr>
              <w:t>Outflow_Wealthier</w:t>
            </w:r>
            <w:proofErr w:type="spellEnd"/>
            <w:r w:rsidRPr="0016069D">
              <w:rPr>
                <w:rFonts w:ascii="Arial" w:eastAsia="Times New Roman" w:hAnsi="Arial" w:cs="Arial"/>
                <w:color w:val="000000"/>
                <w:kern w:val="0"/>
                <w:sz w:val="20"/>
                <w:szCs w:val="20"/>
                <w14:ligatures w14:val="none"/>
              </w:rPr>
              <w:t xml:space="preserve"> − </w:t>
            </w:r>
            <w:proofErr w:type="spellStart"/>
            <w:r w:rsidRPr="0016069D">
              <w:rPr>
                <w:rFonts w:ascii="Arial" w:eastAsia="Times New Roman" w:hAnsi="Arial" w:cs="Arial"/>
                <w:color w:val="000000"/>
                <w:kern w:val="0"/>
                <w:sz w:val="20"/>
                <w:szCs w:val="20"/>
                <w14:ligatures w14:val="none"/>
              </w:rPr>
              <w:t>Inflow_Poorer</w:t>
            </w:r>
            <w:proofErr w:type="spellEnd"/>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C909E62"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Directional balance (counter)</w:t>
            </w:r>
          </w:p>
        </w:tc>
      </w:tr>
      <w:tr w:rsidR="0016069D" w:rsidRPr="0016069D" w14:paraId="35047A48" w14:textId="77777777">
        <w:trPr>
          <w:trHeight w:val="34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FE8853D"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proofErr w:type="spellStart"/>
            <w:r w:rsidRPr="0016069D">
              <w:rPr>
                <w:rFonts w:ascii="Arial" w:eastAsia="Times New Roman" w:hAnsi="Arial" w:cs="Arial"/>
                <w:color w:val="000000"/>
                <w:kern w:val="0"/>
                <w:sz w:val="20"/>
                <w:szCs w:val="20"/>
                <w14:ligatures w14:val="none"/>
              </w:rPr>
              <w:t>Counter_Churn</w:t>
            </w:r>
            <w:proofErr w:type="spellEnd"/>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64C4D5A"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proofErr w:type="spellStart"/>
            <w:r w:rsidRPr="0016069D">
              <w:rPr>
                <w:rFonts w:ascii="Arial" w:eastAsia="Times New Roman" w:hAnsi="Arial" w:cs="Arial"/>
                <w:color w:val="000000"/>
                <w:kern w:val="0"/>
                <w:sz w:val="20"/>
                <w:szCs w:val="20"/>
                <w14:ligatures w14:val="none"/>
              </w:rPr>
              <w:t>Outflow_Wealthier</w:t>
            </w:r>
            <w:proofErr w:type="spellEnd"/>
            <w:r w:rsidRPr="0016069D">
              <w:rPr>
                <w:rFonts w:ascii="Arial" w:eastAsia="Times New Roman" w:hAnsi="Arial" w:cs="Arial"/>
                <w:color w:val="000000"/>
                <w:kern w:val="0"/>
                <w:sz w:val="20"/>
                <w:szCs w:val="20"/>
                <w14:ligatures w14:val="none"/>
              </w:rPr>
              <w:t xml:space="preserve"> + </w:t>
            </w:r>
            <w:proofErr w:type="spellStart"/>
            <w:r w:rsidRPr="0016069D">
              <w:rPr>
                <w:rFonts w:ascii="Arial" w:eastAsia="Times New Roman" w:hAnsi="Arial" w:cs="Arial"/>
                <w:color w:val="000000"/>
                <w:kern w:val="0"/>
                <w:sz w:val="20"/>
                <w:szCs w:val="20"/>
                <w14:ligatures w14:val="none"/>
              </w:rPr>
              <w:t>Inflow_Poorer</w:t>
            </w:r>
            <w:proofErr w:type="spellEnd"/>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8404784"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Counter-cascade intensity</w:t>
            </w:r>
          </w:p>
        </w:tc>
      </w:tr>
      <w:tr w:rsidR="0016069D" w:rsidRPr="0016069D" w14:paraId="60AE3BD9"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7D3E225"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proofErr w:type="spellStart"/>
            <w:r w:rsidRPr="0016069D">
              <w:rPr>
                <w:rFonts w:ascii="Arial" w:eastAsia="Times New Roman" w:hAnsi="Arial" w:cs="Arial"/>
                <w:color w:val="000000"/>
                <w:kern w:val="0"/>
                <w:sz w:val="20"/>
                <w:szCs w:val="20"/>
                <w14:ligatures w14:val="none"/>
              </w:rPr>
              <w:t>Counter_Rate</w:t>
            </w:r>
            <w:proofErr w:type="spellEnd"/>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66974B94"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w:t>
            </w:r>
            <w:proofErr w:type="spellStart"/>
            <w:r w:rsidRPr="0016069D">
              <w:rPr>
                <w:rFonts w:ascii="Arial" w:eastAsia="Times New Roman" w:hAnsi="Arial" w:cs="Arial"/>
                <w:color w:val="000000"/>
                <w:kern w:val="0"/>
                <w:sz w:val="20"/>
                <w:szCs w:val="20"/>
                <w14:ligatures w14:val="none"/>
              </w:rPr>
              <w:t>Outflow_Wealthier</w:t>
            </w:r>
            <w:proofErr w:type="spellEnd"/>
            <w:r w:rsidRPr="0016069D">
              <w:rPr>
                <w:rFonts w:ascii="Arial" w:eastAsia="Times New Roman" w:hAnsi="Arial" w:cs="Arial"/>
                <w:color w:val="000000"/>
                <w:kern w:val="0"/>
                <w:sz w:val="20"/>
                <w:szCs w:val="20"/>
                <w14:ligatures w14:val="none"/>
              </w:rPr>
              <w:t xml:space="preserve"> × </w:t>
            </w:r>
            <w:proofErr w:type="spellStart"/>
            <w:r w:rsidRPr="0016069D">
              <w:rPr>
                <w:rFonts w:ascii="Arial" w:eastAsia="Times New Roman" w:hAnsi="Arial" w:cs="Arial"/>
                <w:color w:val="000000"/>
                <w:kern w:val="0"/>
                <w:sz w:val="20"/>
                <w:szCs w:val="20"/>
                <w14:ligatures w14:val="none"/>
              </w:rPr>
              <w:t>Inflow_Poorer</w:t>
            </w:r>
            <w:proofErr w:type="spellEnd"/>
            <w:r w:rsidRPr="0016069D">
              <w:rPr>
                <w:rFonts w:ascii="Arial" w:eastAsia="Times New Roman" w:hAnsi="Arial" w:cs="Arial"/>
                <w:color w:val="000000"/>
                <w:kern w:val="0"/>
                <w:sz w:val="20"/>
                <w:szCs w:val="20"/>
                <w14:ligatures w14:val="none"/>
              </w:rPr>
              <w:t xml:space="preserve">) / </w:t>
            </w:r>
            <w:proofErr w:type="spellStart"/>
            <w:r w:rsidRPr="0016069D">
              <w:rPr>
                <w:rFonts w:ascii="Arial" w:eastAsia="Times New Roman" w:hAnsi="Arial" w:cs="Arial"/>
                <w:color w:val="000000"/>
                <w:kern w:val="0"/>
                <w:sz w:val="20"/>
                <w:szCs w:val="20"/>
                <w14:ligatures w14:val="none"/>
              </w:rPr>
              <w:t>Total_Migration</w:t>
            </w:r>
            <w:proofErr w:type="spellEnd"/>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53B5810"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Counter co-occurrence</w:t>
            </w:r>
          </w:p>
        </w:tc>
      </w:tr>
      <w:tr w:rsidR="0016069D" w:rsidRPr="0016069D" w14:paraId="0A830BB4" w14:textId="77777777">
        <w:trPr>
          <w:trHeight w:val="34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73ACC1A"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proofErr w:type="spellStart"/>
            <w:r w:rsidRPr="0016069D">
              <w:rPr>
                <w:rFonts w:ascii="Arial" w:eastAsia="Times New Roman" w:hAnsi="Arial" w:cs="Arial"/>
                <w:color w:val="000000"/>
                <w:kern w:val="0"/>
                <w:sz w:val="20"/>
                <w:szCs w:val="20"/>
                <w14:ligatures w14:val="none"/>
              </w:rPr>
              <w:t>Pct_Outflow_Wealthier</w:t>
            </w:r>
            <w:proofErr w:type="spellEnd"/>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5B4B3DF"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proofErr w:type="spellStart"/>
            <w:r w:rsidRPr="0016069D">
              <w:rPr>
                <w:rFonts w:ascii="Arial" w:eastAsia="Times New Roman" w:hAnsi="Arial" w:cs="Arial"/>
                <w:color w:val="000000"/>
                <w:kern w:val="0"/>
                <w:sz w:val="20"/>
                <w:szCs w:val="20"/>
                <w14:ligatures w14:val="none"/>
              </w:rPr>
              <w:t>Outflow_Wealthier</w:t>
            </w:r>
            <w:proofErr w:type="spellEnd"/>
            <w:r w:rsidRPr="0016069D">
              <w:rPr>
                <w:rFonts w:ascii="Arial" w:eastAsia="Times New Roman" w:hAnsi="Arial" w:cs="Arial"/>
                <w:color w:val="000000"/>
                <w:kern w:val="0"/>
                <w:sz w:val="20"/>
                <w:szCs w:val="20"/>
                <w14:ligatures w14:val="none"/>
              </w:rPr>
              <w:t xml:space="preserve"> / </w:t>
            </w:r>
            <w:proofErr w:type="spellStart"/>
            <w:r w:rsidRPr="0016069D">
              <w:rPr>
                <w:rFonts w:ascii="Arial" w:eastAsia="Times New Roman" w:hAnsi="Arial" w:cs="Arial"/>
                <w:color w:val="000000"/>
                <w:kern w:val="0"/>
                <w:sz w:val="20"/>
                <w:szCs w:val="20"/>
                <w14:ligatures w14:val="none"/>
              </w:rPr>
              <w:t>Total_Outflow</w:t>
            </w:r>
            <w:proofErr w:type="spellEnd"/>
            <w:r w:rsidRPr="0016069D">
              <w:rPr>
                <w:rFonts w:ascii="Arial" w:eastAsia="Times New Roman" w:hAnsi="Arial" w:cs="Arial"/>
                <w:color w:val="000000"/>
                <w:kern w:val="0"/>
                <w:sz w:val="20"/>
                <w:szCs w:val="20"/>
                <w14:ligatures w14:val="none"/>
              </w:rPr>
              <w:t xml:space="preserve"> × 100</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0655538"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Outflow composition</w:t>
            </w:r>
          </w:p>
        </w:tc>
      </w:tr>
    </w:tbl>
    <w:p w14:paraId="6064C15E" w14:textId="77777777" w:rsidR="0016069D" w:rsidRPr="0016069D" w:rsidRDefault="0016069D" w:rsidP="0016069D">
      <w:pPr>
        <w:spacing w:before="80" w:after="200" w:line="240" w:lineRule="auto"/>
        <w:rPr>
          <w:rFonts w:ascii="Times New Roman" w:eastAsia="Times New Roman" w:hAnsi="Times New Roman" w:cs="Times New Roman"/>
          <w:kern w:val="0"/>
          <w14:ligatures w14:val="none"/>
        </w:rPr>
      </w:pPr>
      <w:r w:rsidRPr="0016069D">
        <w:rPr>
          <w:rFonts w:ascii="Arial" w:eastAsia="Times New Roman" w:hAnsi="Arial" w:cs="Arial"/>
          <w:i/>
          <w:iCs/>
          <w:color w:val="000000"/>
          <w:kern w:val="0"/>
          <w:sz w:val="20"/>
          <w:szCs w:val="20"/>
          <w14:ligatures w14:val="none"/>
        </w:rPr>
        <w:t>Table 3.1. The cascade and counter-cascade indicator suites, computed per MSOA and census period.</w:t>
      </w:r>
    </w:p>
    <w:p w14:paraId="145B3035"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 xml:space="preserve">Because balance metrics are partially constrained by hierarchy position, where the most deprived deciles cannot export downward, and the least deprived cannot receive from above, they are interpreted comparatively. Both churn metrics adapt the population-churn measure of </w:t>
      </w:r>
      <w:r w:rsidRPr="0016069D">
        <w:rPr>
          <w:rFonts w:ascii="Arial" w:eastAsia="Times New Roman" w:hAnsi="Arial" w:cs="Arial"/>
          <w:color w:val="000000"/>
          <w:kern w:val="0"/>
          <w:sz w:val="22"/>
          <w:szCs w:val="22"/>
          <w:shd w:val="clear" w:color="auto" w:fill="FFFF00"/>
          <w14:ligatures w14:val="none"/>
        </w:rPr>
        <w:t>Dennett and Stillwell (2008)</w:t>
      </w:r>
      <w:r w:rsidRPr="0016069D">
        <w:rPr>
          <w:rFonts w:ascii="Arial" w:eastAsia="Times New Roman" w:hAnsi="Arial" w:cs="Arial"/>
          <w:color w:val="000000"/>
          <w:kern w:val="0"/>
          <w:sz w:val="22"/>
          <w:szCs w:val="22"/>
          <w14:ligatures w14:val="none"/>
        </w:rPr>
        <w:t xml:space="preserve"> to hierarchy-crossing flows, while the rate metrics use a multiplicative interaction analogous to spatial-interaction models </w:t>
      </w:r>
      <w:r w:rsidRPr="0016069D">
        <w:rPr>
          <w:rFonts w:ascii="Arial" w:eastAsia="Times New Roman" w:hAnsi="Arial" w:cs="Arial"/>
          <w:color w:val="000000"/>
          <w:kern w:val="0"/>
          <w:sz w:val="22"/>
          <w:szCs w:val="22"/>
          <w:shd w:val="clear" w:color="auto" w:fill="FFFF00"/>
          <w14:ligatures w14:val="none"/>
        </w:rPr>
        <w:t>(Wilson, 1971)</w:t>
      </w:r>
      <w:r w:rsidRPr="0016069D">
        <w:rPr>
          <w:rFonts w:ascii="Arial" w:eastAsia="Times New Roman" w:hAnsi="Arial" w:cs="Arial"/>
          <w:color w:val="000000"/>
          <w:kern w:val="0"/>
          <w:sz w:val="22"/>
          <w:szCs w:val="22"/>
          <w14:ligatures w14:val="none"/>
        </w:rPr>
        <w:t xml:space="preserve">. Several candidate summary metrics were assessed for redundancy against the original indicator suite, with the full comparison reported in Appendix B. Two were retained because they capture distinct dimensions of the flow structure. </w:t>
      </w:r>
      <w:r w:rsidRPr="0016069D">
        <w:rPr>
          <w:rFonts w:ascii="Arial" w:eastAsia="Times New Roman" w:hAnsi="Arial" w:cs="Arial"/>
          <w:b/>
          <w:bCs/>
          <w:color w:val="000000"/>
          <w:kern w:val="0"/>
          <w:sz w:val="22"/>
          <w:szCs w:val="22"/>
          <w14:ligatures w14:val="none"/>
        </w:rPr>
        <w:t>“</w:t>
      </w:r>
      <w:proofErr w:type="spellStart"/>
      <w:r w:rsidRPr="0016069D">
        <w:rPr>
          <w:rFonts w:ascii="Arial" w:eastAsia="Times New Roman" w:hAnsi="Arial" w:cs="Arial"/>
          <w:b/>
          <w:bCs/>
          <w:color w:val="000000"/>
          <w:kern w:val="0"/>
          <w:sz w:val="22"/>
          <w:szCs w:val="22"/>
          <w14:ligatures w14:val="none"/>
        </w:rPr>
        <w:t>Cascade_Dominance</w:t>
      </w:r>
      <w:proofErr w:type="spellEnd"/>
      <w:r w:rsidRPr="0016069D">
        <w:rPr>
          <w:rFonts w:ascii="Arial" w:eastAsia="Times New Roman" w:hAnsi="Arial" w:cs="Arial"/>
          <w:b/>
          <w:bCs/>
          <w:color w:val="000000"/>
          <w:kern w:val="0"/>
          <w:sz w:val="22"/>
          <w:szCs w:val="22"/>
          <w14:ligatures w14:val="none"/>
        </w:rPr>
        <w:t>”</w:t>
      </w:r>
    </w:p>
    <w:p w14:paraId="09551ACD" w14:textId="77777777" w:rsidR="0016069D" w:rsidRPr="0016069D" w:rsidRDefault="0016069D" w:rsidP="0016069D">
      <w:pPr>
        <w:spacing w:line="240" w:lineRule="auto"/>
        <w:jc w:val="center"/>
        <w:rPr>
          <w:rFonts w:ascii="Times New Roman" w:eastAsia="Times New Roman" w:hAnsi="Times New Roman" w:cs="Times New Roman"/>
          <w:kern w:val="0"/>
          <w14:ligatures w14:val="none"/>
        </w:rPr>
      </w:pPr>
      <w:r w:rsidRPr="0016069D">
        <w:rPr>
          <w:rFonts w:ascii="Arial" w:eastAsia="Times New Roman" w:hAnsi="Arial" w:cs="Arial"/>
          <w:color w:val="000000"/>
          <w:kern w:val="0"/>
          <w:sz w:val="34"/>
          <w:szCs w:val="34"/>
          <w14:ligatures w14:val="none"/>
        </w:rPr>
        <w:t>CFI-</w:t>
      </w:r>
      <w:proofErr w:type="spellStart"/>
      <w:r w:rsidRPr="0016069D">
        <w:rPr>
          <w:rFonts w:ascii="Arial" w:eastAsia="Times New Roman" w:hAnsi="Arial" w:cs="Arial"/>
          <w:color w:val="000000"/>
          <w:kern w:val="0"/>
          <w:sz w:val="34"/>
          <w:szCs w:val="34"/>
          <w14:ligatures w14:val="none"/>
        </w:rPr>
        <w:t>ChurnCFI</w:t>
      </w:r>
      <w:proofErr w:type="spellEnd"/>
      <w:r w:rsidRPr="0016069D">
        <w:rPr>
          <w:rFonts w:ascii="Arial" w:eastAsia="Times New Roman" w:hAnsi="Arial" w:cs="Arial"/>
          <w:color w:val="000000"/>
          <w:kern w:val="0"/>
          <w:sz w:val="34"/>
          <w:szCs w:val="34"/>
          <w14:ligatures w14:val="none"/>
        </w:rPr>
        <w:t>-Churn + Counter-Churn</w:t>
      </w:r>
    </w:p>
    <w:p w14:paraId="20F1F122"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 xml:space="preserve">measures the proportional balance between the cascade and counter-cascade directions independently of total cross-decile flow volume. A difference-based alternative, </w:t>
      </w:r>
      <w:r w:rsidRPr="0016069D">
        <w:rPr>
          <w:rFonts w:ascii="Arial" w:eastAsia="Times New Roman" w:hAnsi="Arial" w:cs="Arial"/>
          <w:i/>
          <w:iCs/>
          <w:color w:val="000000"/>
          <w:kern w:val="0"/>
          <w:sz w:val="22"/>
          <w:szCs w:val="22"/>
          <w14:ligatures w14:val="none"/>
        </w:rPr>
        <w:t>“</w:t>
      </w:r>
      <w:proofErr w:type="spellStart"/>
      <w:r w:rsidRPr="0016069D">
        <w:rPr>
          <w:rFonts w:ascii="Arial" w:eastAsia="Times New Roman" w:hAnsi="Arial" w:cs="Arial"/>
          <w:i/>
          <w:iCs/>
          <w:color w:val="000000"/>
          <w:kern w:val="0"/>
          <w:sz w:val="22"/>
          <w:szCs w:val="22"/>
          <w14:ligatures w14:val="none"/>
        </w:rPr>
        <w:t>CFI_Churn</w:t>
      </w:r>
      <w:proofErr w:type="spellEnd"/>
      <w:r w:rsidRPr="0016069D">
        <w:rPr>
          <w:rFonts w:ascii="Arial" w:eastAsia="Times New Roman" w:hAnsi="Arial" w:cs="Arial"/>
          <w:i/>
          <w:iCs/>
          <w:color w:val="000000"/>
          <w:kern w:val="0"/>
          <w:sz w:val="22"/>
          <w:szCs w:val="22"/>
          <w14:ligatures w14:val="none"/>
        </w:rPr>
        <w:t xml:space="preserve"> - </w:t>
      </w:r>
      <w:proofErr w:type="spellStart"/>
      <w:r w:rsidRPr="0016069D">
        <w:rPr>
          <w:rFonts w:ascii="Arial" w:eastAsia="Times New Roman" w:hAnsi="Arial" w:cs="Arial"/>
          <w:i/>
          <w:iCs/>
          <w:color w:val="000000"/>
          <w:kern w:val="0"/>
          <w:sz w:val="22"/>
          <w:szCs w:val="22"/>
          <w14:ligatures w14:val="none"/>
        </w:rPr>
        <w:t>Counter_Churn</w:t>
      </w:r>
      <w:proofErr w:type="spellEnd"/>
      <w:r w:rsidRPr="0016069D">
        <w:rPr>
          <w:rFonts w:ascii="Arial" w:eastAsia="Times New Roman" w:hAnsi="Arial" w:cs="Arial"/>
          <w:i/>
          <w:iCs/>
          <w:color w:val="000000"/>
          <w:kern w:val="0"/>
          <w:sz w:val="22"/>
          <w:szCs w:val="22"/>
          <w14:ligatures w14:val="none"/>
        </w:rPr>
        <w:t>”</w:t>
      </w:r>
      <w:r w:rsidRPr="0016069D">
        <w:rPr>
          <w:rFonts w:ascii="Arial" w:eastAsia="Times New Roman" w:hAnsi="Arial" w:cs="Arial"/>
          <w:color w:val="000000"/>
          <w:kern w:val="0"/>
          <w:sz w:val="22"/>
          <w:szCs w:val="22"/>
          <w14:ligatures w14:val="none"/>
        </w:rPr>
        <w:t xml:space="preserve">, was examined as a sensitivity specification but is scale-dependent. The ratio-based measure is therefore used in the main analysis, with the full comparison reported in Appendix D. </w:t>
      </w:r>
      <w:r w:rsidRPr="0016069D">
        <w:rPr>
          <w:rFonts w:ascii="Arial" w:eastAsia="Times New Roman" w:hAnsi="Arial" w:cs="Arial"/>
          <w:b/>
          <w:bCs/>
          <w:color w:val="000000"/>
          <w:kern w:val="0"/>
          <w:sz w:val="22"/>
          <w:szCs w:val="22"/>
          <w14:ligatures w14:val="none"/>
        </w:rPr>
        <w:t>“</w:t>
      </w:r>
      <w:proofErr w:type="spellStart"/>
      <w:r w:rsidRPr="0016069D">
        <w:rPr>
          <w:rFonts w:ascii="Arial" w:eastAsia="Times New Roman" w:hAnsi="Arial" w:cs="Arial"/>
          <w:b/>
          <w:bCs/>
          <w:color w:val="000000"/>
          <w:kern w:val="0"/>
          <w:sz w:val="22"/>
          <w:szCs w:val="22"/>
          <w14:ligatures w14:val="none"/>
        </w:rPr>
        <w:t>Cross_Decile_Share</w:t>
      </w:r>
      <w:proofErr w:type="spellEnd"/>
      <w:r w:rsidRPr="0016069D">
        <w:rPr>
          <w:rFonts w:ascii="Arial" w:eastAsia="Times New Roman" w:hAnsi="Arial" w:cs="Arial"/>
          <w:b/>
          <w:bCs/>
          <w:color w:val="000000"/>
          <w:kern w:val="0"/>
          <w:sz w:val="22"/>
          <w:szCs w:val="22"/>
          <w14:ligatures w14:val="none"/>
        </w:rPr>
        <w:t>” </w:t>
      </w:r>
    </w:p>
    <w:p w14:paraId="7CBC63D7" w14:textId="77777777" w:rsidR="0016069D" w:rsidRPr="0016069D" w:rsidRDefault="0016069D" w:rsidP="0016069D">
      <w:pPr>
        <w:spacing w:line="240" w:lineRule="auto"/>
        <w:jc w:val="center"/>
        <w:rPr>
          <w:rFonts w:ascii="Times New Roman" w:eastAsia="Times New Roman" w:hAnsi="Times New Roman" w:cs="Times New Roman"/>
          <w:kern w:val="0"/>
          <w14:ligatures w14:val="none"/>
        </w:rPr>
      </w:pPr>
      <w:r w:rsidRPr="0016069D">
        <w:rPr>
          <w:rFonts w:ascii="Arial" w:eastAsia="Times New Roman" w:hAnsi="Arial" w:cs="Arial"/>
          <w:color w:val="000000"/>
          <w:kern w:val="0"/>
          <w:sz w:val="34"/>
          <w:szCs w:val="34"/>
          <w14:ligatures w14:val="none"/>
        </w:rPr>
        <w:t>CFI-Churn + Counter-</w:t>
      </w:r>
      <w:proofErr w:type="spellStart"/>
      <w:r w:rsidRPr="0016069D">
        <w:rPr>
          <w:rFonts w:ascii="Arial" w:eastAsia="Times New Roman" w:hAnsi="Arial" w:cs="Arial"/>
          <w:color w:val="000000"/>
          <w:kern w:val="0"/>
          <w:sz w:val="34"/>
          <w:szCs w:val="34"/>
          <w14:ligatures w14:val="none"/>
        </w:rPr>
        <w:t>ChurnTotal</w:t>
      </w:r>
      <w:proofErr w:type="spellEnd"/>
      <w:r w:rsidRPr="0016069D">
        <w:rPr>
          <w:rFonts w:ascii="Arial" w:eastAsia="Times New Roman" w:hAnsi="Arial" w:cs="Arial"/>
          <w:color w:val="000000"/>
          <w:kern w:val="0"/>
          <w:sz w:val="34"/>
          <w:szCs w:val="34"/>
          <w14:ligatures w14:val="none"/>
        </w:rPr>
        <w:t>-Migration</w:t>
      </w:r>
    </w:p>
    <w:p w14:paraId="624F1BAD"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 xml:space="preserve">quantifies the proportion of all migration that crosses the deprivation hierarchy. A sign-concordance flag additionally identifies MSOAs whose </w:t>
      </w:r>
      <w:r w:rsidRPr="0016069D">
        <w:rPr>
          <w:rFonts w:ascii="Arial" w:eastAsia="Times New Roman" w:hAnsi="Arial" w:cs="Arial"/>
          <w:b/>
          <w:bCs/>
          <w:color w:val="000000"/>
          <w:kern w:val="0"/>
          <w:sz w:val="22"/>
          <w:szCs w:val="22"/>
          <w14:ligatures w14:val="none"/>
        </w:rPr>
        <w:t>“</w:t>
      </w:r>
      <w:proofErr w:type="spellStart"/>
      <w:r w:rsidRPr="0016069D">
        <w:rPr>
          <w:rFonts w:ascii="Arial" w:eastAsia="Times New Roman" w:hAnsi="Arial" w:cs="Arial"/>
          <w:b/>
          <w:bCs/>
          <w:color w:val="000000"/>
          <w:kern w:val="0"/>
          <w:sz w:val="22"/>
          <w:szCs w:val="22"/>
          <w14:ligatures w14:val="none"/>
        </w:rPr>
        <w:t>Net_Cascade</w:t>
      </w:r>
      <w:proofErr w:type="spellEnd"/>
      <w:r w:rsidRPr="0016069D">
        <w:rPr>
          <w:rFonts w:ascii="Arial" w:eastAsia="Times New Roman" w:hAnsi="Arial" w:cs="Arial"/>
          <w:b/>
          <w:bCs/>
          <w:color w:val="000000"/>
          <w:kern w:val="0"/>
          <w:sz w:val="22"/>
          <w:szCs w:val="22"/>
          <w14:ligatures w14:val="none"/>
        </w:rPr>
        <w:t>”</w:t>
      </w:r>
      <w:r w:rsidRPr="0016069D">
        <w:rPr>
          <w:rFonts w:ascii="Arial" w:eastAsia="Times New Roman" w:hAnsi="Arial" w:cs="Arial"/>
          <w:color w:val="000000"/>
          <w:kern w:val="0"/>
          <w:sz w:val="22"/>
          <w:szCs w:val="22"/>
          <w14:ligatures w14:val="none"/>
        </w:rPr>
        <w:t xml:space="preserve"> and </w:t>
      </w:r>
      <w:r w:rsidRPr="0016069D">
        <w:rPr>
          <w:rFonts w:ascii="Arial" w:eastAsia="Times New Roman" w:hAnsi="Arial" w:cs="Arial"/>
          <w:b/>
          <w:bCs/>
          <w:color w:val="000000"/>
          <w:kern w:val="0"/>
          <w:sz w:val="22"/>
          <w:szCs w:val="22"/>
          <w14:ligatures w14:val="none"/>
        </w:rPr>
        <w:t>“</w:t>
      </w:r>
      <w:proofErr w:type="spellStart"/>
      <w:r w:rsidRPr="0016069D">
        <w:rPr>
          <w:rFonts w:ascii="Arial" w:eastAsia="Times New Roman" w:hAnsi="Arial" w:cs="Arial"/>
          <w:b/>
          <w:bCs/>
          <w:color w:val="000000"/>
          <w:kern w:val="0"/>
          <w:sz w:val="22"/>
          <w:szCs w:val="22"/>
          <w14:ligatures w14:val="none"/>
        </w:rPr>
        <w:t>Net_Counter</w:t>
      </w:r>
      <w:proofErr w:type="spellEnd"/>
      <w:r w:rsidRPr="0016069D">
        <w:rPr>
          <w:rFonts w:ascii="Arial" w:eastAsia="Times New Roman" w:hAnsi="Arial" w:cs="Arial"/>
          <w:b/>
          <w:bCs/>
          <w:color w:val="000000"/>
          <w:kern w:val="0"/>
          <w:sz w:val="22"/>
          <w:szCs w:val="22"/>
          <w14:ligatures w14:val="none"/>
        </w:rPr>
        <w:t>”</w:t>
      </w:r>
      <w:r w:rsidRPr="0016069D">
        <w:rPr>
          <w:rFonts w:ascii="Arial" w:eastAsia="Times New Roman" w:hAnsi="Arial" w:cs="Arial"/>
          <w:color w:val="000000"/>
          <w:kern w:val="0"/>
          <w:sz w:val="22"/>
          <w:szCs w:val="22"/>
          <w14:ligatures w14:val="none"/>
        </w:rPr>
        <w:t xml:space="preserve"> balances have opposing signs. These cases are examined separately in Appendix C.</w:t>
      </w:r>
    </w:p>
    <w:p w14:paraId="0FE59D55" w14:textId="77777777" w:rsidR="0016069D" w:rsidRPr="0016069D" w:rsidRDefault="0016069D" w:rsidP="0016069D">
      <w:pPr>
        <w:spacing w:before="300" w:line="240" w:lineRule="auto"/>
        <w:outlineLvl w:val="1"/>
        <w:rPr>
          <w:rFonts w:ascii="Times New Roman" w:eastAsia="Times New Roman" w:hAnsi="Times New Roman" w:cs="Times New Roman"/>
          <w:b/>
          <w:bCs/>
          <w:kern w:val="0"/>
          <w:sz w:val="36"/>
          <w:szCs w:val="36"/>
          <w14:ligatures w14:val="none"/>
        </w:rPr>
      </w:pPr>
      <w:r w:rsidRPr="0016069D">
        <w:rPr>
          <w:rFonts w:ascii="Arial" w:eastAsia="Times New Roman" w:hAnsi="Arial" w:cs="Arial"/>
          <w:b/>
          <w:bCs/>
          <w:color w:val="000000"/>
          <w:kern w:val="0"/>
          <w:sz w:val="34"/>
          <w:szCs w:val="34"/>
          <w14:ligatures w14:val="none"/>
        </w:rPr>
        <w:lastRenderedPageBreak/>
        <w:t>3.8 Flow-Regime Typology</w:t>
      </w:r>
    </w:p>
    <w:p w14:paraId="76D1856A"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The two derived metrics define a flow typology that classifies every MSOA by the direction and intensity of its hierarchical migration (Table 3.2).</w:t>
      </w:r>
    </w:p>
    <w:tbl>
      <w:tblPr>
        <w:tblW w:w="0" w:type="auto"/>
        <w:tblCellMar>
          <w:top w:w="15" w:type="dxa"/>
          <w:left w:w="15" w:type="dxa"/>
          <w:bottom w:w="15" w:type="dxa"/>
          <w:right w:w="15" w:type="dxa"/>
        </w:tblCellMar>
        <w:tblLook w:val="04A0" w:firstRow="1" w:lastRow="0" w:firstColumn="1" w:lastColumn="0" w:noHBand="0" w:noVBand="1"/>
      </w:tblPr>
      <w:tblGrid>
        <w:gridCol w:w="1250"/>
        <w:gridCol w:w="3050"/>
        <w:gridCol w:w="4710"/>
      </w:tblGrid>
      <w:tr w:rsidR="0016069D" w:rsidRPr="0016069D" w14:paraId="6379DB4A" w14:textId="77777777">
        <w:trPr>
          <w:trHeight w:val="375"/>
        </w:trPr>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5EF834E8"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b/>
                <w:bCs/>
                <w:color w:val="000000"/>
                <w:kern w:val="0"/>
                <w:sz w:val="20"/>
                <w:szCs w:val="20"/>
                <w14:ligatures w14:val="none"/>
              </w:rPr>
              <w:t>Type</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73129CCB"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b/>
                <w:bCs/>
                <w:color w:val="000000"/>
                <w:kern w:val="0"/>
                <w:sz w:val="20"/>
                <w:szCs w:val="20"/>
                <w14:ligatures w14:val="none"/>
              </w:rPr>
              <w:t>Rule</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2C1602E5"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b/>
                <w:bCs/>
                <w:color w:val="000000"/>
                <w:kern w:val="0"/>
                <w:sz w:val="20"/>
                <w:szCs w:val="20"/>
                <w14:ligatures w14:val="none"/>
              </w:rPr>
              <w:t>Interpretation</w:t>
            </w:r>
          </w:p>
        </w:tc>
      </w:tr>
      <w:tr w:rsidR="0016069D" w:rsidRPr="0016069D" w14:paraId="69512442"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4DE8664"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Lateral</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7D6825E"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Cross-Decile Share below the 25th percentile</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B543A65"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Migration rarely crosses decile boundaries</w:t>
            </w:r>
          </w:p>
        </w:tc>
      </w:tr>
      <w:tr w:rsidR="0016069D" w:rsidRPr="0016069D" w14:paraId="12DA2CF2"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68E8E3A5"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Cascade-led</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97231D1"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Cascade Dominance &gt; 0.52</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CEE08F3"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The flow signature classically equated with gentrification pressure</w:t>
            </w:r>
          </w:p>
        </w:tc>
      </w:tr>
      <w:tr w:rsidR="0016069D" w:rsidRPr="0016069D" w14:paraId="77DBA652"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6FAEB26"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Counter-led</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31BE339"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Cascade Dominance &lt; 0.48</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FE8FA6B"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Upward-directed departures and/or inflows from more deprived areas prevail</w:t>
            </w:r>
          </w:p>
        </w:tc>
      </w:tr>
      <w:tr w:rsidR="0016069D" w:rsidRPr="0016069D" w14:paraId="69868A6F"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088949F"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Symmetric</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2BA62C4"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0.48 ≤ Cascade Dominance ≤ 0.52</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36BCC39"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Deprivation-crossing flows roughly balanced</w:t>
            </w:r>
          </w:p>
        </w:tc>
      </w:tr>
    </w:tbl>
    <w:p w14:paraId="6979BB75" w14:textId="77777777" w:rsidR="0016069D" w:rsidRPr="0016069D" w:rsidRDefault="0016069D" w:rsidP="0016069D">
      <w:pPr>
        <w:spacing w:before="80" w:after="200" w:line="240" w:lineRule="auto"/>
        <w:rPr>
          <w:rFonts w:ascii="Times New Roman" w:eastAsia="Times New Roman" w:hAnsi="Times New Roman" w:cs="Times New Roman"/>
          <w:kern w:val="0"/>
          <w14:ligatures w14:val="none"/>
        </w:rPr>
      </w:pPr>
      <w:r w:rsidRPr="0016069D">
        <w:rPr>
          <w:rFonts w:ascii="Arial" w:eastAsia="Times New Roman" w:hAnsi="Arial" w:cs="Arial"/>
          <w:i/>
          <w:iCs/>
          <w:color w:val="000000"/>
          <w:kern w:val="0"/>
          <w:sz w:val="20"/>
          <w:szCs w:val="20"/>
          <w14:ligatures w14:val="none"/>
        </w:rPr>
        <w:t>Table 3.2. Flow-regime typology. The Lateral rule is applied first; the direction dominance rules classify the remainder.</w:t>
      </w:r>
    </w:p>
    <w:p w14:paraId="7E19705C"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The symmetric band (±0.02 around the midline) and the 25th-percentile Cross-Decile Share threshold define the baseline specification. Under alternative reference frames (Section 3.9), the Cross-Decile Share percentile is recalculated within each frame, while the 20 MSOAs with no hierarchy-crossing flows in 2021 are assigned a distinct “Suppressed” label and excluded from the percentile calculation.</w:t>
      </w:r>
    </w:p>
    <w:p w14:paraId="30F8791A"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The typology also provides the point at which the strict hierarchy-crossing definition (Section 3.6) is tested. Allowing same-decile outflows only within the cascade direction substantially increases “Cascade-led” neighbourhoods by expanding one side of the dominance ratio, whereas allowing same-decile outflows in both directions removed the “Lateral” regime altogether. As neither alternative preserves the distinction between downward and lateral restructuring, the hierarchy-crossing definition is retained (Appendix D).</w:t>
      </w:r>
    </w:p>
    <w:p w14:paraId="474AA1B4"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 xml:space="preserve">By construction, the typology is </w:t>
      </w:r>
      <w:proofErr w:type="gramStart"/>
      <w:r w:rsidRPr="0016069D">
        <w:rPr>
          <w:rFonts w:ascii="Arial" w:eastAsia="Times New Roman" w:hAnsi="Arial" w:cs="Arial"/>
          <w:color w:val="000000"/>
          <w:kern w:val="0"/>
          <w:sz w:val="22"/>
          <w:szCs w:val="22"/>
          <w14:ligatures w14:val="none"/>
        </w:rPr>
        <w:t>flow-centred</w:t>
      </w:r>
      <w:proofErr w:type="gramEnd"/>
      <w:r w:rsidRPr="0016069D">
        <w:rPr>
          <w:rFonts w:ascii="Arial" w:eastAsia="Times New Roman" w:hAnsi="Arial" w:cs="Arial"/>
          <w:color w:val="000000"/>
          <w:kern w:val="0"/>
          <w:sz w:val="22"/>
          <w:szCs w:val="22"/>
          <w14:ligatures w14:val="none"/>
        </w:rPr>
        <w:t>. Neighbourhoods are classified solely by hierarchy-crossing migration. Whether Cascade-led neighbourhoods correspond to gentrification is evaluated in the validation stage.</w:t>
      </w:r>
    </w:p>
    <w:p w14:paraId="152A4644" w14:textId="77777777" w:rsidR="0016069D" w:rsidRPr="0016069D" w:rsidRDefault="0016069D" w:rsidP="0016069D">
      <w:pPr>
        <w:spacing w:before="300" w:line="240" w:lineRule="auto"/>
        <w:outlineLvl w:val="1"/>
        <w:rPr>
          <w:rFonts w:ascii="Times New Roman" w:eastAsia="Times New Roman" w:hAnsi="Times New Roman" w:cs="Times New Roman"/>
          <w:b/>
          <w:bCs/>
          <w:kern w:val="0"/>
          <w:sz w:val="36"/>
          <w:szCs w:val="36"/>
          <w14:ligatures w14:val="none"/>
        </w:rPr>
      </w:pPr>
      <w:r w:rsidRPr="0016069D">
        <w:rPr>
          <w:rFonts w:ascii="Arial" w:eastAsia="Times New Roman" w:hAnsi="Arial" w:cs="Arial"/>
          <w:b/>
          <w:bCs/>
          <w:color w:val="000000"/>
          <w:kern w:val="0"/>
          <w:sz w:val="34"/>
          <w:szCs w:val="34"/>
          <w14:ligatures w14:val="none"/>
        </w:rPr>
        <w:t>3.9 Reference-Frame Design: Isolating Boundary Effects</w:t>
      </w:r>
    </w:p>
    <w:p w14:paraId="11D66A4F"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The metrics and typology are so far defined for London-internal migration on a London-relative deprivation hierarchy. This combines two analytical decisions, ranking neighbourhoods against London rather than England and Wales, and discarding flows crossing London’s boundary. A direct London-national comparison would therefore confound changes in the reference hierarchy with the inclusion of external flows. To separate these effects, all metrics and the typology are computed under three reference frames (Table 3.3).</w:t>
      </w:r>
    </w:p>
    <w:tbl>
      <w:tblPr>
        <w:tblW w:w="0" w:type="auto"/>
        <w:tblCellMar>
          <w:top w:w="15" w:type="dxa"/>
          <w:left w:w="15" w:type="dxa"/>
          <w:bottom w:w="15" w:type="dxa"/>
          <w:right w:w="15" w:type="dxa"/>
        </w:tblCellMar>
        <w:tblLook w:val="04A0" w:firstRow="1" w:lastRow="0" w:firstColumn="1" w:lastColumn="0" w:noHBand="0" w:noVBand="1"/>
      </w:tblPr>
      <w:tblGrid>
        <w:gridCol w:w="801"/>
        <w:gridCol w:w="3217"/>
        <w:gridCol w:w="2314"/>
        <w:gridCol w:w="2678"/>
      </w:tblGrid>
      <w:tr w:rsidR="0016069D" w:rsidRPr="0016069D" w14:paraId="5F03F977" w14:textId="77777777">
        <w:trPr>
          <w:trHeight w:val="375"/>
        </w:trPr>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69B916BD"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b/>
                <w:bCs/>
                <w:color w:val="000000"/>
                <w:kern w:val="0"/>
                <w:sz w:val="20"/>
                <w:szCs w:val="20"/>
                <w14:ligatures w14:val="none"/>
              </w:rPr>
              <w:t>Frame</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7CAA39C8"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b/>
                <w:bCs/>
                <w:color w:val="000000"/>
                <w:kern w:val="0"/>
                <w:sz w:val="20"/>
                <w:szCs w:val="20"/>
                <w14:ligatures w14:val="none"/>
              </w:rPr>
              <w:t>Flows included</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2977A7CB"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b/>
                <w:bCs/>
                <w:color w:val="000000"/>
                <w:kern w:val="0"/>
                <w:sz w:val="20"/>
                <w:szCs w:val="20"/>
                <w14:ligatures w14:val="none"/>
              </w:rPr>
              <w:t>Decile ladder</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6E6CCD11"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b/>
                <w:bCs/>
                <w:color w:val="000000"/>
                <w:kern w:val="0"/>
                <w:sz w:val="20"/>
                <w:szCs w:val="20"/>
                <w14:ligatures w14:val="none"/>
              </w:rPr>
              <w:t>Role</w:t>
            </w:r>
          </w:p>
        </w:tc>
      </w:tr>
      <w:tr w:rsidR="0016069D" w:rsidRPr="0016069D" w14:paraId="19729DAF" w14:textId="77777777">
        <w:trPr>
          <w:trHeight w:val="34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6862079"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A</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2989E6B"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London-internal only</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4024E41"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London-relative (982 MSOAs)</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780F639"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Core analytical lens</w:t>
            </w:r>
          </w:p>
        </w:tc>
      </w:tr>
      <w:tr w:rsidR="0016069D" w:rsidRPr="0016069D" w14:paraId="56184AA5"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D180628"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lastRenderedPageBreak/>
              <w:t>B</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DB12696"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London-internal only</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0224494"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National (~6,800 MSOAs)</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DAD8D74"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Isolates the reclassification effect</w:t>
            </w:r>
          </w:p>
        </w:tc>
      </w:tr>
      <w:tr w:rsidR="0016069D" w:rsidRPr="0016069D" w14:paraId="7BD0EB3C"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CF47BEC"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C</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A4300B9"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London-internal + London-touching external</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77F99F1"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National (~6,800 MSOAs)</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5417922"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0"/>
                <w:szCs w:val="20"/>
                <w14:ligatures w14:val="none"/>
              </w:rPr>
              <w:t>Adds the external-flow effect</w:t>
            </w:r>
          </w:p>
        </w:tc>
      </w:tr>
    </w:tbl>
    <w:p w14:paraId="18DD4D7E" w14:textId="77777777" w:rsidR="0016069D" w:rsidRPr="0016069D" w:rsidRDefault="0016069D" w:rsidP="0016069D">
      <w:pPr>
        <w:spacing w:before="80" w:after="200" w:line="240" w:lineRule="auto"/>
        <w:rPr>
          <w:rFonts w:ascii="Times New Roman" w:eastAsia="Times New Roman" w:hAnsi="Times New Roman" w:cs="Times New Roman"/>
          <w:kern w:val="0"/>
          <w14:ligatures w14:val="none"/>
        </w:rPr>
      </w:pPr>
      <w:r w:rsidRPr="0016069D">
        <w:rPr>
          <w:rFonts w:ascii="Arial" w:eastAsia="Times New Roman" w:hAnsi="Arial" w:cs="Arial"/>
          <w:i/>
          <w:iCs/>
          <w:color w:val="000000"/>
          <w:kern w:val="0"/>
          <w:sz w:val="20"/>
          <w:szCs w:val="20"/>
          <w14:ligatures w14:val="none"/>
        </w:rPr>
        <w:t>Table 3.3. The three-frame design. Reclassification effect = B − A; external-flow effect = C − B; total = C − A.</w:t>
      </w:r>
    </w:p>
    <w:p w14:paraId="7CF29570"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Frame B replaces the London hierarchy with the national hierarchy while holding flows constant, isolating reclassification. Frame C then adds boundary-crossing flows while holding the hierarchy constant, isolating boundary effects.</w:t>
      </w:r>
    </w:p>
    <w:p w14:paraId="015BF283"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In Frame C, all non-London areas are represented by the synthetic external node introduced in Section 3.4, assigned the population-weighted mean national deprivation decile of non-London MSOAs (Decile ≈ 5.67) as Decile 6, a simplification validated by the flow-weighted diagnostic described there. Because ~69% of London MSOAs sit below Decile 6 on the national hierarchy (Section 3.5), most external inflows are classified as cascade flows and most external outflows as counter-cascade flows. Frame A remains the primary analytical perspective, in which moving up and down within London retains its substantive meaning. The external node is then a flow partner, and results are reported for all London MSOAs only.</w:t>
      </w:r>
    </w:p>
    <w:p w14:paraId="3F7332A1" w14:textId="77777777" w:rsidR="0016069D" w:rsidRPr="0016069D" w:rsidRDefault="0016069D" w:rsidP="0016069D">
      <w:pPr>
        <w:spacing w:before="300" w:line="240" w:lineRule="auto"/>
        <w:outlineLvl w:val="1"/>
        <w:rPr>
          <w:rFonts w:ascii="Times New Roman" w:eastAsia="Times New Roman" w:hAnsi="Times New Roman" w:cs="Times New Roman"/>
          <w:b/>
          <w:bCs/>
          <w:kern w:val="0"/>
          <w:sz w:val="36"/>
          <w:szCs w:val="36"/>
          <w14:ligatures w14:val="none"/>
        </w:rPr>
      </w:pPr>
      <w:r w:rsidRPr="0016069D">
        <w:rPr>
          <w:rFonts w:ascii="Arial" w:eastAsia="Times New Roman" w:hAnsi="Arial" w:cs="Arial"/>
          <w:b/>
          <w:bCs/>
          <w:color w:val="000000"/>
          <w:kern w:val="0"/>
          <w:sz w:val="34"/>
          <w:szCs w:val="34"/>
          <w14:ligatures w14:val="none"/>
        </w:rPr>
        <w:t>3.10 The Time-Symmetric Mechanism Tree</w:t>
      </w:r>
    </w:p>
    <w:p w14:paraId="416A1651"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The frame analysis exposes a final classification problem. Frame C “Casacde-led” MSOAs combine distinct generating processes that must be separated for meaningful comparison. This is achieved with a time symmetric mechanism tree, which classifies each census independently. Every leaf is defined by a measurable flow property, and no branch depends on the census year. This separation therefore removes the definitional asymmetry of an earlier design in which the genuine cascade profile was derived from the 2011 comparison and the exodus profile from the 2021 anomaly.</w:t>
      </w:r>
    </w:p>
    <w:p w14:paraId="1DE6FFD6"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 xml:space="preserve">Each Frame C “Cascade-led” MSOA is first classified by its </w:t>
      </w:r>
      <w:r w:rsidRPr="0016069D">
        <w:rPr>
          <w:rFonts w:ascii="Arial" w:eastAsia="Times New Roman" w:hAnsi="Arial" w:cs="Arial"/>
          <w:b/>
          <w:bCs/>
          <w:color w:val="000000"/>
          <w:kern w:val="0"/>
          <w:sz w:val="22"/>
          <w:szCs w:val="22"/>
          <w14:ligatures w14:val="none"/>
        </w:rPr>
        <w:t>cascade-inflow-share</w:t>
      </w:r>
      <w:r w:rsidRPr="0016069D">
        <w:rPr>
          <w:rFonts w:ascii="Arial" w:eastAsia="Times New Roman" w:hAnsi="Arial" w:cs="Arial"/>
          <w:color w:val="000000"/>
          <w:kern w:val="0"/>
          <w:sz w:val="22"/>
          <w:szCs w:val="22"/>
          <w14:ligatures w14:val="none"/>
        </w:rPr>
        <w:t>, defined as the proportion of cascade churn contributed by arrivals (</w:t>
      </w:r>
      <w:proofErr w:type="spellStart"/>
      <w:r w:rsidRPr="0016069D">
        <w:rPr>
          <w:rFonts w:ascii="Arial" w:eastAsia="Times New Roman" w:hAnsi="Arial" w:cs="Arial"/>
          <w:color w:val="000000"/>
          <w:kern w:val="0"/>
          <w:sz w:val="22"/>
          <w:szCs w:val="22"/>
          <w14:ligatures w14:val="none"/>
        </w:rPr>
        <w:t>Inflow_Wealthier</w:t>
      </w:r>
      <w:proofErr w:type="spellEnd"/>
      <w:r w:rsidRPr="0016069D">
        <w:rPr>
          <w:rFonts w:ascii="Arial" w:eastAsia="Times New Roman" w:hAnsi="Arial" w:cs="Arial"/>
          <w:color w:val="000000"/>
          <w:kern w:val="0"/>
          <w:sz w:val="22"/>
          <w:szCs w:val="22"/>
          <w14:ligatures w14:val="none"/>
        </w:rPr>
        <w:t xml:space="preserve"> / (</w:t>
      </w:r>
      <w:proofErr w:type="spellStart"/>
      <w:r w:rsidRPr="0016069D">
        <w:rPr>
          <w:rFonts w:ascii="Arial" w:eastAsia="Times New Roman" w:hAnsi="Arial" w:cs="Arial"/>
          <w:color w:val="000000"/>
          <w:kern w:val="0"/>
          <w:sz w:val="22"/>
          <w:szCs w:val="22"/>
          <w14:ligatures w14:val="none"/>
        </w:rPr>
        <w:t>Inflow_Wealthier</w:t>
      </w:r>
      <w:proofErr w:type="spellEnd"/>
      <w:r w:rsidRPr="0016069D">
        <w:rPr>
          <w:rFonts w:ascii="Arial" w:eastAsia="Times New Roman" w:hAnsi="Arial" w:cs="Arial"/>
          <w:color w:val="000000"/>
          <w:kern w:val="0"/>
          <w:sz w:val="22"/>
          <w:szCs w:val="22"/>
          <w14:ligatures w14:val="none"/>
        </w:rPr>
        <w:t xml:space="preserve"> + </w:t>
      </w:r>
      <w:proofErr w:type="spellStart"/>
      <w:r w:rsidRPr="0016069D">
        <w:rPr>
          <w:rFonts w:ascii="Arial" w:eastAsia="Times New Roman" w:hAnsi="Arial" w:cs="Arial"/>
          <w:color w:val="000000"/>
          <w:kern w:val="0"/>
          <w:sz w:val="22"/>
          <w:szCs w:val="22"/>
          <w14:ligatures w14:val="none"/>
        </w:rPr>
        <w:t>Outflow_Poorer</w:t>
      </w:r>
      <w:proofErr w:type="spellEnd"/>
      <w:r w:rsidRPr="0016069D">
        <w:rPr>
          <w:rFonts w:ascii="Arial" w:eastAsia="Times New Roman" w:hAnsi="Arial" w:cs="Arial"/>
          <w:color w:val="000000"/>
          <w:kern w:val="0"/>
          <w:sz w:val="22"/>
          <w:szCs w:val="22"/>
          <w14:ligatures w14:val="none"/>
        </w:rPr>
        <w:t xml:space="preserve">)). MSOAs with a cascade-inflow-share above 0.25 are classified as inflow-led and are then divided into an </w:t>
      </w:r>
      <w:r w:rsidRPr="0016069D">
        <w:rPr>
          <w:rFonts w:ascii="Arial" w:eastAsia="Times New Roman" w:hAnsi="Arial" w:cs="Arial"/>
          <w:b/>
          <w:bCs/>
          <w:color w:val="000000"/>
          <w:kern w:val="0"/>
          <w:sz w:val="22"/>
          <w:szCs w:val="22"/>
          <w14:ligatures w14:val="none"/>
        </w:rPr>
        <w:t>inflow-driven</w:t>
      </w:r>
      <w:r w:rsidRPr="0016069D">
        <w:rPr>
          <w:rFonts w:ascii="Arial" w:eastAsia="Times New Roman" w:hAnsi="Arial" w:cs="Arial"/>
          <w:color w:val="000000"/>
          <w:kern w:val="0"/>
          <w:sz w:val="22"/>
          <w:szCs w:val="22"/>
          <w14:ligatures w14:val="none"/>
        </w:rPr>
        <w:t xml:space="preserve"> leaf, which is also “Cascade-led” under Frame A and is therefore frame robust, and a </w:t>
      </w:r>
      <w:r w:rsidRPr="0016069D">
        <w:rPr>
          <w:rFonts w:ascii="Arial" w:eastAsia="Times New Roman" w:hAnsi="Arial" w:cs="Arial"/>
          <w:b/>
          <w:bCs/>
          <w:color w:val="000000"/>
          <w:kern w:val="0"/>
          <w:sz w:val="22"/>
          <w:szCs w:val="22"/>
          <w14:ligatures w14:val="none"/>
        </w:rPr>
        <w:t xml:space="preserve">frame-sensitive residual </w:t>
      </w:r>
      <w:r w:rsidRPr="0016069D">
        <w:rPr>
          <w:rFonts w:ascii="Arial" w:eastAsia="Times New Roman" w:hAnsi="Arial" w:cs="Arial"/>
          <w:color w:val="000000"/>
          <w:kern w:val="0"/>
          <w:sz w:val="22"/>
          <w:szCs w:val="22"/>
          <w14:ligatures w14:val="none"/>
        </w:rPr>
        <w:t>leaf. MSOAs with a cascade inflow share below 0.25 are classified as outflow-</w:t>
      </w:r>
      <w:proofErr w:type="gramStart"/>
      <w:r w:rsidRPr="0016069D">
        <w:rPr>
          <w:rFonts w:ascii="Arial" w:eastAsia="Times New Roman" w:hAnsi="Arial" w:cs="Arial"/>
          <w:color w:val="000000"/>
          <w:kern w:val="0"/>
          <w:sz w:val="22"/>
          <w:szCs w:val="22"/>
          <w14:ligatures w14:val="none"/>
        </w:rPr>
        <w:t>dominated, and</w:t>
      </w:r>
      <w:proofErr w:type="gramEnd"/>
      <w:r w:rsidRPr="0016069D">
        <w:rPr>
          <w:rFonts w:ascii="Arial" w:eastAsia="Times New Roman" w:hAnsi="Arial" w:cs="Arial"/>
          <w:color w:val="000000"/>
          <w:kern w:val="0"/>
          <w:sz w:val="22"/>
          <w:szCs w:val="22"/>
          <w14:ligatures w14:val="none"/>
        </w:rPr>
        <w:t xml:space="preserve"> are further divided by the </w:t>
      </w:r>
      <w:r w:rsidRPr="0016069D">
        <w:rPr>
          <w:rFonts w:ascii="Arial" w:eastAsia="Times New Roman" w:hAnsi="Arial" w:cs="Arial"/>
          <w:b/>
          <w:bCs/>
          <w:color w:val="000000"/>
          <w:kern w:val="0"/>
          <w:sz w:val="22"/>
          <w:szCs w:val="22"/>
          <w14:ligatures w14:val="none"/>
        </w:rPr>
        <w:t>external-arm-share</w:t>
      </w:r>
      <w:r w:rsidRPr="0016069D">
        <w:rPr>
          <w:rFonts w:ascii="Arial" w:eastAsia="Times New Roman" w:hAnsi="Arial" w:cs="Arial"/>
          <w:color w:val="000000"/>
          <w:kern w:val="0"/>
          <w:sz w:val="22"/>
          <w:szCs w:val="22"/>
          <w14:ligatures w14:val="none"/>
        </w:rPr>
        <w:t xml:space="preserve">, defined as the proportion of the poorer directed outflow arm entering the external node. An external-arm-share above 0.5 defines the </w:t>
      </w:r>
      <w:r w:rsidRPr="0016069D">
        <w:rPr>
          <w:rFonts w:ascii="Arial" w:eastAsia="Times New Roman" w:hAnsi="Arial" w:cs="Arial"/>
          <w:b/>
          <w:bCs/>
          <w:color w:val="000000"/>
          <w:kern w:val="0"/>
          <w:sz w:val="22"/>
          <w:szCs w:val="22"/>
          <w14:ligatures w14:val="none"/>
        </w:rPr>
        <w:t>outflow-external-majority</w:t>
      </w:r>
      <w:r w:rsidRPr="0016069D">
        <w:rPr>
          <w:rFonts w:ascii="Arial" w:eastAsia="Times New Roman" w:hAnsi="Arial" w:cs="Arial"/>
          <w:color w:val="000000"/>
          <w:kern w:val="0"/>
          <w:sz w:val="22"/>
          <w:szCs w:val="22"/>
          <w14:ligatures w14:val="none"/>
        </w:rPr>
        <w:t xml:space="preserve"> leaf, while a smaller share defines the </w:t>
      </w:r>
      <w:r w:rsidRPr="0016069D">
        <w:rPr>
          <w:rFonts w:ascii="Arial" w:eastAsia="Times New Roman" w:hAnsi="Arial" w:cs="Arial"/>
          <w:b/>
          <w:bCs/>
          <w:color w:val="000000"/>
          <w:kern w:val="0"/>
          <w:sz w:val="22"/>
          <w:szCs w:val="22"/>
          <w14:ligatures w14:val="none"/>
        </w:rPr>
        <w:t>outflow-internal-majority</w:t>
      </w:r>
      <w:r w:rsidRPr="0016069D">
        <w:rPr>
          <w:rFonts w:ascii="Arial" w:eastAsia="Times New Roman" w:hAnsi="Arial" w:cs="Arial"/>
          <w:color w:val="000000"/>
          <w:kern w:val="0"/>
          <w:sz w:val="22"/>
          <w:szCs w:val="22"/>
          <w14:ligatures w14:val="none"/>
        </w:rPr>
        <w:t xml:space="preserve"> leaf. The external-arm-share is defined only for MSOAs above national Decile 6, because the external node is poorer only from above. This restriction is verified to have no material effect.</w:t>
      </w:r>
    </w:p>
    <w:p w14:paraId="41F1897C"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The tree defines only measurable flow classes. Narrative labels are applied afterwards as interpretations rather than forming part of the classification itself. Thus, labels such as genuine cascade and exodus describe combinations of classified inflow properties, rather than additional decision rules.</w:t>
      </w:r>
    </w:p>
    <w:p w14:paraId="6A344498"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 xml:space="preserve">The two thresholds are justified on deliberately different grounds. The cascade-inflow-share threshold of 0.25 is determined by data. Among frame robust “Cascade-led” MSOAs, the cascade-inflow-share distribution is bimodal, with the two modes separated by an interval that is empty in both censuses independently. Any threshold within this common gap therefore produces an identical classification, whereas the threshold of 0.5 would be conceptually inappropriate because the chain-displacement mechanism proposed by </w:t>
      </w:r>
      <w:r w:rsidRPr="0016069D">
        <w:rPr>
          <w:rFonts w:ascii="Arial" w:eastAsia="Times New Roman" w:hAnsi="Arial" w:cs="Arial"/>
          <w:color w:val="000000"/>
          <w:kern w:val="0"/>
          <w:sz w:val="22"/>
          <w:szCs w:val="22"/>
          <w:shd w:val="clear" w:color="auto" w:fill="FFFF00"/>
          <w14:ligatures w14:val="none"/>
        </w:rPr>
        <w:t>Marcuse (1985)</w:t>
      </w:r>
      <w:r w:rsidRPr="0016069D">
        <w:rPr>
          <w:rFonts w:ascii="Arial" w:eastAsia="Times New Roman" w:hAnsi="Arial" w:cs="Arial"/>
          <w:color w:val="000000"/>
          <w:kern w:val="0"/>
          <w:sz w:val="22"/>
          <w:szCs w:val="22"/>
          <w14:ligatures w14:val="none"/>
        </w:rPr>
        <w:t xml:space="preserve"> implies that the outflow arm should be comparable to, or larger than, the inflow arm. By </w:t>
      </w:r>
      <w:r w:rsidRPr="0016069D">
        <w:rPr>
          <w:rFonts w:ascii="Arial" w:eastAsia="Times New Roman" w:hAnsi="Arial" w:cs="Arial"/>
          <w:color w:val="000000"/>
          <w:kern w:val="0"/>
          <w:sz w:val="22"/>
          <w:szCs w:val="22"/>
          <w14:ligatures w14:val="none"/>
        </w:rPr>
        <w:lastRenderedPageBreak/>
        <w:t>contrast, the external-arm-share threshold of 0.5 is not supported by an empirical gap. It is adopted as a majority convention because it is the only value at which the class label is literally true. Its robustness is assessed using a sensitivity band of ±0.05, within which all qualitative conclusions remain unchanged.</w:t>
      </w:r>
    </w:p>
    <w:p w14:paraId="7238604B" w14:textId="77777777" w:rsidR="0016069D" w:rsidRPr="0016069D" w:rsidRDefault="0016069D" w:rsidP="0016069D">
      <w:pPr>
        <w:spacing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The mechanism tree therefore distinguishes a genuine gentrification cascade profile that is inflow-driven, frame robust, and persistent from two distinct outflow-dominated profiles that would otherwise be conflated in a coarser classification. These mechanism specific leaves provide the benchmark comparison developed in Section 3.11.</w:t>
      </w:r>
    </w:p>
    <w:p w14:paraId="77D31EB8" w14:textId="77777777" w:rsidR="0016069D" w:rsidRPr="0016069D" w:rsidRDefault="0016069D" w:rsidP="0016069D">
      <w:pPr>
        <w:spacing w:before="300" w:line="240" w:lineRule="auto"/>
        <w:outlineLvl w:val="1"/>
        <w:rPr>
          <w:rFonts w:ascii="Times New Roman" w:eastAsia="Times New Roman" w:hAnsi="Times New Roman" w:cs="Times New Roman"/>
          <w:b/>
          <w:bCs/>
          <w:kern w:val="0"/>
          <w:sz w:val="36"/>
          <w:szCs w:val="36"/>
          <w14:ligatures w14:val="none"/>
        </w:rPr>
      </w:pPr>
      <w:r w:rsidRPr="0016069D">
        <w:rPr>
          <w:rFonts w:ascii="Arial" w:eastAsia="Times New Roman" w:hAnsi="Arial" w:cs="Arial"/>
          <w:b/>
          <w:bCs/>
          <w:color w:val="000000"/>
          <w:kern w:val="0"/>
          <w:sz w:val="34"/>
          <w:szCs w:val="34"/>
          <w14:ligatures w14:val="none"/>
        </w:rPr>
        <w:t>3.11 Comparative and Evaluative Design</w:t>
      </w:r>
    </w:p>
    <w:p w14:paraId="794E743F"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The final stage evaluates how the flow-based classification relates to independent indicators of neighbourhood restructuring. These comparisons are not intended to establish a single benchmark of gentrification, but to examine whether migration-derived mechanisms correspond with broader area-level change, and established attribute-based classifications.</w:t>
      </w:r>
    </w:p>
    <w:p w14:paraId="51CE9B62" w14:textId="77777777" w:rsidR="0016069D" w:rsidRPr="0016069D" w:rsidRDefault="0016069D" w:rsidP="0016069D">
      <w:pPr>
        <w:spacing w:before="220" w:after="120" w:line="240" w:lineRule="auto"/>
        <w:outlineLvl w:val="2"/>
        <w:rPr>
          <w:rFonts w:ascii="Times New Roman" w:eastAsia="Times New Roman" w:hAnsi="Times New Roman" w:cs="Times New Roman"/>
          <w:b/>
          <w:bCs/>
          <w:kern w:val="0"/>
          <w:sz w:val="27"/>
          <w:szCs w:val="27"/>
          <w14:ligatures w14:val="none"/>
        </w:rPr>
      </w:pPr>
      <w:r w:rsidRPr="0016069D">
        <w:rPr>
          <w:rFonts w:ascii="Arial" w:eastAsia="Times New Roman" w:hAnsi="Arial" w:cs="Arial"/>
          <w:b/>
          <w:bCs/>
          <w:color w:val="000000"/>
          <w:kern w:val="0"/>
          <w:sz w:val="26"/>
          <w:szCs w:val="26"/>
          <w14:ligatures w14:val="none"/>
        </w:rPr>
        <w:t>3.11.1 Deprivation-change outcome and statistical strategy</w:t>
      </w:r>
    </w:p>
    <w:p w14:paraId="7E2BDA3C"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The primary trajectory indicator is IMD Percentile Change, which is the change in an MSOA’s national deprivation percentile between IMD 2010 and IMD 2019. Percentiles are used to ensure comparability across releases. Since IMD 2019 is not used in the construction of the flow metrics or typology, the validation outcome is independent of the classification framework.</w:t>
      </w:r>
    </w:p>
    <w:p w14:paraId="7360359E"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Given the non-normal distributions of migration-derived indicators, rank-based methods are applied. These include Spearman correlations between individual flow metrics and deprivation change, partial correlations controlling for baseline deprivation decile to assess information beyond initial hierarchy position, and Kruskal-Wallis tests comparing deprivation-change distributions across the four typological regimes under each analytical frame. Additional structural checks examine the relationship between metric distributions and baseline deprivation position.</w:t>
      </w:r>
    </w:p>
    <w:p w14:paraId="4CF5D7F9" w14:textId="77777777" w:rsidR="0016069D" w:rsidRPr="0016069D" w:rsidRDefault="0016069D" w:rsidP="0016069D">
      <w:pPr>
        <w:spacing w:before="220" w:after="120" w:line="240" w:lineRule="auto"/>
        <w:outlineLvl w:val="2"/>
        <w:rPr>
          <w:rFonts w:ascii="Times New Roman" w:eastAsia="Times New Roman" w:hAnsi="Times New Roman" w:cs="Times New Roman"/>
          <w:b/>
          <w:bCs/>
          <w:kern w:val="0"/>
          <w:sz w:val="27"/>
          <w:szCs w:val="27"/>
          <w14:ligatures w14:val="none"/>
        </w:rPr>
      </w:pPr>
      <w:r w:rsidRPr="0016069D">
        <w:rPr>
          <w:rFonts w:ascii="Arial" w:eastAsia="Times New Roman" w:hAnsi="Arial" w:cs="Arial"/>
          <w:b/>
          <w:bCs/>
          <w:color w:val="000000"/>
          <w:kern w:val="0"/>
          <w:sz w:val="26"/>
          <w:szCs w:val="26"/>
          <w14:ligatures w14:val="none"/>
        </w:rPr>
        <w:t>3.11.2 Comparison with an attribute-based gentrification classification</w:t>
      </w:r>
    </w:p>
    <w:p w14:paraId="0E6B42C0"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 xml:space="preserve">The primary attribute-based comparison uses the gentrification classification developed by </w:t>
      </w:r>
      <w:r w:rsidRPr="0016069D">
        <w:rPr>
          <w:rFonts w:ascii="Arial" w:eastAsia="Times New Roman" w:hAnsi="Arial" w:cs="Arial"/>
          <w:color w:val="000000"/>
          <w:kern w:val="0"/>
          <w:sz w:val="22"/>
          <w:szCs w:val="22"/>
          <w:shd w:val="clear" w:color="auto" w:fill="FFFF00"/>
          <w14:ligatures w14:val="none"/>
        </w:rPr>
        <w:t>Yee and Dennett (2022)</w:t>
      </w:r>
      <w:r w:rsidRPr="0016069D">
        <w:rPr>
          <w:rFonts w:ascii="Arial" w:eastAsia="Times New Roman" w:hAnsi="Arial" w:cs="Arial"/>
          <w:color w:val="000000"/>
          <w:kern w:val="0"/>
          <w:sz w:val="22"/>
          <w:szCs w:val="22"/>
          <w14:ligatures w14:val="none"/>
        </w:rPr>
        <w:t>. Their LSOA-level labels are aggregated to MSOA scale using two approaches. One is a modal classification, where an MSOA is assigned the most common label among its constituent LSOAs. The other is an any-LSOA sensitivity classification, where the presence of a labelled LSOA determines inclusion.</w:t>
      </w:r>
    </w:p>
    <w:p w14:paraId="43EC8AAE"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The temporal relationship between the benchmark and migration data is specified a priori. Since the attribute classification is constructed from 2001-2011 neighbourhood change, the 2011 migration period provides a contemporaneous comparison, while the 2021 migration period provides a later comparison against the earlier restructuring context. The 2021 flow classification is therefore not interpreted as a validation against contemporaneous attribute change.</w:t>
      </w:r>
    </w:p>
    <w:p w14:paraId="64910143"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Correspondence is assessed at two levels. First, overall agreement between the flow typology and attribute classes is examined through cross-tabulation, Cramer’s V, and the adjusted Rand Index. Mechanism-level correspondence is then assessed through enrichment analysis, testing whether individual mechanism leaves contain higher proportions of attribute-defined gentrification than the overall baseline. Enrichment is measured using lift ratios (P(</w:t>
      </w:r>
      <w:proofErr w:type="spellStart"/>
      <w:r w:rsidRPr="0016069D">
        <w:rPr>
          <w:rFonts w:ascii="Arial" w:eastAsia="Times New Roman" w:hAnsi="Arial" w:cs="Arial"/>
          <w:color w:val="000000"/>
          <w:kern w:val="0"/>
          <w:sz w:val="22"/>
          <w:szCs w:val="22"/>
          <w14:ligatures w14:val="none"/>
        </w:rPr>
        <w:t>GEN|group</w:t>
      </w:r>
      <w:proofErr w:type="spellEnd"/>
      <w:r w:rsidRPr="0016069D">
        <w:rPr>
          <w:rFonts w:ascii="Arial" w:eastAsia="Times New Roman" w:hAnsi="Arial" w:cs="Arial"/>
          <w:color w:val="000000"/>
          <w:kern w:val="0"/>
          <w:sz w:val="22"/>
          <w:szCs w:val="22"/>
          <w14:ligatures w14:val="none"/>
        </w:rPr>
        <w:t>) / P(GEN)</w:t>
      </w:r>
      <w:proofErr w:type="gramStart"/>
      <w:r w:rsidRPr="0016069D">
        <w:rPr>
          <w:rFonts w:ascii="Arial" w:eastAsia="Times New Roman" w:hAnsi="Arial" w:cs="Arial"/>
          <w:color w:val="000000"/>
          <w:kern w:val="0"/>
          <w:sz w:val="22"/>
          <w:szCs w:val="22"/>
          <w14:ligatures w14:val="none"/>
        </w:rPr>
        <w:t>), and</w:t>
      </w:r>
      <w:proofErr w:type="gramEnd"/>
      <w:r w:rsidRPr="0016069D">
        <w:rPr>
          <w:rFonts w:ascii="Arial" w:eastAsia="Times New Roman" w:hAnsi="Arial" w:cs="Arial"/>
          <w:color w:val="000000"/>
          <w:kern w:val="0"/>
          <w:sz w:val="22"/>
          <w:szCs w:val="22"/>
          <w14:ligatures w14:val="none"/>
        </w:rPr>
        <w:t xml:space="preserve"> evaluated using Fisher’s exact tests with Benjamin-Hochberg correction for multiple comparisons. These tests are conducted under both MSOA aggregation schemes and across both censuses.</w:t>
      </w:r>
    </w:p>
    <w:p w14:paraId="29EA4F31"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lastRenderedPageBreak/>
        <w:t xml:space="preserve">The Class-3 gentrification subtypes (super-gentrification, mainstream-gentrification, and marginal-gentrification), developed by </w:t>
      </w:r>
      <w:r w:rsidRPr="0016069D">
        <w:rPr>
          <w:rFonts w:ascii="Arial" w:eastAsia="Times New Roman" w:hAnsi="Arial" w:cs="Arial"/>
          <w:color w:val="000000"/>
          <w:kern w:val="0"/>
          <w:sz w:val="22"/>
          <w:szCs w:val="22"/>
          <w:shd w:val="clear" w:color="auto" w:fill="FFFF00"/>
          <w14:ligatures w14:val="none"/>
        </w:rPr>
        <w:t>Yee and Dennett (2022)</w:t>
      </w:r>
      <w:r w:rsidRPr="0016069D">
        <w:rPr>
          <w:rFonts w:ascii="Arial" w:eastAsia="Times New Roman" w:hAnsi="Arial" w:cs="Arial"/>
          <w:color w:val="000000"/>
          <w:kern w:val="0"/>
          <w:sz w:val="22"/>
          <w:szCs w:val="22"/>
          <w14:ligatures w14:val="none"/>
        </w:rPr>
        <w:t xml:space="preserve"> are additionally retained as any-LSOA indicators to examine whether </w:t>
      </w:r>
      <w:proofErr w:type="gramStart"/>
      <w:r w:rsidRPr="0016069D">
        <w:rPr>
          <w:rFonts w:ascii="Arial" w:eastAsia="Times New Roman" w:hAnsi="Arial" w:cs="Arial"/>
          <w:color w:val="000000"/>
          <w:kern w:val="0"/>
          <w:sz w:val="22"/>
          <w:szCs w:val="22"/>
          <w14:ligatures w14:val="none"/>
        </w:rPr>
        <w:t>particular flow</w:t>
      </w:r>
      <w:proofErr w:type="gramEnd"/>
      <w:r w:rsidRPr="0016069D">
        <w:rPr>
          <w:rFonts w:ascii="Arial" w:eastAsia="Times New Roman" w:hAnsi="Arial" w:cs="Arial"/>
          <w:color w:val="000000"/>
          <w:kern w:val="0"/>
          <w:sz w:val="22"/>
          <w:szCs w:val="22"/>
          <w14:ligatures w14:val="none"/>
        </w:rPr>
        <w:t xml:space="preserve"> mechanisms correspond with specific attribute-defined variants. MSOAs are then cross-classified by attribute-defined GEN status and “Cascade-led” status, and deprivation-change outcomes are compared across the resulting groups to examine the combined relationship between migration mechanisms, attribute classifications, and neighbourhood trajectories.</w:t>
      </w:r>
    </w:p>
    <w:p w14:paraId="1CECDB34" w14:textId="77777777" w:rsidR="0016069D" w:rsidRPr="0016069D" w:rsidRDefault="0016069D" w:rsidP="0016069D">
      <w:pPr>
        <w:spacing w:before="220" w:after="120" w:line="240" w:lineRule="auto"/>
        <w:outlineLvl w:val="2"/>
        <w:rPr>
          <w:rFonts w:ascii="Times New Roman" w:eastAsia="Times New Roman" w:hAnsi="Times New Roman" w:cs="Times New Roman"/>
          <w:b/>
          <w:bCs/>
          <w:kern w:val="0"/>
          <w:sz w:val="27"/>
          <w:szCs w:val="27"/>
          <w14:ligatures w14:val="none"/>
        </w:rPr>
      </w:pPr>
      <w:r w:rsidRPr="0016069D">
        <w:rPr>
          <w:rFonts w:ascii="Arial" w:eastAsia="Times New Roman" w:hAnsi="Arial" w:cs="Arial"/>
          <w:b/>
          <w:bCs/>
          <w:color w:val="000000"/>
          <w:kern w:val="0"/>
          <w:sz w:val="26"/>
          <w:szCs w:val="26"/>
          <w14:ligatures w14:val="none"/>
        </w:rPr>
        <w:t>3.11.3 Supplementary benchmark and case diagnostics</w:t>
      </w:r>
    </w:p>
    <w:p w14:paraId="45A2098C" w14:textId="77777777" w:rsidR="0016069D" w:rsidRPr="0016069D" w:rsidRDefault="0016069D" w:rsidP="0016069D">
      <w:pPr>
        <w:spacing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A supplementary occupational indicator is included using the 2011-2021 change in the share of employed residents in SOC major groups 1-3. This provides an additional measure of socio-economic change against which the flow typology can be compared under each analytical frame.</w:t>
      </w:r>
    </w:p>
    <w:p w14:paraId="7455076A" w14:textId="77777777" w:rsidR="0016069D" w:rsidRPr="0016069D" w:rsidRDefault="0016069D" w:rsidP="0016069D">
      <w:pPr>
        <w:spacing w:line="240" w:lineRule="auto"/>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Representative MSOAs from each mechanism leaf are additionally examined through alluvial decompositions of their migration profiles across analytical frames and census periods. These case diagnostics illustrate how different flow configurations generate distinct classifications within the mechanism tree. Full benchmark results and case profiles are reported in the appendices.</w:t>
      </w:r>
    </w:p>
    <w:p w14:paraId="7D0A5940" w14:textId="77777777" w:rsidR="0016069D" w:rsidRPr="0016069D" w:rsidRDefault="0016069D" w:rsidP="0016069D">
      <w:pPr>
        <w:spacing w:before="300" w:line="240" w:lineRule="auto"/>
        <w:outlineLvl w:val="1"/>
        <w:rPr>
          <w:rFonts w:ascii="Times New Roman" w:eastAsia="Times New Roman" w:hAnsi="Times New Roman" w:cs="Times New Roman"/>
          <w:b/>
          <w:bCs/>
          <w:kern w:val="0"/>
          <w:sz w:val="36"/>
          <w:szCs w:val="36"/>
          <w14:ligatures w14:val="none"/>
        </w:rPr>
      </w:pPr>
      <w:r w:rsidRPr="0016069D">
        <w:rPr>
          <w:rFonts w:ascii="Arial" w:eastAsia="Times New Roman" w:hAnsi="Arial" w:cs="Arial"/>
          <w:b/>
          <w:bCs/>
          <w:color w:val="000000"/>
          <w:kern w:val="0"/>
          <w:sz w:val="34"/>
          <w:szCs w:val="34"/>
          <w14:ligatures w14:val="none"/>
        </w:rPr>
        <w:t>3.12 Methodological Scope and Limitations</w:t>
      </w:r>
    </w:p>
    <w:p w14:paraId="110EF419"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 xml:space="preserve">Three considerations define the scope of the proposed framework. The approach is subject to ecological inference, where the deprivation position of an origin area provides only an imperfect proxy for the socio-economic position of individual movers </w:t>
      </w:r>
      <w:r w:rsidRPr="0016069D">
        <w:rPr>
          <w:rFonts w:ascii="Arial" w:eastAsia="Times New Roman" w:hAnsi="Arial" w:cs="Arial"/>
          <w:color w:val="000000"/>
          <w:kern w:val="0"/>
          <w:sz w:val="22"/>
          <w:szCs w:val="22"/>
          <w:shd w:val="clear" w:color="auto" w:fill="FFFF00"/>
          <w14:ligatures w14:val="none"/>
        </w:rPr>
        <w:t>(Eason et al., 2020)</w:t>
      </w:r>
      <w:r w:rsidRPr="0016069D">
        <w:rPr>
          <w:rFonts w:ascii="Arial" w:eastAsia="Times New Roman" w:hAnsi="Arial" w:cs="Arial"/>
          <w:color w:val="000000"/>
          <w:kern w:val="0"/>
          <w:sz w:val="22"/>
          <w:szCs w:val="22"/>
          <w14:ligatures w14:val="none"/>
        </w:rPr>
        <w:t>. The framework therefore identifies structural mobility asymmetries rather than individual displacement events or gentrifier characteristics. Additionally, because directional metrics capture only moves crossing the deprivation hierarchy, they measure vertical rather than horizontal displacement and may underestimate the total volume of displacement-related mobility.</w:t>
      </w:r>
    </w:p>
    <w:p w14:paraId="05B722B3"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Moreover, the 2021 Census introduces additional uncertainty because data collection occurred during lockdown conditions. Pandemic-era relocation forms part of the observed migration pattern, while collection timing and disclosure controls may affect the precision of flow estimates. Accordingly, cross-year comparisons prioritise relative spatial patterning over absolute differences in migration volumes.</w:t>
      </w:r>
    </w:p>
    <w:p w14:paraId="5DBAE8AB" w14:textId="77777777" w:rsidR="0016069D" w:rsidRPr="0016069D" w:rsidRDefault="0016069D" w:rsidP="0016069D">
      <w:pPr>
        <w:spacing w:line="240" w:lineRule="auto"/>
        <w:jc w:val="both"/>
        <w:rPr>
          <w:rFonts w:ascii="Times New Roman" w:eastAsia="Times New Roman" w:hAnsi="Times New Roman" w:cs="Times New Roman"/>
          <w:kern w:val="0"/>
          <w14:ligatures w14:val="none"/>
        </w:rPr>
      </w:pPr>
      <w:r w:rsidRPr="0016069D">
        <w:rPr>
          <w:rFonts w:ascii="Arial" w:eastAsia="Times New Roman" w:hAnsi="Arial" w:cs="Arial"/>
          <w:color w:val="000000"/>
          <w:kern w:val="0"/>
          <w:sz w:val="22"/>
          <w:szCs w:val="22"/>
          <w14:ligatures w14:val="none"/>
        </w:rPr>
        <w:t>Finally, the framework is conditional on the chosen reference hierarchy and spatial classification. The deprivation ranking, decile thresholds, and London boundary define which movements are interpreted as hierarchy-crossing flows. Sensitivity analyses therefore examine whether the resulting classifications are robust to alternative specifications rather than treating any single configuration as definitive.</w:t>
      </w:r>
    </w:p>
    <w:p w14:paraId="667CD870" w14:textId="77777777" w:rsidR="0016069D" w:rsidRPr="0016069D" w:rsidRDefault="0016069D" w:rsidP="0016069D">
      <w:pPr>
        <w:spacing w:after="0" w:line="240" w:lineRule="auto"/>
        <w:rPr>
          <w:rFonts w:ascii="Times New Roman" w:eastAsia="Times New Roman" w:hAnsi="Times New Roman" w:cs="Times New Roman"/>
          <w:kern w:val="0"/>
          <w14:ligatures w14:val="none"/>
        </w:rPr>
      </w:pPr>
    </w:p>
    <w:p w14:paraId="5F5BDADE" w14:textId="77777777" w:rsidR="00EB3C83" w:rsidRDefault="00EB3C83"/>
    <w:sectPr w:rsidR="00EB3C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69D"/>
    <w:rsid w:val="00054EF6"/>
    <w:rsid w:val="0016069D"/>
    <w:rsid w:val="0017712D"/>
    <w:rsid w:val="007951CD"/>
    <w:rsid w:val="00851A47"/>
    <w:rsid w:val="009D2172"/>
    <w:rsid w:val="00BC7454"/>
    <w:rsid w:val="00D03C08"/>
    <w:rsid w:val="00D673BE"/>
    <w:rsid w:val="00DF0D02"/>
    <w:rsid w:val="00EB3C8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6D3AF7"/>
  <w15:chartTrackingRefBased/>
  <w15:docId w15:val="{650B4B8D-40B6-C740-9FD0-AD6D708CA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0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06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6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6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6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06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06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6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6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69D"/>
    <w:rPr>
      <w:rFonts w:eastAsiaTheme="majorEastAsia" w:cstheme="majorBidi"/>
      <w:color w:val="272727" w:themeColor="text1" w:themeTint="D8"/>
    </w:rPr>
  </w:style>
  <w:style w:type="paragraph" w:styleId="Title">
    <w:name w:val="Title"/>
    <w:basedOn w:val="Normal"/>
    <w:next w:val="Normal"/>
    <w:link w:val="TitleChar"/>
    <w:uiPriority w:val="10"/>
    <w:qFormat/>
    <w:rsid w:val="00160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69D"/>
    <w:pPr>
      <w:spacing w:before="160"/>
      <w:jc w:val="center"/>
    </w:pPr>
    <w:rPr>
      <w:i/>
      <w:iCs/>
      <w:color w:val="404040" w:themeColor="text1" w:themeTint="BF"/>
    </w:rPr>
  </w:style>
  <w:style w:type="character" w:customStyle="1" w:styleId="QuoteChar">
    <w:name w:val="Quote Char"/>
    <w:basedOn w:val="DefaultParagraphFont"/>
    <w:link w:val="Quote"/>
    <w:uiPriority w:val="29"/>
    <w:rsid w:val="0016069D"/>
    <w:rPr>
      <w:i/>
      <w:iCs/>
      <w:color w:val="404040" w:themeColor="text1" w:themeTint="BF"/>
    </w:rPr>
  </w:style>
  <w:style w:type="paragraph" w:styleId="ListParagraph">
    <w:name w:val="List Paragraph"/>
    <w:basedOn w:val="Normal"/>
    <w:uiPriority w:val="34"/>
    <w:qFormat/>
    <w:rsid w:val="0016069D"/>
    <w:pPr>
      <w:ind w:left="720"/>
      <w:contextualSpacing/>
    </w:pPr>
  </w:style>
  <w:style w:type="character" w:styleId="IntenseEmphasis">
    <w:name w:val="Intense Emphasis"/>
    <w:basedOn w:val="DefaultParagraphFont"/>
    <w:uiPriority w:val="21"/>
    <w:qFormat/>
    <w:rsid w:val="0016069D"/>
    <w:rPr>
      <w:i/>
      <w:iCs/>
      <w:color w:val="0F4761" w:themeColor="accent1" w:themeShade="BF"/>
    </w:rPr>
  </w:style>
  <w:style w:type="paragraph" w:styleId="IntenseQuote">
    <w:name w:val="Intense Quote"/>
    <w:basedOn w:val="Normal"/>
    <w:next w:val="Normal"/>
    <w:link w:val="IntenseQuoteChar"/>
    <w:uiPriority w:val="30"/>
    <w:qFormat/>
    <w:rsid w:val="00160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69D"/>
    <w:rPr>
      <w:i/>
      <w:iCs/>
      <w:color w:val="0F4761" w:themeColor="accent1" w:themeShade="BF"/>
    </w:rPr>
  </w:style>
  <w:style w:type="character" w:styleId="IntenseReference">
    <w:name w:val="Intense Reference"/>
    <w:basedOn w:val="DefaultParagraphFont"/>
    <w:uiPriority w:val="32"/>
    <w:qFormat/>
    <w:rsid w:val="0016069D"/>
    <w:rPr>
      <w:b/>
      <w:bCs/>
      <w:smallCaps/>
      <w:color w:val="0F4761" w:themeColor="accent1" w:themeShade="BF"/>
      <w:spacing w:val="5"/>
    </w:rPr>
  </w:style>
  <w:style w:type="paragraph" w:styleId="NormalWeb">
    <w:name w:val="Normal (Web)"/>
    <w:basedOn w:val="Normal"/>
    <w:uiPriority w:val="99"/>
    <w:semiHidden/>
    <w:unhideWhenUsed/>
    <w:rsid w:val="0016069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3960</Words>
  <Characters>22576</Characters>
  <Application>Microsoft Office Word</Application>
  <DocSecurity>0</DocSecurity>
  <Lines>188</Lines>
  <Paragraphs>52</Paragraphs>
  <ScaleCrop>false</ScaleCrop>
  <Company/>
  <LinksUpToDate>false</LinksUpToDate>
  <CharactersWithSpaces>26484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Xing</dc:creator>
  <cp:keywords/>
  <dc:description/>
  <cp:lastModifiedBy>Olivia Xing</cp:lastModifiedBy>
  <cp:revision>1</cp:revision>
  <dcterms:created xsi:type="dcterms:W3CDTF">2026-07-21T23:06:00Z</dcterms:created>
  <dcterms:modified xsi:type="dcterms:W3CDTF">2026-07-21T23:07:00Z</dcterms:modified>
</cp:coreProperties>
</file>