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2C43" w14:textId="77777777" w:rsidR="008459C2" w:rsidRDefault="00000000">
      <w:pPr>
        <w:pStyle w:val="Heading1"/>
      </w:pPr>
      <w:bookmarkStart w:id="0" w:name="results"/>
      <w:r>
        <w:t>4. Results</w:t>
      </w:r>
    </w:p>
    <w:p w14:paraId="71C7D6A9" w14:textId="77777777" w:rsidR="008459C2" w:rsidRDefault="00000000">
      <w:pPr>
        <w:pStyle w:val="FirstParagraph"/>
      </w:pPr>
      <w:r>
        <w:t>This chapter reports the empirical findings of the study in the order established by the analytical pipeline set out in Chapter 3. Section 4.1 characterises the metric landscape: the distributional structure of the cascade and counter-cascade indicator suites and the correlation architecture that motivates the two derived balance metrics. Section 4.2 examines how the deprivation hierarchy structures these metrics and identifies the minority of MSOAs where the cascade–counter mirror breaks down. Section 4.3 presents the flow-regime typology, its threshold robustness, and its spatial and temporal behaviour. Section 4.4 evaluates the typology against the independent deprivation-change outcome. Section 4.5 applies the three-frame design to decompose boundary effects into reclassification and external-flow components, identifies the extreme cases that anchor the subsequent diagnostics, and introduces the time-symmetric mechanism tree that decomposes the cascade-led class into four measurable flow mechanisms. Section 4.6 confronts the flow typology with the two attribute-based benchmarks at two resolutions: the pooled four-way typology and the mechanism leaves. Section 4.7 presents the case-study decompositions, aligned to the mechanism tree, that qualify the statistical findings. Section 4.8 synthesises the results.</w:t>
      </w:r>
    </w:p>
    <w:p w14:paraId="1A8306CF" w14:textId="77777777" w:rsidR="008459C2" w:rsidRDefault="00000000">
      <w:pPr>
        <w:pStyle w:val="BodyText"/>
      </w:pPr>
      <w:r>
        <w:t xml:space="preserve">Unless stated otherwise, results are reported under Frame A (London-internal flows on the London-relative decile ladder), which Chapter 3 established as the core analytical lens; Frames B and C are introduced explicitly in Section 4.5. All analyses cover the 982 harmonised MSOA-level zones, with the 20 MSOAs recording no hierarchy-crossing flows in 2021 carried under the distinct </w:t>
      </w:r>
      <w:r>
        <w:rPr>
          <w:i/>
          <w:iCs/>
        </w:rPr>
        <w:t>Suppressed</w:t>
      </w:r>
      <w:r>
        <w:t xml:space="preserve"> label described in Section 3.8. Given the skewed distributions of migration-derived metrics, rank-based statistics are used throughout, and, in line with the validation strategy in Section 3.10.2, statistical significance is reported alongside effect sizes rather than in place of them.</w:t>
      </w:r>
    </w:p>
    <w:p w14:paraId="2FA8FEF4" w14:textId="77777777" w:rsidR="008459C2" w:rsidRDefault="00000000">
      <w:pPr>
        <w:pStyle w:val="Heading2"/>
      </w:pPr>
      <w:bookmarkStart w:id="1" w:name="X49a4ff261ee09f11f0bd1aad985ba1141ce2f66"/>
      <w:r>
        <w:t>4.1 The Metric Landscape: Structure of the Cascade and Counter-Cascade Suites</w:t>
      </w:r>
    </w:p>
    <w:p w14:paraId="0149A29F" w14:textId="77777777" w:rsidR="008459C2" w:rsidRDefault="00000000">
      <w:pPr>
        <w:pStyle w:val="Heading3"/>
      </w:pPr>
      <w:bookmarkStart w:id="2" w:name="X373df678a61aade9b5f36842f1f72acfa1079c2"/>
      <w:r>
        <w:t>4.1.1 Distributional parallelism and the cascade–counter mirror</w:t>
      </w:r>
    </w:p>
    <w:p w14:paraId="00F06849" w14:textId="77777777" w:rsidR="008459C2" w:rsidRDefault="00000000">
      <w:pPr>
        <w:pStyle w:val="FirstParagraph"/>
      </w:pPr>
      <w:r>
        <w:t>The first empirical finding concerns the joint structure of the two indicator families. Descriptive statistics computed separately for both census periods show that the cascade metrics (Net_Cascade, CFI_Churn, CFI_Rate, Pct_Inflow_Wealthier) and their counter-cascade counterparts have structurally similar distributions: comparable central tendencies, comparable spreads, and the same qualitative shape within each metric dimension (Figure 4.1). Both families also shifted in the same direction over the decade, with a general leftward (lower-volume) movement between 2011 and 2021 consistent with the overall decline in recorded within-London migration from approximately 852,000 to 766,000 person-moves. The parallelism is not, however, sufficient to establish that the two directions are mirror processes; that claim requires the correlation evidence below.</w:t>
      </w:r>
    </w:p>
    <w:p w14:paraId="21DD66AE" w14:textId="77777777" w:rsidR="008459C2" w:rsidRDefault="00000000">
      <w:pPr>
        <w:pStyle w:val="BodyText"/>
      </w:pPr>
      <w:r>
        <w:t xml:space="preserve">The full correlation matrix across all eight metrics, their temporal deltas, baseline decile, and the validation outcome (Figure 4.2) reveals three structural patterns. First, the </w:t>
      </w:r>
      <w:r>
        <w:lastRenderedPageBreak/>
        <w:t>directional balance metrics of the two families are very strongly associated: Net_Cascade and Net_Counter correlate at ρ ≈ 0.94, and the two churn metrics form a tight cluster with total migration volume. Second, the metrics most strongly associated with baseline hierarchy position are the compositional and counter-balance measures: Pct_Inflow_Wealthier, Net_Counter and Outflow_Wealthier all correlate with Wealth_Decile at magnitudes above 0.8. Third, and anticipating the validation results in Section 4.4, no individual metric correlates strongly with IMD percentile change; the intensity (churn) metrics reach only ρ ≈ 0.25, and the remainder sit near zero.</w:t>
      </w:r>
    </w:p>
    <w:p w14:paraId="45B8DBFD" w14:textId="77777777" w:rsidR="008459C2" w:rsidRDefault="00000000">
      <w:pPr>
        <w:pStyle w:val="BodyText"/>
      </w:pPr>
      <w:r>
        <w:t>The pairwise decomposition of the four elementary flows (Figure 4.3) explains why the two families mirror each other. The four base flows form two highly correlated pairs organised not by direction of movement but by the deprivation position of the migration partner: the wealthier-connected pair, Inflow_Wealthier and Outflow_Wealthier, correlates at ρ ≈ 0.96, and the poorer-connected pair, Outflow_Poorer and Inflow_Poorer, at ρ ≈ 0.93, with near-zero correlation across the pairs. Substantively, an MSOA that receives migrants from wealthier areas also, and almost in proportion, sends migrants to wealthier areas: it operates as a transit node within the hierarchy rather than a one-way valve. This is a consequential structural finding, because it implies that hierarchy position, which governs the set of wealthier and poorer partners available to a neighbourhood, drives both directions of deprivation-crossing flow simultaneously. Any analysis that measured only the cascade direction would therefore mistake positional exposure for directional pressure; the symmetric design adopted in Section 3.6 is vindicated empirically before any typology is constructed.</w:t>
      </w:r>
    </w:p>
    <w:p w14:paraId="5FDC61FF" w14:textId="77777777" w:rsidR="008459C2" w:rsidRDefault="00000000">
      <w:pPr>
        <w:pStyle w:val="Heading3"/>
      </w:pPr>
      <w:bookmarkStart w:id="3" w:name="Xa75b65ce9c0c52eadf5fdf92d37153e185e6e32"/>
      <w:bookmarkEnd w:id="2"/>
      <w:r>
        <w:t>4.1.2 Redundancy assessment and the two surviving derived metrics</w:t>
      </w:r>
    </w:p>
    <w:p w14:paraId="24A85725" w14:textId="77777777" w:rsidR="008459C2" w:rsidRDefault="00000000">
      <w:pPr>
        <w:pStyle w:val="FirstParagraph"/>
      </w:pPr>
      <w:r>
        <w:t xml:space="preserve">The redundancy assessment specified in Section 3.7 tested five candidate summary metrics against the existing suites (Table 4.1). Three candidates were rejected. Total_Pressure (the sum of the two churns) duplicates CFI_Churn at ρ = 0.98 and adds nothing beyond the existing intensity dimension. Net_Balance (Net_Cascade − Net_Counter) correlates at ρ = 0.47 with baseline decile and therefore partly re-encodes hierarchy position rather than flow behaviour. Churn_Balance (CFI_Churn − Counter_Churn) correlates at ρ = 0.92 with the ratio-based dominance measure while remaining scale-dependent, making it a redundant, unnormalised duplicate. The two survivors carry information not expressed elsewhere in the metric space: Cascade_Dominance, whose maximum absolute correlation with any existing metric is 0.42, isolates </w:t>
      </w:r>
      <w:r>
        <w:rPr>
          <w:i/>
          <w:iCs/>
        </w:rPr>
        <w:t>which</w:t>
      </w:r>
      <w:r>
        <w:t xml:space="preserve"> direction of deprivation-crossing flow dominates; and Cross_Decile_Share, whose maximum correlation is 0.22, isolates </w:t>
      </w:r>
      <w:r>
        <w:rPr>
          <w:i/>
          <w:iCs/>
        </w:rPr>
        <w:t>how much</w:t>
      </w:r>
      <w:r>
        <w:t xml:space="preserve"> of a neighbourhood’s migration engages the hierarchy at all. These two near-orthogonal axes carry the typology in Section 4.3.</w:t>
      </w:r>
    </w:p>
    <w:p w14:paraId="6923E24F" w14:textId="77777777" w:rsidR="008459C2" w:rsidRDefault="00000000">
      <w:pPr>
        <w:pStyle w:val="BodyText"/>
      </w:pPr>
      <w:r>
        <w:t>Table 4.1. Redundancy assessment of candidate balance metrics.</w:t>
      </w:r>
    </w:p>
    <w:tbl>
      <w:tblPr>
        <w:tblStyle w:val="Table"/>
        <w:tblW w:w="5000" w:type="pct"/>
        <w:tblLook w:val="0020" w:firstRow="1" w:lastRow="0" w:firstColumn="0" w:lastColumn="0" w:noHBand="0" w:noVBand="0"/>
      </w:tblPr>
      <w:tblGrid>
        <w:gridCol w:w="2294"/>
        <w:gridCol w:w="3258"/>
        <w:gridCol w:w="2892"/>
        <w:gridCol w:w="1132"/>
      </w:tblGrid>
      <w:tr w:rsidR="008459C2" w14:paraId="7D0C8D28" w14:textId="77777777" w:rsidTr="008459C2">
        <w:trPr>
          <w:cnfStyle w:val="100000000000" w:firstRow="1" w:lastRow="0" w:firstColumn="0" w:lastColumn="0" w:oddVBand="0" w:evenVBand="0" w:oddHBand="0" w:evenHBand="0" w:firstRowFirstColumn="0" w:firstRowLastColumn="0" w:lastRowFirstColumn="0" w:lastRowLastColumn="0"/>
          <w:tblHeader/>
        </w:trPr>
        <w:tc>
          <w:tcPr>
            <w:tcW w:w="0" w:type="auto"/>
          </w:tcPr>
          <w:p w14:paraId="20ADCF90" w14:textId="77777777" w:rsidR="008459C2" w:rsidRDefault="00000000">
            <w:pPr>
              <w:pStyle w:val="Compact"/>
            </w:pPr>
            <w:r>
              <w:t>Candidate</w:t>
            </w:r>
          </w:p>
        </w:tc>
        <w:tc>
          <w:tcPr>
            <w:tcW w:w="0" w:type="auto"/>
          </w:tcPr>
          <w:p w14:paraId="47007924" w14:textId="77777777" w:rsidR="008459C2" w:rsidRDefault="00000000">
            <w:pPr>
              <w:pStyle w:val="Compact"/>
            </w:pPr>
            <w:r>
              <w:t>Formula</w:t>
            </w:r>
          </w:p>
        </w:tc>
        <w:tc>
          <w:tcPr>
            <w:tcW w:w="0" w:type="auto"/>
          </w:tcPr>
          <w:p w14:paraId="78342BE6" w14:textId="77777777" w:rsidR="008459C2" w:rsidRDefault="00000000">
            <w:pPr>
              <w:pStyle w:val="Compact"/>
            </w:pPr>
            <w:r>
              <w:t>Maximum redundancy</w:t>
            </w:r>
          </w:p>
        </w:tc>
        <w:tc>
          <w:tcPr>
            <w:tcW w:w="0" w:type="auto"/>
          </w:tcPr>
          <w:p w14:paraId="0484FDE2" w14:textId="77777777" w:rsidR="008459C2" w:rsidRDefault="00000000">
            <w:pPr>
              <w:pStyle w:val="Compact"/>
            </w:pPr>
            <w:r>
              <w:t>Verdict</w:t>
            </w:r>
          </w:p>
        </w:tc>
      </w:tr>
      <w:tr w:rsidR="008459C2" w14:paraId="5396F0D1" w14:textId="77777777">
        <w:tc>
          <w:tcPr>
            <w:tcW w:w="0" w:type="auto"/>
          </w:tcPr>
          <w:p w14:paraId="6590315D" w14:textId="77777777" w:rsidR="008459C2" w:rsidRDefault="00000000">
            <w:pPr>
              <w:pStyle w:val="Compact"/>
            </w:pPr>
            <w:r>
              <w:t>Total_Pressure</w:t>
            </w:r>
          </w:p>
        </w:tc>
        <w:tc>
          <w:tcPr>
            <w:tcW w:w="0" w:type="auto"/>
          </w:tcPr>
          <w:p w14:paraId="67C2A3F6" w14:textId="77777777" w:rsidR="008459C2" w:rsidRDefault="00000000">
            <w:pPr>
              <w:pStyle w:val="Compact"/>
            </w:pPr>
            <w:r>
              <w:t>CFI_Churn + Counter_Churn</w:t>
            </w:r>
          </w:p>
        </w:tc>
        <w:tc>
          <w:tcPr>
            <w:tcW w:w="0" w:type="auto"/>
          </w:tcPr>
          <w:p w14:paraId="3118F2C7" w14:textId="77777777" w:rsidR="008459C2" w:rsidRDefault="00000000">
            <w:pPr>
              <w:pStyle w:val="Compact"/>
            </w:pPr>
            <w:r>
              <w:t>ρ = 0.98 with CFI_Churn</w:t>
            </w:r>
          </w:p>
        </w:tc>
        <w:tc>
          <w:tcPr>
            <w:tcW w:w="0" w:type="auto"/>
          </w:tcPr>
          <w:p w14:paraId="2526910A" w14:textId="77777777" w:rsidR="008459C2" w:rsidRDefault="00000000">
            <w:pPr>
              <w:pStyle w:val="Compact"/>
            </w:pPr>
            <w:r>
              <w:t>Dropped</w:t>
            </w:r>
          </w:p>
        </w:tc>
      </w:tr>
      <w:tr w:rsidR="008459C2" w14:paraId="0CBA4711" w14:textId="77777777">
        <w:tc>
          <w:tcPr>
            <w:tcW w:w="0" w:type="auto"/>
          </w:tcPr>
          <w:p w14:paraId="60A16701" w14:textId="77777777" w:rsidR="008459C2" w:rsidRDefault="00000000">
            <w:pPr>
              <w:pStyle w:val="Compact"/>
            </w:pPr>
            <w:r>
              <w:t>Net_Balance</w:t>
            </w:r>
          </w:p>
        </w:tc>
        <w:tc>
          <w:tcPr>
            <w:tcW w:w="0" w:type="auto"/>
          </w:tcPr>
          <w:p w14:paraId="2AF96C7A" w14:textId="77777777" w:rsidR="008459C2" w:rsidRDefault="00000000">
            <w:pPr>
              <w:pStyle w:val="Compact"/>
            </w:pPr>
            <w:r>
              <w:t>Net_Cascade − Net_Counter</w:t>
            </w:r>
          </w:p>
        </w:tc>
        <w:tc>
          <w:tcPr>
            <w:tcW w:w="0" w:type="auto"/>
          </w:tcPr>
          <w:p w14:paraId="3DC3595D" w14:textId="77777777" w:rsidR="008459C2" w:rsidRDefault="00000000">
            <w:pPr>
              <w:pStyle w:val="Compact"/>
            </w:pPr>
            <w:r>
              <w:t>ρ = 0.47 with Wealth_Decile</w:t>
            </w:r>
          </w:p>
        </w:tc>
        <w:tc>
          <w:tcPr>
            <w:tcW w:w="0" w:type="auto"/>
          </w:tcPr>
          <w:p w14:paraId="0A4824D9" w14:textId="77777777" w:rsidR="008459C2" w:rsidRDefault="00000000">
            <w:pPr>
              <w:pStyle w:val="Compact"/>
            </w:pPr>
            <w:r>
              <w:t>Dropped</w:t>
            </w:r>
          </w:p>
        </w:tc>
      </w:tr>
      <w:tr w:rsidR="008459C2" w14:paraId="169A52B1" w14:textId="77777777">
        <w:tc>
          <w:tcPr>
            <w:tcW w:w="0" w:type="auto"/>
          </w:tcPr>
          <w:p w14:paraId="61450D6C" w14:textId="77777777" w:rsidR="008459C2" w:rsidRDefault="00000000">
            <w:pPr>
              <w:pStyle w:val="Compact"/>
            </w:pPr>
            <w:r>
              <w:lastRenderedPageBreak/>
              <w:t>Churn_Balance</w:t>
            </w:r>
          </w:p>
        </w:tc>
        <w:tc>
          <w:tcPr>
            <w:tcW w:w="0" w:type="auto"/>
          </w:tcPr>
          <w:p w14:paraId="3120D58E" w14:textId="77777777" w:rsidR="008459C2" w:rsidRDefault="00000000">
            <w:pPr>
              <w:pStyle w:val="Compact"/>
            </w:pPr>
            <w:r>
              <w:t>CFI_Churn − Counter_Churn</w:t>
            </w:r>
          </w:p>
        </w:tc>
        <w:tc>
          <w:tcPr>
            <w:tcW w:w="0" w:type="auto"/>
          </w:tcPr>
          <w:p w14:paraId="53AD82F3" w14:textId="77777777" w:rsidR="008459C2" w:rsidRDefault="00000000">
            <w:pPr>
              <w:pStyle w:val="Compact"/>
            </w:pPr>
            <w:r>
              <w:t>ρ = 0.92 with Cascade_Dominance</w:t>
            </w:r>
          </w:p>
        </w:tc>
        <w:tc>
          <w:tcPr>
            <w:tcW w:w="0" w:type="auto"/>
          </w:tcPr>
          <w:p w14:paraId="4285805D" w14:textId="77777777" w:rsidR="008459C2" w:rsidRDefault="00000000">
            <w:pPr>
              <w:pStyle w:val="Compact"/>
            </w:pPr>
            <w:r>
              <w:t>Dropped</w:t>
            </w:r>
          </w:p>
        </w:tc>
      </w:tr>
      <w:tr w:rsidR="008459C2" w14:paraId="7B593DCE" w14:textId="77777777">
        <w:tc>
          <w:tcPr>
            <w:tcW w:w="0" w:type="auto"/>
          </w:tcPr>
          <w:p w14:paraId="39632126" w14:textId="77777777" w:rsidR="008459C2" w:rsidRDefault="00000000">
            <w:pPr>
              <w:pStyle w:val="Compact"/>
            </w:pPr>
            <w:r>
              <w:t>Cascade_Dominance</w:t>
            </w:r>
          </w:p>
        </w:tc>
        <w:tc>
          <w:tcPr>
            <w:tcW w:w="0" w:type="auto"/>
          </w:tcPr>
          <w:p w14:paraId="2AFB8845" w14:textId="77777777" w:rsidR="008459C2" w:rsidRDefault="00000000">
            <w:pPr>
              <w:pStyle w:val="Compact"/>
            </w:pPr>
            <w:r>
              <w:t>CFI_Churn / (CFI_Churn + Counter_Churn)</w:t>
            </w:r>
          </w:p>
        </w:tc>
        <w:tc>
          <w:tcPr>
            <w:tcW w:w="0" w:type="auto"/>
          </w:tcPr>
          <w:p w14:paraId="0EA79443" w14:textId="77777777" w:rsidR="008459C2" w:rsidRDefault="00000000">
            <w:pPr>
              <w:pStyle w:val="Compact"/>
            </w:pPr>
            <w:r>
              <w:t>max │ρ│ = 0.42</w:t>
            </w:r>
          </w:p>
        </w:tc>
        <w:tc>
          <w:tcPr>
            <w:tcW w:w="0" w:type="auto"/>
          </w:tcPr>
          <w:p w14:paraId="4DEF95F9" w14:textId="77777777" w:rsidR="008459C2" w:rsidRDefault="00000000">
            <w:pPr>
              <w:pStyle w:val="Compact"/>
            </w:pPr>
            <w:r>
              <w:t>Retained</w:t>
            </w:r>
          </w:p>
        </w:tc>
      </w:tr>
      <w:tr w:rsidR="008459C2" w14:paraId="34136F35" w14:textId="77777777">
        <w:tc>
          <w:tcPr>
            <w:tcW w:w="0" w:type="auto"/>
          </w:tcPr>
          <w:p w14:paraId="29A50B90" w14:textId="77777777" w:rsidR="008459C2" w:rsidRDefault="00000000">
            <w:pPr>
              <w:pStyle w:val="Compact"/>
            </w:pPr>
            <w:r>
              <w:t>Cross_Decile_Share</w:t>
            </w:r>
          </w:p>
        </w:tc>
        <w:tc>
          <w:tcPr>
            <w:tcW w:w="0" w:type="auto"/>
          </w:tcPr>
          <w:p w14:paraId="3BB9533A" w14:textId="77777777" w:rsidR="008459C2" w:rsidRDefault="00000000">
            <w:pPr>
              <w:pStyle w:val="Compact"/>
            </w:pPr>
            <w:r>
              <w:t>(CFI_Churn + Counter_Churn) / Total_Migration</w:t>
            </w:r>
          </w:p>
        </w:tc>
        <w:tc>
          <w:tcPr>
            <w:tcW w:w="0" w:type="auto"/>
          </w:tcPr>
          <w:p w14:paraId="4FBAAF96" w14:textId="77777777" w:rsidR="008459C2" w:rsidRDefault="00000000">
            <w:pPr>
              <w:pStyle w:val="Compact"/>
            </w:pPr>
            <w:r>
              <w:t>max │ρ│ = 0.22</w:t>
            </w:r>
          </w:p>
        </w:tc>
        <w:tc>
          <w:tcPr>
            <w:tcW w:w="0" w:type="auto"/>
          </w:tcPr>
          <w:p w14:paraId="47EEED53" w14:textId="77777777" w:rsidR="008459C2" w:rsidRDefault="00000000">
            <w:pPr>
              <w:pStyle w:val="Compact"/>
            </w:pPr>
            <w:r>
              <w:t>Retained</w:t>
            </w:r>
          </w:p>
        </w:tc>
      </w:tr>
    </w:tbl>
    <w:p w14:paraId="689E06DD" w14:textId="77777777" w:rsidR="008459C2" w:rsidRDefault="00000000">
      <w:pPr>
        <w:pStyle w:val="Heading3"/>
      </w:pPr>
      <w:bookmarkStart w:id="4" w:name="sign-concordance"/>
      <w:bookmarkEnd w:id="3"/>
      <w:r>
        <w:t>4.1.3 Sign concordance</w:t>
      </w:r>
    </w:p>
    <w:p w14:paraId="117A387C" w14:textId="77777777" w:rsidR="008459C2" w:rsidRDefault="00000000">
      <w:pPr>
        <w:pStyle w:val="FirstParagraph"/>
      </w:pPr>
      <w:r>
        <w:t>Classifying each MSOA by whether Net_Cascade and Net_Counter agree in sign confirms the dominance of hierarchy position: approximately 88% of MSOAs are concordant in each period, around 2% record a zero on one balance, and roughly 10% are divergent. Because the divergent minority is precisely where positional logic fails to determine both balances simultaneously, these MSOAs are flagged as the analytically distinctive population and examined in Section 4.2.3.</w:t>
      </w:r>
    </w:p>
    <w:p w14:paraId="18D5AB9D" w14:textId="77777777" w:rsidR="008459C2" w:rsidRDefault="00000000">
      <w:pPr>
        <w:pStyle w:val="Heading2"/>
      </w:pPr>
      <w:bookmarkStart w:id="5" w:name="Xcb5c8bda29f3676480af0d4767d001b14115034"/>
      <w:bookmarkEnd w:id="1"/>
      <w:bookmarkEnd w:id="4"/>
      <w:r>
        <w:t>4.2 Hierarchy Structure and Where the Mirror Breaks</w:t>
      </w:r>
    </w:p>
    <w:p w14:paraId="58257336" w14:textId="77777777" w:rsidR="008459C2" w:rsidRDefault="00000000">
      <w:pPr>
        <w:pStyle w:val="Heading3"/>
      </w:pPr>
      <w:bookmarkStart w:id="6" w:name="X3e0caf30396dea4b7397edb5b8b0256199c0b19"/>
      <w:r>
        <w:t>4.2.1 Decile profiles: the hierarchy as dominant structural force</w:t>
      </w:r>
    </w:p>
    <w:p w14:paraId="2FC1BBE7" w14:textId="77777777" w:rsidR="008459C2" w:rsidRDefault="00000000">
      <w:pPr>
        <w:pStyle w:val="FirstParagraph"/>
      </w:pPr>
      <w:r>
        <w:t xml:space="preserve">The structural checks specified in Section 3.10.2 are satisfied in both census periods, and in the theoretically expected form (Figure 4.4). The balance and composition metrics (Net_Cascade, Net_Counter, Pct_Inflow_Wealthier, Pct_Outflow_Wealthier) decline monotonically from the most deprived to the least deprived deciles, reflecting the boundary constraints identified in Section 3.7: neighbourhoods low in the hierarchy have mostly wealthier partners available, and vice versa. The intensity metrics (CFI_Churn, Counter_Churn, CFI_Rate, Counter_Rate) display the predicted inverted-U profile, peaking in the middle deciles where partners exist in both directions and restructuring pressure concentrates. Critically, these decile profiles are almost perfectly rank-stable across the two census periods (cross-year profile correlations at or near ρ = 1 for every metric), despite the 2021 Census being collected under lockdown conditions. The deprivation hierarchy is therefore the dominant structural force shaping deprivation-crossing migration, and that structure was robust to a decade of change that included a pandemic. This stability is what licenses the interpretation of </w:t>
      </w:r>
      <w:r>
        <w:rPr>
          <w:i/>
          <w:iCs/>
        </w:rPr>
        <w:t>changes</w:t>
      </w:r>
      <w:r>
        <w:t xml:space="preserve"> in directional balance, examined next, as genuine behavioural shifts rather than artefacts of a moving baseline.</w:t>
      </w:r>
    </w:p>
    <w:p w14:paraId="36526C3A" w14:textId="77777777" w:rsidR="008459C2" w:rsidRDefault="00000000">
      <w:pPr>
        <w:pStyle w:val="Heading3"/>
      </w:pPr>
      <w:bookmarkStart w:id="7" w:name="X6e3e0e10abec17b8c64fa747a6268e10ad07188"/>
      <w:bookmarkEnd w:id="6"/>
      <w:r>
        <w:t>4.2.2 The decade-long shift towards counter-cascade dominance</w:t>
      </w:r>
    </w:p>
    <w:p w14:paraId="130EC8B6" w14:textId="77777777" w:rsidR="008459C2" w:rsidRDefault="00000000">
      <w:pPr>
        <w:pStyle w:val="FirstParagraph"/>
      </w:pPr>
      <w:r>
        <w:t xml:space="preserve">Against this stable positional geometry, the directional balance of London’s migration system moved unambiguously in one direction. In 2011, 67.6% of MSOAs already sat below the 0.50 dominance midline, that is, their deprivation-crossing migration was dominated by the counter-cascade direction; by 2021 this share had risen to 80.9%. Mean Cascade_Dominance fell from 0.48 to 0.46, a shift that is highly significant on a paired test (t = −10.17, p &lt; 0.01) and, more importantly, consistent in direction across the overwhelming </w:t>
      </w:r>
      <w:r>
        <w:lastRenderedPageBreak/>
        <w:t>majority of neighbourhoods (Figure 4.5). At the level of the whole system, the ratio of counter-cascade to cascade churn rose from 1.06 to 1.13.</w:t>
      </w:r>
    </w:p>
    <w:p w14:paraId="3936A737" w14:textId="77777777" w:rsidR="008459C2" w:rsidRDefault="00000000">
      <w:pPr>
        <w:pStyle w:val="BodyText"/>
      </w:pPr>
      <w:r>
        <w:t>Two features of the dominance–intensity relationship qualify this headline. First, dominance and churn are positively coupled: MSOAs whose flows tilt cascade-ward also move more people across deprivation lines in absolute terms (r = 0.53 in 2011, weakening to r = 0.46 in 2021, both p &lt; 0.01). Where the cascade direction dominates it also runs at higher intensity, suggesting a self-reinforcing dynamic in the minority of neighbourhoods where it operates. Second, the decile gradient of dominance runs contrary to a naïve gentrification expectation: it is the deprived-to-middle band (D1–D6) that shows the highest cascade dominance and churn, while the wealthiest decile sits furthest below the midline (mean dominance 0.424 in 2021), disproportionately exporting residents down the hierarchy rather than receiving from it. The gap between Decile 1 and Decile 10 mean dominance widened slightly over the decade, from roughly 0.03 to 0.04.</w:t>
      </w:r>
    </w:p>
    <w:p w14:paraId="00B9AC32" w14:textId="77777777" w:rsidR="008459C2" w:rsidRDefault="00000000">
      <w:pPr>
        <w:pStyle w:val="BodyText"/>
      </w:pPr>
      <w:r>
        <w:t xml:space="preserve">The substantive reading, developed further in Section 4.3.3, is already visible here: the cascade signature that classic displacement accounts treat as </w:t>
      </w:r>
      <w:r>
        <w:rPr>
          <w:i/>
          <w:iCs/>
        </w:rPr>
        <w:t>the</w:t>
      </w:r>
      <w:r>
        <w:t xml:space="preserve"> footprint of gentrification is, in London, a minority pattern operating against a prevailing counter-current, and that counter-current strengthened between 2011 and 2021.</w:t>
      </w:r>
    </w:p>
    <w:p w14:paraId="6E0FAB04" w14:textId="77777777" w:rsidR="008459C2" w:rsidRDefault="00000000">
      <w:pPr>
        <w:pStyle w:val="Heading3"/>
      </w:pPr>
      <w:bookmarkStart w:id="8" w:name="X68fc7d7fa379110d104d65cc506bee806c675d8"/>
      <w:bookmarkEnd w:id="7"/>
      <w:r>
        <w:t>4.2.3 Structural divergence: net exporters and net receivers</w:t>
      </w:r>
    </w:p>
    <w:p w14:paraId="6A20A2C6" w14:textId="77777777" w:rsidR="008459C2" w:rsidRDefault="00000000">
      <w:pPr>
        <w:pStyle w:val="FirstParagraph"/>
      </w:pPr>
      <w:r>
        <w:t>The roughly 10% of MSOAs whose net balances disagree in sign fall into two economically interpretable subtypes, and their behaviour over the decade is one of the clearest structural findings of the analysis. Cascade-positive divergents (positive Net_Cascade with negative Net_Counter) gain population in both directions of the hierarchy: they are net receivers. Counter-positive divergents lose population in both directions: net exporters. In 2011 the two subtypes were nearly balanced (45 receivers against 42 exporters within 87 divergent MSOAs) and overlapped considerably in decile space. By 2021 the divergent population had grown to 101 (52 receivers, 49 exporters) and the two subtypes had polarised: receivers consolidated in the upper-middle deciles (D5–D9, with D7 alone holding 13), while exporters consolidated in the lower-middle band (D2–D6).</w:t>
      </w:r>
    </w:p>
    <w:p w14:paraId="011187EF" w14:textId="77777777" w:rsidR="008459C2" w:rsidRDefault="00000000">
      <w:pPr>
        <w:pStyle w:val="BodyText"/>
      </w:pPr>
      <w:r>
        <w:t>The spatial expression of this polarisation is distinctive (Figure 4.6). Net exporters concentrate in inner London, running through the inner-east and central boroughs most exposed to gentrification pressure during the 2010s, where outflows in both directions of the hierarchy exceed the corresponding inflows. Net receivers form a ring on the outer periphery, in mid-to-upper-hierarchy suburbs positioned at the interface between inner-London restructuring and the suburban fringe, absorbing movers from both directions. The result is a legible geography, exporters inside, receivers outside, with the concordant majority filling the space between, indicating that divergence is neither measurement noise nor a local anomaly but a structural role within London’s migration system.</w:t>
      </w:r>
    </w:p>
    <w:p w14:paraId="189894EC" w14:textId="77777777" w:rsidR="008459C2" w:rsidRDefault="00000000">
      <w:pPr>
        <w:pStyle w:val="BodyText"/>
      </w:pPr>
      <w:r>
        <w:t xml:space="preserve">Persistence analysis reinforces this reading. Of the 101 MSOAs divergent in 2021, 45 were also divergent in 2011; under independence, given a 2011 divergence rate of approximately 8.9%, only around nine would be expected by chance. For roughly half of the divergent population, divergence is therefore a stable structural feature of the neighbourhood rather than census-period noise. Divergent MSOAs also record a slightly </w:t>
      </w:r>
      <w:r>
        <w:lastRenderedPageBreak/>
        <w:t>more negative median IMD percentile change than concordant MSOAs (−0.015 against approximately 0.00), suggestive of an association between structural divergence and relative decline, although the difference is modest and is not pressed further here.</w:t>
      </w:r>
    </w:p>
    <w:p w14:paraId="3095E4F3" w14:textId="77777777" w:rsidR="008459C2" w:rsidRDefault="00000000">
      <w:pPr>
        <w:pStyle w:val="BodyText"/>
      </w:pPr>
      <w:r>
        <w:t xml:space="preserve">Finally, the overlay diagnostics (Figure 4.7) confirm that sign concordance and dominance are genuinely independent dimensions: divergent MSOAs are distributed across the full range of dominance values, so directional inconsistency in the </w:t>
      </w:r>
      <w:r>
        <w:rPr>
          <w:i/>
          <w:iCs/>
        </w:rPr>
        <w:t>net</w:t>
      </w:r>
      <w:r>
        <w:t xml:space="preserve"> balances cannot be read off the </w:t>
      </w:r>
      <w:r>
        <w:rPr>
          <w:i/>
          <w:iCs/>
        </w:rPr>
        <w:t>volume</w:t>
      </w:r>
      <w:r>
        <w:t xml:space="preserve"> balance, and vice versa. The 2021 overlay is visibly bluer than 2011, restating the system-wide counter shift, while the inner/outer subtype geography persists beneath it.</w:t>
      </w:r>
    </w:p>
    <w:p w14:paraId="017CFAA3" w14:textId="77777777" w:rsidR="008459C2" w:rsidRDefault="00000000">
      <w:pPr>
        <w:pStyle w:val="Heading2"/>
      </w:pPr>
      <w:bookmarkStart w:id="9" w:name="the-flow-regime-typology"/>
      <w:bookmarkEnd w:id="5"/>
      <w:bookmarkEnd w:id="8"/>
      <w:r>
        <w:t>4.3 The Flow-Regime Typology</w:t>
      </w:r>
    </w:p>
    <w:p w14:paraId="32A7EB76" w14:textId="77777777" w:rsidR="008459C2" w:rsidRDefault="00000000">
      <w:pPr>
        <w:pStyle w:val="Heading3"/>
      </w:pPr>
      <w:bookmarkStart w:id="10" w:name="typology-assignment"/>
      <w:r>
        <w:t>4.3.1 Typology assignment</w:t>
      </w:r>
    </w:p>
    <w:p w14:paraId="6F00DE74" w14:textId="77777777" w:rsidR="008459C2" w:rsidRDefault="00000000">
      <w:pPr>
        <w:pStyle w:val="FirstParagraph"/>
      </w:pPr>
      <w:r>
        <w:t xml:space="preserve">Applying the classification rules of Section 3.8 to the two derived axes produces the distribution in Table 4.2. Before classification, the joint space itself is informative (Figure 4.8): rather than discrete clusters, MSOAs form a dense continuous cloud spanning roughly 0.40–0.55 on Cascade_Dominance and 0.75–0.95 on Cross_Decile_Share. In 2021, 90.7% of MSOAs recorded at least 72% of their migration crossing a decile boundary. Socio-economic restructuring through migration is therefore the norm in London, not the exception; what distinguishes neighbourhoods is the </w:t>
      </w:r>
      <w:r>
        <w:rPr>
          <w:i/>
          <w:iCs/>
        </w:rPr>
        <w:t>direction</w:t>
      </w:r>
      <w:r>
        <w:t xml:space="preserve"> in which that restructuring tilts, and for most, the tilt is modest and leans counter-cascade.</w:t>
      </w:r>
    </w:p>
    <w:p w14:paraId="0F62E7E7" w14:textId="77777777" w:rsidR="008459C2" w:rsidRDefault="00000000">
      <w:pPr>
        <w:pStyle w:val="BodyText"/>
      </w:pPr>
      <w:r>
        <w:t>Table 4.2. Flow-regime typology counts, Frame A (London-internal flows, London-relative ladder).</w:t>
      </w:r>
    </w:p>
    <w:tbl>
      <w:tblPr>
        <w:tblStyle w:val="Table"/>
        <w:tblW w:w="0" w:type="auto"/>
        <w:tblLook w:val="0020" w:firstRow="1" w:lastRow="0" w:firstColumn="0" w:lastColumn="0" w:noHBand="0" w:noVBand="0"/>
      </w:tblPr>
      <w:tblGrid>
        <w:gridCol w:w="1440"/>
        <w:gridCol w:w="748"/>
        <w:gridCol w:w="748"/>
        <w:gridCol w:w="1463"/>
      </w:tblGrid>
      <w:tr w:rsidR="008459C2" w14:paraId="650703EE" w14:textId="77777777" w:rsidTr="008459C2">
        <w:trPr>
          <w:cnfStyle w:val="100000000000" w:firstRow="1" w:lastRow="0" w:firstColumn="0" w:lastColumn="0" w:oddVBand="0" w:evenVBand="0" w:oddHBand="0" w:evenHBand="0" w:firstRowFirstColumn="0" w:firstRowLastColumn="0" w:lastRowFirstColumn="0" w:lastRowLastColumn="0"/>
          <w:tblHeader/>
        </w:trPr>
        <w:tc>
          <w:tcPr>
            <w:tcW w:w="0" w:type="auto"/>
          </w:tcPr>
          <w:p w14:paraId="606741A3" w14:textId="77777777" w:rsidR="008459C2" w:rsidRDefault="00000000">
            <w:pPr>
              <w:pStyle w:val="Compact"/>
            </w:pPr>
            <w:r>
              <w:t>Type</w:t>
            </w:r>
          </w:p>
        </w:tc>
        <w:tc>
          <w:tcPr>
            <w:tcW w:w="0" w:type="auto"/>
          </w:tcPr>
          <w:p w14:paraId="744DF74F" w14:textId="77777777" w:rsidR="008459C2" w:rsidRDefault="00000000">
            <w:pPr>
              <w:pStyle w:val="Compact"/>
            </w:pPr>
            <w:r>
              <w:t>2011</w:t>
            </w:r>
          </w:p>
        </w:tc>
        <w:tc>
          <w:tcPr>
            <w:tcW w:w="0" w:type="auto"/>
          </w:tcPr>
          <w:p w14:paraId="6E157D85" w14:textId="77777777" w:rsidR="008459C2" w:rsidRDefault="00000000">
            <w:pPr>
              <w:pStyle w:val="Compact"/>
            </w:pPr>
            <w:r>
              <w:t>2021</w:t>
            </w:r>
          </w:p>
        </w:tc>
        <w:tc>
          <w:tcPr>
            <w:tcW w:w="0" w:type="auto"/>
          </w:tcPr>
          <w:p w14:paraId="497D3FD7" w14:textId="77777777" w:rsidR="008459C2" w:rsidRDefault="00000000">
            <w:pPr>
              <w:pStyle w:val="Compact"/>
            </w:pPr>
            <w:r>
              <w:t>Change</w:t>
            </w:r>
          </w:p>
        </w:tc>
      </w:tr>
      <w:tr w:rsidR="008459C2" w14:paraId="7F0EB654" w14:textId="77777777">
        <w:tc>
          <w:tcPr>
            <w:tcW w:w="0" w:type="auto"/>
          </w:tcPr>
          <w:p w14:paraId="592E9FB8" w14:textId="77777777" w:rsidR="008459C2" w:rsidRDefault="00000000">
            <w:pPr>
              <w:pStyle w:val="Compact"/>
            </w:pPr>
            <w:r>
              <w:t>Cascade-led</w:t>
            </w:r>
          </w:p>
        </w:tc>
        <w:tc>
          <w:tcPr>
            <w:tcW w:w="0" w:type="auto"/>
          </w:tcPr>
          <w:p w14:paraId="6CB24303" w14:textId="77777777" w:rsidR="008459C2" w:rsidRDefault="00000000">
            <w:pPr>
              <w:pStyle w:val="Compact"/>
            </w:pPr>
            <w:r>
              <w:t>129</w:t>
            </w:r>
          </w:p>
        </w:tc>
        <w:tc>
          <w:tcPr>
            <w:tcW w:w="0" w:type="auto"/>
          </w:tcPr>
          <w:p w14:paraId="0DC1BCE2" w14:textId="77777777" w:rsidR="008459C2" w:rsidRDefault="00000000">
            <w:pPr>
              <w:pStyle w:val="Compact"/>
            </w:pPr>
            <w:r>
              <w:t>76</w:t>
            </w:r>
          </w:p>
        </w:tc>
        <w:tc>
          <w:tcPr>
            <w:tcW w:w="0" w:type="auto"/>
          </w:tcPr>
          <w:p w14:paraId="5C77E811" w14:textId="77777777" w:rsidR="008459C2" w:rsidRDefault="00000000">
            <w:pPr>
              <w:pStyle w:val="Compact"/>
            </w:pPr>
            <w:r>
              <w:t>−53 (−41%)</w:t>
            </w:r>
          </w:p>
        </w:tc>
      </w:tr>
      <w:tr w:rsidR="008459C2" w14:paraId="665FBB6A" w14:textId="77777777">
        <w:tc>
          <w:tcPr>
            <w:tcW w:w="0" w:type="auto"/>
          </w:tcPr>
          <w:p w14:paraId="7275B2C4" w14:textId="77777777" w:rsidR="008459C2" w:rsidRDefault="00000000">
            <w:pPr>
              <w:pStyle w:val="Compact"/>
            </w:pPr>
            <w:r>
              <w:t>Counter-led</w:t>
            </w:r>
          </w:p>
        </w:tc>
        <w:tc>
          <w:tcPr>
            <w:tcW w:w="0" w:type="auto"/>
          </w:tcPr>
          <w:p w14:paraId="28580BF4" w14:textId="77777777" w:rsidR="008459C2" w:rsidRDefault="00000000">
            <w:pPr>
              <w:pStyle w:val="Compact"/>
            </w:pPr>
            <w:r>
              <w:t>339</w:t>
            </w:r>
          </w:p>
        </w:tc>
        <w:tc>
          <w:tcPr>
            <w:tcW w:w="0" w:type="auto"/>
          </w:tcPr>
          <w:p w14:paraId="54CF6821" w14:textId="77777777" w:rsidR="008459C2" w:rsidRDefault="00000000">
            <w:pPr>
              <w:pStyle w:val="Compact"/>
            </w:pPr>
            <w:r>
              <w:t>416</w:t>
            </w:r>
          </w:p>
        </w:tc>
        <w:tc>
          <w:tcPr>
            <w:tcW w:w="0" w:type="auto"/>
          </w:tcPr>
          <w:p w14:paraId="33DAA7AF" w14:textId="77777777" w:rsidR="008459C2" w:rsidRDefault="00000000">
            <w:pPr>
              <w:pStyle w:val="Compact"/>
            </w:pPr>
            <w:r>
              <w:t>+77 (+23%)</w:t>
            </w:r>
          </w:p>
        </w:tc>
      </w:tr>
      <w:tr w:rsidR="008459C2" w14:paraId="7B9E6D17" w14:textId="77777777">
        <w:tc>
          <w:tcPr>
            <w:tcW w:w="0" w:type="auto"/>
          </w:tcPr>
          <w:p w14:paraId="01A5BF5B" w14:textId="77777777" w:rsidR="008459C2" w:rsidRDefault="00000000">
            <w:pPr>
              <w:pStyle w:val="Compact"/>
            </w:pPr>
            <w:r>
              <w:t>Symmetric</w:t>
            </w:r>
          </w:p>
        </w:tc>
        <w:tc>
          <w:tcPr>
            <w:tcW w:w="0" w:type="auto"/>
          </w:tcPr>
          <w:p w14:paraId="4EAAC479" w14:textId="77777777" w:rsidR="008459C2" w:rsidRDefault="00000000">
            <w:pPr>
              <w:pStyle w:val="Compact"/>
            </w:pPr>
            <w:r>
              <w:t>268</w:t>
            </w:r>
          </w:p>
        </w:tc>
        <w:tc>
          <w:tcPr>
            <w:tcW w:w="0" w:type="auto"/>
          </w:tcPr>
          <w:p w14:paraId="08403B91" w14:textId="77777777" w:rsidR="008459C2" w:rsidRDefault="00000000">
            <w:pPr>
              <w:pStyle w:val="Compact"/>
            </w:pPr>
            <w:r>
              <w:t>224</w:t>
            </w:r>
          </w:p>
        </w:tc>
        <w:tc>
          <w:tcPr>
            <w:tcW w:w="0" w:type="auto"/>
          </w:tcPr>
          <w:p w14:paraId="2339CDF1" w14:textId="77777777" w:rsidR="008459C2" w:rsidRDefault="00000000">
            <w:pPr>
              <w:pStyle w:val="Compact"/>
            </w:pPr>
            <w:r>
              <w:t>−44</w:t>
            </w:r>
          </w:p>
        </w:tc>
      </w:tr>
      <w:tr w:rsidR="008459C2" w14:paraId="7FF7F1B2" w14:textId="77777777">
        <w:tc>
          <w:tcPr>
            <w:tcW w:w="0" w:type="auto"/>
          </w:tcPr>
          <w:p w14:paraId="07CC03B2" w14:textId="77777777" w:rsidR="008459C2" w:rsidRDefault="00000000">
            <w:pPr>
              <w:pStyle w:val="Compact"/>
            </w:pPr>
            <w:r>
              <w:t>Lateral</w:t>
            </w:r>
          </w:p>
        </w:tc>
        <w:tc>
          <w:tcPr>
            <w:tcW w:w="0" w:type="auto"/>
          </w:tcPr>
          <w:p w14:paraId="38B66C33" w14:textId="77777777" w:rsidR="008459C2" w:rsidRDefault="00000000">
            <w:pPr>
              <w:pStyle w:val="Compact"/>
            </w:pPr>
            <w:r>
              <w:t>246</w:t>
            </w:r>
          </w:p>
        </w:tc>
        <w:tc>
          <w:tcPr>
            <w:tcW w:w="0" w:type="auto"/>
          </w:tcPr>
          <w:p w14:paraId="4961C4A2" w14:textId="77777777" w:rsidR="008459C2" w:rsidRDefault="00000000">
            <w:pPr>
              <w:pStyle w:val="Compact"/>
            </w:pPr>
            <w:r>
              <w:t>246</w:t>
            </w:r>
          </w:p>
        </w:tc>
        <w:tc>
          <w:tcPr>
            <w:tcW w:w="0" w:type="auto"/>
          </w:tcPr>
          <w:p w14:paraId="46C1481A" w14:textId="77777777" w:rsidR="008459C2" w:rsidRDefault="00000000">
            <w:pPr>
              <w:pStyle w:val="Compact"/>
            </w:pPr>
            <w:r>
              <w:t>0</w:t>
            </w:r>
          </w:p>
        </w:tc>
      </w:tr>
      <w:tr w:rsidR="008459C2" w14:paraId="732753C8" w14:textId="77777777">
        <w:tc>
          <w:tcPr>
            <w:tcW w:w="0" w:type="auto"/>
          </w:tcPr>
          <w:p w14:paraId="66003B37" w14:textId="77777777" w:rsidR="008459C2" w:rsidRDefault="00000000">
            <w:pPr>
              <w:pStyle w:val="Compact"/>
            </w:pPr>
            <w:r>
              <w:t>Suppressed</w:t>
            </w:r>
          </w:p>
        </w:tc>
        <w:tc>
          <w:tcPr>
            <w:tcW w:w="0" w:type="auto"/>
          </w:tcPr>
          <w:p w14:paraId="31EC8912" w14:textId="77777777" w:rsidR="008459C2" w:rsidRDefault="00000000">
            <w:pPr>
              <w:pStyle w:val="Compact"/>
            </w:pPr>
            <w:r>
              <w:t>0</w:t>
            </w:r>
          </w:p>
        </w:tc>
        <w:tc>
          <w:tcPr>
            <w:tcW w:w="0" w:type="auto"/>
          </w:tcPr>
          <w:p w14:paraId="5A533414" w14:textId="77777777" w:rsidR="008459C2" w:rsidRDefault="00000000">
            <w:pPr>
              <w:pStyle w:val="Compact"/>
            </w:pPr>
            <w:r>
              <w:t>20</w:t>
            </w:r>
          </w:p>
        </w:tc>
        <w:tc>
          <w:tcPr>
            <w:tcW w:w="0" w:type="auto"/>
          </w:tcPr>
          <w:p w14:paraId="4501DA7A" w14:textId="77777777" w:rsidR="008459C2" w:rsidRDefault="00000000">
            <w:pPr>
              <w:pStyle w:val="Compact"/>
            </w:pPr>
            <w:r>
              <w:t>+20</w:t>
            </w:r>
          </w:p>
        </w:tc>
      </w:tr>
      <w:tr w:rsidR="008459C2" w14:paraId="10BDFCA3" w14:textId="77777777">
        <w:tc>
          <w:tcPr>
            <w:tcW w:w="0" w:type="auto"/>
          </w:tcPr>
          <w:p w14:paraId="46C61B37" w14:textId="77777777" w:rsidR="008459C2" w:rsidRDefault="00000000">
            <w:pPr>
              <w:pStyle w:val="Compact"/>
            </w:pPr>
            <w:r>
              <w:t>Total</w:t>
            </w:r>
          </w:p>
        </w:tc>
        <w:tc>
          <w:tcPr>
            <w:tcW w:w="0" w:type="auto"/>
          </w:tcPr>
          <w:p w14:paraId="390ED4B0" w14:textId="77777777" w:rsidR="008459C2" w:rsidRDefault="00000000">
            <w:pPr>
              <w:pStyle w:val="Compact"/>
            </w:pPr>
            <w:r>
              <w:t>982</w:t>
            </w:r>
          </w:p>
        </w:tc>
        <w:tc>
          <w:tcPr>
            <w:tcW w:w="0" w:type="auto"/>
          </w:tcPr>
          <w:p w14:paraId="09023743" w14:textId="77777777" w:rsidR="008459C2" w:rsidRDefault="00000000">
            <w:pPr>
              <w:pStyle w:val="Compact"/>
            </w:pPr>
            <w:r>
              <w:t>982</w:t>
            </w:r>
          </w:p>
        </w:tc>
        <w:tc>
          <w:tcPr>
            <w:tcW w:w="0" w:type="auto"/>
          </w:tcPr>
          <w:p w14:paraId="350EB838" w14:textId="77777777" w:rsidR="008459C2" w:rsidRDefault="008459C2">
            <w:pPr>
              <w:pStyle w:val="Compact"/>
            </w:pPr>
          </w:p>
        </w:tc>
      </w:tr>
    </w:tbl>
    <w:p w14:paraId="6391A6D8" w14:textId="77777777" w:rsidR="008459C2" w:rsidRDefault="00000000">
      <w:pPr>
        <w:pStyle w:val="BodyText"/>
      </w:pPr>
      <w:r>
        <w:t>The headline movement restates Section 4.2.2 in categorical form: Cascade-led MSOAs, the regime carrying the flow signature classically equated with gentrification pressure, fell by 41% over the decade, while Counter-led MSOAs grew to become the largest category by a wide margin (Figure 4.9). Every decile-mean dominance value sits below 0.50 in both periods, and the entire point cloud drifts leftward between the two censuses.</w:t>
      </w:r>
    </w:p>
    <w:p w14:paraId="65BA9E0F" w14:textId="77777777" w:rsidR="008459C2" w:rsidRDefault="00000000">
      <w:pPr>
        <w:pStyle w:val="Heading3"/>
      </w:pPr>
      <w:bookmarkStart w:id="11" w:name="threshold-and-specification-robustness"/>
      <w:bookmarkEnd w:id="10"/>
      <w:r>
        <w:t>4.3.2 Threshold and specification robustness</w:t>
      </w:r>
    </w:p>
    <w:p w14:paraId="434E8D60" w14:textId="77777777" w:rsidR="008459C2" w:rsidRDefault="00000000">
      <w:pPr>
        <w:pStyle w:val="FirstParagraph"/>
      </w:pPr>
      <w:r>
        <w:t xml:space="preserve">Because the typology depends on the dominance bandwidth and the ratio specification, the sensitivity analyses specified in Sections 3.7 and 3.8 were conducted before the typology was carried forward. Comparing the ratio-based dominance measure with the difference-based alternative (CFI_Churn − Counter_Churn) yields 92.1% agreement in typology </w:t>
      </w:r>
      <w:r>
        <w:lastRenderedPageBreak/>
        <w:t xml:space="preserve">assignment, and, because the two formulations cannot disagree on direction by construction, every one of the 7.9% of disagreements is a Symmetric↔Counter-led bandwidth swap, with the asymmetry (33 MSOAs moving Symmetric→Counter-led against 8 moving the other way) reflecting the counter-leaning density of the distribution near the midline (Figure 4.10). Two further diagnostics favour the ratio specification. First, a Mann–Whitney test shows that MSOAs on which the two formulations disagree have significantly higher total cross-decile churn than agreeing MSOAs: the difference-based typology is scale-dependent, reclassifying high-volume neighbourhoods, whereas the ratio treats a 60/40 directional split identically at any volume. Second, the ratio-based typology discriminates IMD trajectories more sharply, because the difference formulation dilutes the Counter-led group with high-churn MSOAs whose deprivation trajectories resemble the Symmetric pattern (Figure 4.11). The ratio specification is therefore retained, on the explicit grounds that it separates direction from intensity and validates better, not merely by convention. A further, supervisor-prompted sensitivity test examined the definition of cascade churn itself, asking whether outflows to </w:t>
      </w:r>
      <w:r>
        <w:rPr>
          <w:i/>
          <w:iCs/>
        </w:rPr>
        <w:t>same-decile</w:t>
      </w:r>
      <w:r>
        <w:t xml:space="preserve"> destinations should be counted alongside poorer-directed outflows (Section 3.7). Same-decile out-moves are a real bucket, roughly 0.4 times the size of the to-poorer arm and around 17% of all out-migration, but broadening only the cascade arm approximately triples the Cascade-led count as a pure scale artefact of the dominance ratio, while broadening both arms symmetrically retains roughly 80% of the strict cascade-led set yet collapses Cross_Decile_Share to approximately 1.0 for every MSOA, erasing the Lateral class. The strict cross-decile definition, which reproduces the published typology exactly, is therefore retained: same-decile moves are lateral by construction, and folding them into the cascade is a category change rather than a parameter tweak.</w:t>
      </w:r>
    </w:p>
    <w:p w14:paraId="3792733E" w14:textId="77777777" w:rsidR="008459C2" w:rsidRDefault="00000000">
      <w:pPr>
        <w:pStyle w:val="Heading3"/>
      </w:pPr>
      <w:bookmarkStart w:id="12" w:name="X3956bbc02a1c929eeb01f3afa6719525daf6173"/>
      <w:bookmarkEnd w:id="11"/>
      <w:r>
        <w:t>4.3.3 Spatial pattern, temporal transitions, and the counter-led norm</w:t>
      </w:r>
    </w:p>
    <w:p w14:paraId="085BE36C" w14:textId="77777777" w:rsidR="008459C2" w:rsidRDefault="00000000">
      <w:pPr>
        <w:pStyle w:val="FirstParagraph"/>
      </w:pPr>
      <w:r>
        <w:t>Spatially (Figure 4.12), Cascade-led MSOAs cluster in 2011 in inner South and West London, the recognisable gentrification belt of the 2010s, while Counter-led MSOAs dominate the outer ring. By 2021 the cascade belt has visibly thinned and fragmented, particularly in inner South London, while the counter-led zone has expanded across outer East and North London. Symmetric MSOAs are spatially scattered in both years, consistent with their character as a residual condition in which two opposing pressures happen to cancel rather than the product of an identifiable spatial process.</w:t>
      </w:r>
    </w:p>
    <w:p w14:paraId="48306E2A" w14:textId="77777777" w:rsidR="008459C2" w:rsidRDefault="00000000">
      <w:pPr>
        <w:pStyle w:val="BodyText"/>
      </w:pPr>
      <w:r>
        <w:t xml:space="preserve">The transition analysis (Figure 4.13) shows that 596 of 982 MSOAs (61%) retain the same type across the decade, indicating that the typology captures a structurally persistent property of how neighbourhoods sit within the migration system rather than census-period noise. The instability that does exist is spatially patterned and analytically informative. Cascade-led exits concentrate in inner West and inner South London, exactly the areas that were most actively restructuring in 2011, and split roughly evenly between transitions to Counter-led and to Symmetric: cascade pressure did not weaken uniformly across the city but fragmented specifically where it had been strongest. Conversely, a large </w:t>
      </w:r>
      <w:r>
        <w:rPr>
          <w:i/>
          <w:iCs/>
        </w:rPr>
        <w:t>Other change</w:t>
      </w:r>
      <w:r>
        <w:t xml:space="preserve"> category (211 MSOAs) dominates outer North and East London, where cross-decile flows are lower-volume and regimes oscillate between balanced and counter-led states. This marks a scope condition worth stating plainly: the typology is most analytically </w:t>
      </w:r>
      <w:r>
        <w:lastRenderedPageBreak/>
        <w:t>powerful for inner London, where cascade dynamics are strongest, and least stable in the volatile, low-volume outer ring.</w:t>
      </w:r>
    </w:p>
    <w:p w14:paraId="04FF297D" w14:textId="77777777" w:rsidR="008459C2" w:rsidRDefault="00000000">
      <w:pPr>
        <w:pStyle w:val="BodyText"/>
      </w:pPr>
      <w:r>
        <w:t xml:space="preserve">Why does one side of a symmetric metric systematically dominate? The volume decomposition provides the structural answer: at </w:t>
      </w:r>
      <w:r>
        <w:rPr>
          <w:i/>
          <w:iCs/>
        </w:rPr>
        <w:t>every</w:t>
      </w:r>
      <w:r>
        <w:t xml:space="preserve"> decile of the hierarchy, the share of outflows directed to wealthier areas exceeds the share of inflows arriving from wealthier areas. Movers within London systematically travel up the deprivation ladder, a pattern consistent with Fielding’s (1992) characterisation of South East England as an escalator region, with aspirational trading-up and lifecycle progression from deprived inner rentals to less deprived suburbs. Against this prevailing upward current, the cascade direction, wealthier arrivals paired with poorer-directed departures, operates as a localised perturbation. The results therefore invert the framing implicit in cascade-displacement accounts: gentrification-consistent flow structures are not the dominant regime of London’s migration system but a spatially concentrated minority pattern running against the grain, and one whose extent contracted over the decade (from 129 to 76 Frame A MSOAs). Whether that contraction reflects saturation of inner-London gentrification, pandemic suppression of short-distance relocation chains, or both, cannot be resolved from the 2021 observation alone, a limitation flagged in Section 3.11 and revisited in Sections 4.5 and 4.7.</w:t>
      </w:r>
    </w:p>
    <w:p w14:paraId="4BE746EC" w14:textId="77777777" w:rsidR="008459C2" w:rsidRDefault="00000000">
      <w:pPr>
        <w:pStyle w:val="Heading2"/>
      </w:pPr>
      <w:bookmarkStart w:id="13" w:name="validation-against-deprivation-change"/>
      <w:bookmarkEnd w:id="9"/>
      <w:bookmarkEnd w:id="12"/>
      <w:r>
        <w:t>4.4 Validation Against Deprivation Change</w:t>
      </w:r>
    </w:p>
    <w:p w14:paraId="0298B384" w14:textId="77777777" w:rsidR="008459C2" w:rsidRDefault="00000000">
      <w:pPr>
        <w:pStyle w:val="Heading3"/>
      </w:pPr>
      <w:bookmarkStart w:id="14" w:name="metric-level-associations"/>
      <w:r>
        <w:t>4.4.1 Metric-level associations</w:t>
      </w:r>
    </w:p>
    <w:p w14:paraId="372B7205" w14:textId="77777777" w:rsidR="008459C2" w:rsidRDefault="00000000">
      <w:pPr>
        <w:pStyle w:val="FirstParagraph"/>
      </w:pPr>
      <w:r>
        <w:t>The first validation question is whether any flow metric tracks the independent outcome, IMD percentile change between 2010 and 2019. The answer is: only weakly, and not in the direction the cascade hypothesis predicts (Figure 4.14). Across both census legs, the strongest raw associations belong to the intensity metrics, CFI_Churn and Counter_Churn, at approximately ρ = +0.25 to +0.28: neighbourhoods with more hierarchy-crossing turnover, in either direction, tended to move up the national deprivation ranking. Cascade_Dominance, the metric that isolates direction, correlates with the outcome at only ρ = +0.049 in 2011 and +0.093 in 2021. Partial correlations controlling for baseline decile leave this pattern essentially intact and nearly identical across the two census periods, indicating a durable structural relationship rather than a period effect.</w:t>
      </w:r>
    </w:p>
    <w:p w14:paraId="18C203F6" w14:textId="77777777" w:rsidR="008459C2" w:rsidRDefault="00000000">
      <w:pPr>
        <w:pStyle w:val="BodyText"/>
      </w:pPr>
      <w:r>
        <w:t xml:space="preserve">The substantive conclusion is uncomfortable for the cascade hypothesis but analytically clear: it is the </w:t>
      </w:r>
      <w:r>
        <w:rPr>
          <w:i/>
          <w:iCs/>
        </w:rPr>
        <w:t>intensity</w:t>
      </w:r>
      <w:r>
        <w:t xml:space="preserve"> of hierarchy-crossing residential turnover, not its </w:t>
      </w:r>
      <w:r>
        <w:rPr>
          <w:i/>
          <w:iCs/>
        </w:rPr>
        <w:t>direction</w:t>
      </w:r>
      <w:r>
        <w:t>, that carries what predictive signal exists for neighbourhood deprivation trajectories. Even that signal is modest in absolute terms; the validation scatterplots show diffuse clouds with gentle slopes rather than tight relationships. Knowing whether an MSOA’s deprivation-crossing migration is cascade-led or counter-led adds almost nothing to a prediction of its subsequent deprivation trajectory.</w:t>
      </w:r>
    </w:p>
    <w:p w14:paraId="661EAC30" w14:textId="77777777" w:rsidR="008459C2" w:rsidRDefault="00000000">
      <w:pPr>
        <w:pStyle w:val="Heading3"/>
      </w:pPr>
      <w:bookmarkStart w:id="15" w:name="Xe3022160134ed2b8babdf8b80aca4b3590682db"/>
      <w:bookmarkEnd w:id="14"/>
      <w:r>
        <w:t>4.4.2 Typological validation: significant, but small and asymmetric</w:t>
      </w:r>
    </w:p>
    <w:p w14:paraId="41C093A4" w14:textId="77777777" w:rsidR="008459C2" w:rsidRDefault="00000000">
      <w:pPr>
        <w:pStyle w:val="FirstParagraph"/>
      </w:pPr>
      <w:r>
        <w:t xml:space="preserve">The Kruskal–Wallis tests comparing IMD percentile change across the four flow-regime types are statistically significant in both periods (2011: H = 34.5, p = 1.4 × 10⁻⁷; 2021: H = 28.9, p = 2.4 × 10⁻⁶), and the ordering of the types is identical in both years: Counter-led </w:t>
      </w:r>
      <w:r>
        <w:lastRenderedPageBreak/>
        <w:t>most negative, Cascade-led near zero, Symmetric slightly positive, Lateral most positive (Figure 4.15). The stability of this ordering across two very different census contexts suggests it reflects a structural property of London’s migration system.</w:t>
      </w:r>
    </w:p>
    <w:p w14:paraId="13ECCB21" w14:textId="77777777" w:rsidR="008459C2" w:rsidRDefault="00000000">
      <w:pPr>
        <w:pStyle w:val="BodyText"/>
      </w:pPr>
      <w:r>
        <w:t>These results must nevertheless be read critically, and three qualifications are made explicit here rather than deferred to the discussion. First, with N ≈ 960, near-any distributional difference reaches conventional significance; the effect size is small (ε² ≈ 0.03, i.e. the typology accounts for roughly 3% of the variance in deprivation change), the boxes overlap almost completely, and every group median lies within ±0.02 of zero on a percentile-change scale that is itself zero-sum by construction. Second, the specific contrast the cascade hypothesis requires, Cascade-led neighbourhoods ascending relative to Counter-led ones, does not hold: a one-sided Mann–Whitney test of Cascade-led against Counter-led yields p ≈ 0.26, with a median difference of only +0.013. Third, and most consequentially, the component actually driving the significant omnibus statistic is the Counter-led group sitting lowest (median −0.020), together with Lateral and Symmetric sitting flat-to-positive; the Cascade-led group is flat, noisy, and small (n = 76 in 2021, with the widest interquartile range) and contributes little signal.</w:t>
      </w:r>
    </w:p>
    <w:p w14:paraId="7E396E93" w14:textId="77777777" w:rsidR="008459C2" w:rsidRDefault="00000000">
      <w:pPr>
        <w:pStyle w:val="Heading3"/>
      </w:pPr>
      <w:bookmarkStart w:id="16" w:name="where-the-signal-lives"/>
      <w:bookmarkEnd w:id="15"/>
      <w:r>
        <w:t>4.4.3 Where the signal lives</w:t>
      </w:r>
    </w:p>
    <w:p w14:paraId="7C540971" w14:textId="77777777" w:rsidR="008459C2" w:rsidRDefault="00000000">
      <w:pPr>
        <w:pStyle w:val="FirstParagraph"/>
      </w:pPr>
      <w:r>
        <w:t xml:space="preserve">Taken together, Sections 4.4.1 and 4.4.2 establish a finding that recurs throughout the remainder of the chapter: to the extent that the flow framework carries any deprivation-trajectory signal at all, that signal lives in the counter direction, not the cascade direction. Neighbourhoods dominated by upward-directed departures and inflows from more deprived areas are the group whose relative position subsequently deteriorates, a pattern consistent with the displacement-destination side of a restructuring process, while the neighbourhoods carrying the canonical gentrification-pressure signature show no distinctive ascent. The typology is thus validated as measuring </w:t>
      </w:r>
      <w:r>
        <w:rPr>
          <w:i/>
          <w:iCs/>
        </w:rPr>
        <w:t>something</w:t>
      </w:r>
      <w:r>
        <w:t xml:space="preserve"> real and temporally durable about neighbourhood trajectories, but that something is not the attribute-defined gentrification gradient, a decoupling that Section 4.6 tests directly against two external benchmarks.</w:t>
      </w:r>
    </w:p>
    <w:p w14:paraId="3EFB209F" w14:textId="77777777" w:rsidR="008459C2" w:rsidRDefault="00000000">
      <w:pPr>
        <w:pStyle w:val="Heading2"/>
      </w:pPr>
      <w:bookmarkStart w:id="17" w:name="reference-frames-and-boundary-effects"/>
      <w:bookmarkEnd w:id="13"/>
      <w:bookmarkEnd w:id="16"/>
      <w:r>
        <w:t>4.5 Reference Frames and Boundary Effects</w:t>
      </w:r>
    </w:p>
    <w:p w14:paraId="431F553E" w14:textId="77777777" w:rsidR="008459C2" w:rsidRDefault="00000000">
      <w:pPr>
        <w:pStyle w:val="FirstParagraph"/>
      </w:pPr>
      <w:r>
        <w:t xml:space="preserve">The results so far treat London as a closed system ranked against itself. This section reports what changes, and precisely why it changes, when those two implicit decisions are relaxed under the three-frame design of Section 3.9. Two preliminary facts condition everything that follows. First, London is relatively deprived on the national IMD: 679 of 982 MSOAs (69.1%) fall below national Decile 6, even though the London-relative and national ladders are almost perfectly rank-concordant for London MSOAs (ρ ≈ 0.99). Second, the synthetic external node is fixed at national D6, and the flow-weighted diagnostic confirms this is adequate: weighting by the actual origins of in-migrants and destinations of out-migrants yields mean deciles of approximately 6.4 and 6.5 in both census years, so the </w:t>
      </w:r>
      <w:r>
        <w:rPr>
          <w:i/>
          <w:iCs/>
        </w:rPr>
        <w:t>type</w:t>
      </w:r>
      <w:r>
        <w:t xml:space="preserve"> of place London exchanges migrants with was stable across the decade even as volumes changed dramatically. The mechanical consequence of these two facts is that, for most London MSOAs, inflows from outside London register in the cascade direction and outflows to the rest of the country register in the counter direction.</w:t>
      </w:r>
    </w:p>
    <w:p w14:paraId="2416116E" w14:textId="77777777" w:rsidR="008459C2" w:rsidRDefault="00000000">
      <w:pPr>
        <w:pStyle w:val="Heading3"/>
      </w:pPr>
      <w:bookmarkStart w:id="18" w:name="Xf6c8abf5b430d93c4cb539518e29da0ada3d2b4"/>
      <w:r>
        <w:lastRenderedPageBreak/>
        <w:t>4.5.1 The reclassification effect (Frame A → Frame B)</w:t>
      </w:r>
    </w:p>
    <w:p w14:paraId="7DA75DA2" w14:textId="77777777" w:rsidR="008459C2" w:rsidRDefault="00000000">
      <w:pPr>
        <w:pStyle w:val="FirstParagraph"/>
      </w:pPr>
      <w:r>
        <w:t>Switching the decile ladder while holding the flow set fixed produces effects that are real but modest and, crucially, stable over time. Because the national ladder compresses much of London’s internal variation into a narrow band of low deciles, many moves that cross a London-relative decile boundary become lateral nationally: cross-decile churn falls by roughly 16–21% and Cross_Decile_Share drops correspondingly. The reclassification effect on the dominance balance is small and nudges mildly toward the cascade direction in both periods. In the per-MSOA decomposition (Figure 4.18), reclassification effects are tightly compressed around zero for almost every MSOA in both years. Reclassification, in short, is a measurement artefact worth isolating precisely so that it can be shown to be minor; it cannot explain the temporal dynamics reported below.</w:t>
      </w:r>
    </w:p>
    <w:p w14:paraId="18C0044B" w14:textId="77777777" w:rsidR="008459C2" w:rsidRDefault="00000000">
      <w:pPr>
        <w:pStyle w:val="Heading3"/>
      </w:pPr>
      <w:bookmarkStart w:id="19" w:name="Xf84a9effb2d10ab06491cf0d928adcdfaa28e3d"/>
      <w:bookmarkEnd w:id="18"/>
      <w:r>
        <w:t>4.5.2 The external-flow effect (Frame B → Frame C): a pandemic-era exodus</w:t>
      </w:r>
    </w:p>
    <w:p w14:paraId="19716F11" w14:textId="77777777" w:rsidR="008459C2" w:rsidRDefault="00000000">
      <w:pPr>
        <w:pStyle w:val="FirstParagraph"/>
      </w:pPr>
      <w:r>
        <w:t>Adding London-touching external flows is a different matter entirely, and it is here that the single most striking temporal result of the study emerges. Between the two census years, external inflows to London fell by 17.8% while external outflows rose by 51.3%: London’s exchange with the rest of England and Wales shifted from a broadly two-way circulation towards a strongly asymmetric net export of residents. This asymmetry appears at every decile: inflows from outside decline and outflows to the outside increase across the entire hierarchy, with the outflow surge concentrated among the more deprived London MSOAs in national D2–D4 (Figure 4.16). By 2021, net external flows are negative at every decile.</w:t>
      </w:r>
    </w:p>
    <w:p w14:paraId="2FBE8D09" w14:textId="77777777" w:rsidR="008459C2" w:rsidRDefault="00000000">
      <w:pPr>
        <w:pStyle w:val="BodyText"/>
      </w:pPr>
      <w:r>
        <w:t xml:space="preserve">Because most London MSOAs sit below the external node’s decile, this exodus registers overwhelmingly as counter-cascade churn. The external counter-churn contribution rose from 181,420 person-moves in 2011 to 257,393 in 2021. The three-way flow decomposition (Figure 4.17) attributes the decade’s counter-shift precisely: of the growth in counter-direction churn, moves from London to outside contribute +85,737, internal within-London reshuffling contributes a secondary +22,326, and moves from outside into London actually </w:t>
      </w:r>
      <w:r>
        <w:rPr>
          <w:i/>
          <w:iCs/>
        </w:rPr>
        <w:t>decline</w:t>
      </w:r>
      <w:r>
        <w:t xml:space="preserve"> by 9,764, with both the cascade and counter components of inbound flows shrinking as total in-migration to London contracted. The counter-shift documented in Frame A throughout Sections 4.2 and 4.3 is therefore genuinely present in London’s internal system, but the far larger boundary-crossing component of the shift is driven by people leaving the city altogether.</w:t>
      </w:r>
    </w:p>
    <w:p w14:paraId="3C354C0A" w14:textId="77777777" w:rsidR="008459C2" w:rsidRDefault="00000000">
      <w:pPr>
        <w:pStyle w:val="Heading3"/>
      </w:pPr>
      <w:bookmarkStart w:id="20" w:name="decomposing-the-dominance-shift"/>
      <w:bookmarkEnd w:id="19"/>
      <w:r>
        <w:t>4.5.3 Decomposing the dominance shift</w:t>
      </w:r>
    </w:p>
    <w:p w14:paraId="63B2F731" w14:textId="77777777" w:rsidR="008459C2" w:rsidRDefault="00000000">
      <w:pPr>
        <w:pStyle w:val="FirstParagraph"/>
      </w:pPr>
      <w:r>
        <w:t>The per-MSOA decomposition of the Frame A → Frame C dominance shift quantifies the relative weight of the two mechanisms. External flows account for approximately 73% of the mean dominance shift in 2011 and 111% in 2021, in the latter year more than fully accounting for the shift and overpowering a small offsetting reclassification component (−11%). Mean dominance under Frame C fell from 0.4862 in 2011 to 0.4551 in 2021; counter dominance holds under all three frames in both periods, so no frame choice overturns the counter-led characterisation of the system.</w:t>
      </w:r>
    </w:p>
    <w:p w14:paraId="63C211A7" w14:textId="77777777" w:rsidR="008459C2" w:rsidRDefault="00000000">
      <w:pPr>
        <w:pStyle w:val="BodyText"/>
      </w:pPr>
      <w:r>
        <w:t xml:space="preserve">The decile-resolved decomposition (Figure 4.18) additionally reveals a structural split in how external migration acts on the city. External flows push the minority of London MSOAs </w:t>
      </w:r>
      <w:r>
        <w:lastRenderedPageBreak/>
        <w:t xml:space="preserve">above national D6 (roughly the wealthiest 31%) toward </w:t>
      </w:r>
      <w:r>
        <w:rPr>
          <w:i/>
          <w:iCs/>
        </w:rPr>
        <w:t>cascade</w:t>
      </w:r>
      <w:r>
        <w:t xml:space="preserve"> dominance, because for them outflows to the D6 external node count as poorer-directed departures; simultaneously they push the 69% majority below D6 toward </w:t>
      </w:r>
      <w:r>
        <w:rPr>
          <w:i/>
          <w:iCs/>
        </w:rPr>
        <w:t>counter</w:t>
      </w:r>
      <w:r>
        <w:t xml:space="preserve"> dominance. The city-wide counter shift is thus a composition effect: the counter-push acting on the numerous deprived majority overwhelms the cascade-push acting on the affluent minority. Decile 6, where external flows are lateral by construction, provides an internal check: the residual effect visible there is pure reclassification, and it is small.</w:t>
      </w:r>
    </w:p>
    <w:p w14:paraId="272C215D" w14:textId="77777777" w:rsidR="008459C2" w:rsidRDefault="00000000">
      <w:pPr>
        <w:pStyle w:val="Heading3"/>
      </w:pPr>
      <w:bookmarkStart w:id="21" w:name="the-typology-under-three-frames"/>
      <w:bookmarkEnd w:id="20"/>
      <w:r>
        <w:t>4.5.4 The typology under three frames</w:t>
      </w:r>
    </w:p>
    <w:p w14:paraId="6308C3A0" w14:textId="77777777" w:rsidR="008459C2" w:rsidRDefault="00000000">
      <w:pPr>
        <w:pStyle w:val="FirstParagraph"/>
      </w:pPr>
      <w:r>
        <w:t>Table 4.3 reports the typology under Frames A and C (Frame B values are intermediate and dominated by the Frame A pattern). The qualitative decade trend, Cascade-led contracting and Counter-led expanding, survives every frame. But the frames disagree instructively on levels and on the shape of change.</w:t>
      </w:r>
    </w:p>
    <w:p w14:paraId="6245BEF8" w14:textId="77777777" w:rsidR="008459C2" w:rsidRDefault="00000000">
      <w:pPr>
        <w:pStyle w:val="BodyText"/>
      </w:pPr>
      <w:r>
        <w:t>Table 4.3. Flow-regime typology under Frames A and C.</w:t>
      </w:r>
    </w:p>
    <w:tbl>
      <w:tblPr>
        <w:tblStyle w:val="Table"/>
        <w:tblW w:w="0" w:type="auto"/>
        <w:tblLook w:val="0020" w:firstRow="1" w:lastRow="0" w:firstColumn="0" w:lastColumn="0" w:noHBand="0" w:noVBand="0"/>
      </w:tblPr>
      <w:tblGrid>
        <w:gridCol w:w="1440"/>
        <w:gridCol w:w="1665"/>
        <w:gridCol w:w="1665"/>
        <w:gridCol w:w="1651"/>
        <w:gridCol w:w="1651"/>
      </w:tblGrid>
      <w:tr w:rsidR="008459C2" w14:paraId="6480D39B" w14:textId="77777777" w:rsidTr="008459C2">
        <w:trPr>
          <w:cnfStyle w:val="100000000000" w:firstRow="1" w:lastRow="0" w:firstColumn="0" w:lastColumn="0" w:oddVBand="0" w:evenVBand="0" w:oddHBand="0" w:evenHBand="0" w:firstRowFirstColumn="0" w:firstRowLastColumn="0" w:lastRowFirstColumn="0" w:lastRowLastColumn="0"/>
          <w:tblHeader/>
        </w:trPr>
        <w:tc>
          <w:tcPr>
            <w:tcW w:w="0" w:type="auto"/>
          </w:tcPr>
          <w:p w14:paraId="28BC14E0" w14:textId="77777777" w:rsidR="008459C2" w:rsidRDefault="00000000">
            <w:pPr>
              <w:pStyle w:val="Compact"/>
            </w:pPr>
            <w:r>
              <w:t>Type</w:t>
            </w:r>
          </w:p>
        </w:tc>
        <w:tc>
          <w:tcPr>
            <w:tcW w:w="0" w:type="auto"/>
          </w:tcPr>
          <w:p w14:paraId="5279949D" w14:textId="77777777" w:rsidR="008459C2" w:rsidRDefault="00000000">
            <w:pPr>
              <w:pStyle w:val="Compact"/>
            </w:pPr>
            <w:r>
              <w:t>Frame A 2011</w:t>
            </w:r>
          </w:p>
        </w:tc>
        <w:tc>
          <w:tcPr>
            <w:tcW w:w="0" w:type="auto"/>
          </w:tcPr>
          <w:p w14:paraId="1D473091" w14:textId="77777777" w:rsidR="008459C2" w:rsidRDefault="00000000">
            <w:pPr>
              <w:pStyle w:val="Compact"/>
            </w:pPr>
            <w:r>
              <w:t>Frame A 2021</w:t>
            </w:r>
          </w:p>
        </w:tc>
        <w:tc>
          <w:tcPr>
            <w:tcW w:w="0" w:type="auto"/>
          </w:tcPr>
          <w:p w14:paraId="4F1EE2DF" w14:textId="77777777" w:rsidR="008459C2" w:rsidRDefault="00000000">
            <w:pPr>
              <w:pStyle w:val="Compact"/>
            </w:pPr>
            <w:r>
              <w:t>Frame C 2011</w:t>
            </w:r>
          </w:p>
        </w:tc>
        <w:tc>
          <w:tcPr>
            <w:tcW w:w="0" w:type="auto"/>
          </w:tcPr>
          <w:p w14:paraId="6EF267B1" w14:textId="77777777" w:rsidR="008459C2" w:rsidRDefault="00000000">
            <w:pPr>
              <w:pStyle w:val="Compact"/>
            </w:pPr>
            <w:r>
              <w:t>Frame C 2021</w:t>
            </w:r>
          </w:p>
        </w:tc>
      </w:tr>
      <w:tr w:rsidR="008459C2" w14:paraId="2F50F037" w14:textId="77777777">
        <w:tc>
          <w:tcPr>
            <w:tcW w:w="0" w:type="auto"/>
          </w:tcPr>
          <w:p w14:paraId="3D42C723" w14:textId="77777777" w:rsidR="008459C2" w:rsidRDefault="00000000">
            <w:pPr>
              <w:pStyle w:val="Compact"/>
            </w:pPr>
            <w:r>
              <w:t>Cascade-led</w:t>
            </w:r>
          </w:p>
        </w:tc>
        <w:tc>
          <w:tcPr>
            <w:tcW w:w="0" w:type="auto"/>
          </w:tcPr>
          <w:p w14:paraId="45DE5DC9" w14:textId="77777777" w:rsidR="008459C2" w:rsidRDefault="00000000">
            <w:pPr>
              <w:pStyle w:val="Compact"/>
            </w:pPr>
            <w:r>
              <w:t>129</w:t>
            </w:r>
          </w:p>
        </w:tc>
        <w:tc>
          <w:tcPr>
            <w:tcW w:w="0" w:type="auto"/>
          </w:tcPr>
          <w:p w14:paraId="7EC0BA36" w14:textId="77777777" w:rsidR="008459C2" w:rsidRDefault="00000000">
            <w:pPr>
              <w:pStyle w:val="Compact"/>
            </w:pPr>
            <w:r>
              <w:t>76</w:t>
            </w:r>
          </w:p>
        </w:tc>
        <w:tc>
          <w:tcPr>
            <w:tcW w:w="0" w:type="auto"/>
          </w:tcPr>
          <w:p w14:paraId="42B4B3C9" w14:textId="77777777" w:rsidR="008459C2" w:rsidRDefault="00000000">
            <w:pPr>
              <w:pStyle w:val="Compact"/>
            </w:pPr>
            <w:r>
              <w:t>213</w:t>
            </w:r>
          </w:p>
        </w:tc>
        <w:tc>
          <w:tcPr>
            <w:tcW w:w="0" w:type="auto"/>
          </w:tcPr>
          <w:p w14:paraId="2961FDC3" w14:textId="77777777" w:rsidR="008459C2" w:rsidRDefault="00000000">
            <w:pPr>
              <w:pStyle w:val="Compact"/>
            </w:pPr>
            <w:r>
              <w:t>195</w:t>
            </w:r>
          </w:p>
        </w:tc>
      </w:tr>
      <w:tr w:rsidR="008459C2" w14:paraId="713824AE" w14:textId="77777777">
        <w:tc>
          <w:tcPr>
            <w:tcW w:w="0" w:type="auto"/>
          </w:tcPr>
          <w:p w14:paraId="4F1C47AB" w14:textId="77777777" w:rsidR="008459C2" w:rsidRDefault="00000000">
            <w:pPr>
              <w:pStyle w:val="Compact"/>
            </w:pPr>
            <w:r>
              <w:t>Counter-led</w:t>
            </w:r>
          </w:p>
        </w:tc>
        <w:tc>
          <w:tcPr>
            <w:tcW w:w="0" w:type="auto"/>
          </w:tcPr>
          <w:p w14:paraId="0AF65539" w14:textId="77777777" w:rsidR="008459C2" w:rsidRDefault="00000000">
            <w:pPr>
              <w:pStyle w:val="Compact"/>
            </w:pPr>
            <w:r>
              <w:t>339</w:t>
            </w:r>
          </w:p>
        </w:tc>
        <w:tc>
          <w:tcPr>
            <w:tcW w:w="0" w:type="auto"/>
          </w:tcPr>
          <w:p w14:paraId="273026FA" w14:textId="77777777" w:rsidR="008459C2" w:rsidRDefault="00000000">
            <w:pPr>
              <w:pStyle w:val="Compact"/>
            </w:pPr>
            <w:r>
              <w:t>416</w:t>
            </w:r>
          </w:p>
        </w:tc>
        <w:tc>
          <w:tcPr>
            <w:tcW w:w="0" w:type="auto"/>
          </w:tcPr>
          <w:p w14:paraId="7D54124B" w14:textId="77777777" w:rsidR="008459C2" w:rsidRDefault="00000000">
            <w:pPr>
              <w:pStyle w:val="Compact"/>
            </w:pPr>
            <w:r>
              <w:t>280</w:t>
            </w:r>
          </w:p>
        </w:tc>
        <w:tc>
          <w:tcPr>
            <w:tcW w:w="0" w:type="auto"/>
          </w:tcPr>
          <w:p w14:paraId="1D4EC068" w14:textId="77777777" w:rsidR="008459C2" w:rsidRDefault="00000000">
            <w:pPr>
              <w:pStyle w:val="Compact"/>
            </w:pPr>
            <w:r>
              <w:t>452</w:t>
            </w:r>
          </w:p>
        </w:tc>
      </w:tr>
      <w:tr w:rsidR="008459C2" w14:paraId="20C64839" w14:textId="77777777">
        <w:tc>
          <w:tcPr>
            <w:tcW w:w="0" w:type="auto"/>
          </w:tcPr>
          <w:p w14:paraId="11E40B51" w14:textId="77777777" w:rsidR="008459C2" w:rsidRDefault="00000000">
            <w:pPr>
              <w:pStyle w:val="Compact"/>
            </w:pPr>
            <w:r>
              <w:t>Symmetric</w:t>
            </w:r>
          </w:p>
        </w:tc>
        <w:tc>
          <w:tcPr>
            <w:tcW w:w="0" w:type="auto"/>
          </w:tcPr>
          <w:p w14:paraId="7492EFAD" w14:textId="77777777" w:rsidR="008459C2" w:rsidRDefault="00000000">
            <w:pPr>
              <w:pStyle w:val="Compact"/>
            </w:pPr>
            <w:r>
              <w:t>268</w:t>
            </w:r>
          </w:p>
        </w:tc>
        <w:tc>
          <w:tcPr>
            <w:tcW w:w="0" w:type="auto"/>
          </w:tcPr>
          <w:p w14:paraId="4401A41A" w14:textId="77777777" w:rsidR="008459C2" w:rsidRDefault="00000000">
            <w:pPr>
              <w:pStyle w:val="Compact"/>
            </w:pPr>
            <w:r>
              <w:t>224</w:t>
            </w:r>
          </w:p>
        </w:tc>
        <w:tc>
          <w:tcPr>
            <w:tcW w:w="0" w:type="auto"/>
          </w:tcPr>
          <w:p w14:paraId="0E0154A3" w14:textId="77777777" w:rsidR="008459C2" w:rsidRDefault="00000000">
            <w:pPr>
              <w:pStyle w:val="Compact"/>
            </w:pPr>
            <w:r>
              <w:t>243</w:t>
            </w:r>
          </w:p>
        </w:tc>
        <w:tc>
          <w:tcPr>
            <w:tcW w:w="0" w:type="auto"/>
          </w:tcPr>
          <w:p w14:paraId="6418A6DD" w14:textId="77777777" w:rsidR="008459C2" w:rsidRDefault="00000000">
            <w:pPr>
              <w:pStyle w:val="Compact"/>
            </w:pPr>
            <w:r>
              <w:t>89</w:t>
            </w:r>
          </w:p>
        </w:tc>
      </w:tr>
      <w:tr w:rsidR="008459C2" w14:paraId="4EA19FCA" w14:textId="77777777">
        <w:tc>
          <w:tcPr>
            <w:tcW w:w="0" w:type="auto"/>
          </w:tcPr>
          <w:p w14:paraId="71CD87AC" w14:textId="77777777" w:rsidR="008459C2" w:rsidRDefault="00000000">
            <w:pPr>
              <w:pStyle w:val="Compact"/>
            </w:pPr>
            <w:r>
              <w:t>Lateral</w:t>
            </w:r>
          </w:p>
        </w:tc>
        <w:tc>
          <w:tcPr>
            <w:tcW w:w="0" w:type="auto"/>
          </w:tcPr>
          <w:p w14:paraId="74DAD0EF" w14:textId="77777777" w:rsidR="008459C2" w:rsidRDefault="00000000">
            <w:pPr>
              <w:pStyle w:val="Compact"/>
            </w:pPr>
            <w:r>
              <w:t>246</w:t>
            </w:r>
          </w:p>
        </w:tc>
        <w:tc>
          <w:tcPr>
            <w:tcW w:w="0" w:type="auto"/>
          </w:tcPr>
          <w:p w14:paraId="098E5FFB" w14:textId="77777777" w:rsidR="008459C2" w:rsidRDefault="00000000">
            <w:pPr>
              <w:pStyle w:val="Compact"/>
            </w:pPr>
            <w:r>
              <w:t>246</w:t>
            </w:r>
          </w:p>
        </w:tc>
        <w:tc>
          <w:tcPr>
            <w:tcW w:w="0" w:type="auto"/>
          </w:tcPr>
          <w:p w14:paraId="3604DD1A" w14:textId="77777777" w:rsidR="008459C2" w:rsidRDefault="00000000">
            <w:pPr>
              <w:pStyle w:val="Compact"/>
            </w:pPr>
            <w:r>
              <w:t>246</w:t>
            </w:r>
          </w:p>
        </w:tc>
        <w:tc>
          <w:tcPr>
            <w:tcW w:w="0" w:type="auto"/>
          </w:tcPr>
          <w:p w14:paraId="73A2FBC5" w14:textId="77777777" w:rsidR="008459C2" w:rsidRDefault="00000000">
            <w:pPr>
              <w:pStyle w:val="Compact"/>
            </w:pPr>
            <w:r>
              <w:t>226</w:t>
            </w:r>
          </w:p>
        </w:tc>
      </w:tr>
      <w:tr w:rsidR="008459C2" w14:paraId="4C8AD724" w14:textId="77777777">
        <w:tc>
          <w:tcPr>
            <w:tcW w:w="0" w:type="auto"/>
          </w:tcPr>
          <w:p w14:paraId="297BDF87" w14:textId="77777777" w:rsidR="008459C2" w:rsidRDefault="00000000">
            <w:pPr>
              <w:pStyle w:val="Compact"/>
            </w:pPr>
            <w:r>
              <w:t>Suppressed</w:t>
            </w:r>
          </w:p>
        </w:tc>
        <w:tc>
          <w:tcPr>
            <w:tcW w:w="0" w:type="auto"/>
          </w:tcPr>
          <w:p w14:paraId="103AFB0A" w14:textId="77777777" w:rsidR="008459C2" w:rsidRDefault="00000000">
            <w:pPr>
              <w:pStyle w:val="Compact"/>
            </w:pPr>
            <w:r>
              <w:t>0</w:t>
            </w:r>
          </w:p>
        </w:tc>
        <w:tc>
          <w:tcPr>
            <w:tcW w:w="0" w:type="auto"/>
          </w:tcPr>
          <w:p w14:paraId="41BD5C90" w14:textId="77777777" w:rsidR="008459C2" w:rsidRDefault="00000000">
            <w:pPr>
              <w:pStyle w:val="Compact"/>
            </w:pPr>
            <w:r>
              <w:t>20</w:t>
            </w:r>
          </w:p>
        </w:tc>
        <w:tc>
          <w:tcPr>
            <w:tcW w:w="0" w:type="auto"/>
          </w:tcPr>
          <w:p w14:paraId="1894E76B" w14:textId="77777777" w:rsidR="008459C2" w:rsidRDefault="00000000">
            <w:pPr>
              <w:pStyle w:val="Compact"/>
            </w:pPr>
            <w:r>
              <w:t>0</w:t>
            </w:r>
          </w:p>
        </w:tc>
        <w:tc>
          <w:tcPr>
            <w:tcW w:w="0" w:type="auto"/>
          </w:tcPr>
          <w:p w14:paraId="237EA4F4" w14:textId="77777777" w:rsidR="008459C2" w:rsidRDefault="00000000">
            <w:pPr>
              <w:pStyle w:val="Compact"/>
            </w:pPr>
            <w:r>
              <w:t>20</w:t>
            </w:r>
          </w:p>
        </w:tc>
      </w:tr>
    </w:tbl>
    <w:p w14:paraId="056C6A41" w14:textId="77777777" w:rsidR="008459C2" w:rsidRDefault="00000000">
      <w:pPr>
        <w:pStyle w:val="BodyText"/>
      </w:pPr>
      <w:r>
        <w:t>Three features stand out (Figure 4.19). First, Frame C records substantially more Cascade-led MSOAs than Frame A in both years, the direct signature of the 69% of MSOAs for which external inflows count as wealthier arrivals. Second, under the national frame the middle ground hollows out dramatically by 2021: the Symmetric category collapses from 243 to 89 as neighbourhoods polarise toward one directional extreme or the other. Third, the sign-concordance structure under Frame C registers the exodus in its own terms: net-exporter MSOAs (losing residents in both directions of the hierarchy) more than double from 53 to 116, while net receivers fall from 25 to 10, even as upward-connected hubs remain the majority category in both years (roughly 53%). Every typology switch between frames is attributable, via Frame B, to one mechanism or the other; the earlier proxy approach based on focal-MSOA decile stability was verified to be invalid and is not used.</w:t>
      </w:r>
    </w:p>
    <w:p w14:paraId="2B3501DA" w14:textId="77777777" w:rsidR="008459C2" w:rsidRDefault="00000000">
      <w:pPr>
        <w:pStyle w:val="Heading3"/>
      </w:pPr>
      <w:bookmarkStart w:id="22" w:name="Xc0285348f1c83c462e42e1ab4dc72614d87f7cd"/>
      <w:bookmarkEnd w:id="21"/>
      <w:r>
        <w:t>4.5.5 Extreme MSOAs: two different processes in the same tail</w:t>
      </w:r>
    </w:p>
    <w:p w14:paraId="2B94D18D" w14:textId="77777777" w:rsidR="008459C2" w:rsidRDefault="00000000">
      <w:pPr>
        <w:pStyle w:val="FirstParagraph"/>
      </w:pPr>
      <w:r>
        <w:t xml:space="preserve">Ranking non-Lateral MSOAs by national-frame dominance and mapping the extremes (Figure 4.20) exposes the finding that motivates the case-study diagnostics. In 2011, the cascade-dominant extremes are predominantly inner London (8 of 12), located in Camden, Southwark, Islington, Tower Hamlets and Lewisham, the classic gentrification cores, and their cascade inflow shares (the proportion of the cascade signal contributed by wealthier arrivals rather than poorer-directed departures) range from 40% to 93%: the signal is genuinely inflow-led, affluent in-migration into inner London. In 2021, the composition of the same tail inverts. Only 2 of 12 cascade extremes remain inner (in Camden and Tower </w:t>
      </w:r>
      <w:r>
        <w:lastRenderedPageBreak/>
        <w:t>Hamlets, the same cores as 2011); the tail refills with high-decile outer boroughs, Kingston, Harrow, Richmond, Barnet and Sutton, whose cascade inflow shares collapse to 1–35% (Harrow 1%, Kingston 7%, Barnet 16%). For these areas the cascade arm is almost entirely Outflow_Poorer: affluent residents departing for areas classified below them, in the national frame predominantly the external node, that is, leaving London.</w:t>
      </w:r>
    </w:p>
    <w:p w14:paraId="0737E166" w14:textId="77777777" w:rsidR="008459C2" w:rsidRDefault="00000000">
      <w:pPr>
        <w:pStyle w:val="BodyText"/>
      </w:pPr>
      <w:r>
        <w:t xml:space="preserve">The 2021 cascade tail is therefore not evidence of gentrification relocating from inner to outer London. It records a change in </w:t>
      </w:r>
      <w:r>
        <w:rPr>
          <w:i/>
          <w:iCs/>
        </w:rPr>
        <w:t>which process dominates the metric</w:t>
      </w:r>
      <w:r>
        <w:t>: a durable, inflow-led gentrification cascade that narrows to a small number of inner cores, and an episodic, outflow-driven affluent exodus from the outer ring, consistent with pandemic-era suburbanisation, that the national frame classifies as cascade because of the D6 external node. Persistence in the extreme tail is correspondingly low: cascade-extreme status is largely transient and frame-specific rather than a stable structural property. Consistent with the ring-level transition analysis under Frame C, inner-London Cascade-led membership collapses from 99 MSOAs in 2011 to 18 persisting (43 flipping to Counter-led and 30 to Symmetric), only 29 of the 195 Cascade-led MSOAs in 2021 are inner, and 85% (166 of 195) are outer, where persistence is far higher (85 of 114, 74.6%) and 66 formerly Symmetric MSOAs entered the category. Counter-led, by contrast, behaves as a near-absorbing state: 89% of 2011 Counter-led MSOAs remain Counter-led in 2021, the largest single transition into the category is Symmetric→Counter (126 MSOAs), and only 15 MSOAs move from Counter-led to Cascade-led across the entire decade.</w:t>
      </w:r>
    </w:p>
    <w:p w14:paraId="05CEAB00" w14:textId="77777777" w:rsidR="008459C2" w:rsidRDefault="00000000">
      <w:pPr>
        <w:pStyle w:val="BodyText"/>
      </w:pPr>
      <w:r>
        <w:t>These results jointly justify the reporting architecture adopted throughout this chapter: Frame A remains the faithful lens on intra-urban restructuring, answering how London reshapes itself, while Frame C supplies the indispensable complementary context, London is not a vacuum, and exposes an exodus dynamic that a London-only analysis is structurally incapable of seeing, at the acknowledged cost of manufacturing cascade signals at the boundary. The metrological caveat from Section 3.11 applies with full force: the 2021 Census was collected in March 2021 under lockdown, which both caused the suburbanisation being measured and degraded its measurement, so the within-London volume declines are interpreted conservatively and the design cannot distinguish a durable structural shift from a transient pandemic artefact.</w:t>
      </w:r>
    </w:p>
    <w:p w14:paraId="6482C12A" w14:textId="77777777" w:rsidR="008459C2" w:rsidRDefault="00000000">
      <w:pPr>
        <w:pStyle w:val="Heading3"/>
      </w:pPr>
      <w:bookmarkStart w:id="23" w:name="X6123a99bc5882f00f74f66f4eb999ba45d0dd1a"/>
      <w:bookmarkEnd w:id="22"/>
      <w:r>
        <w:t>4.5.6 A time-symmetric mechanism decomposition of the cascade-led class</w:t>
      </w:r>
    </w:p>
    <w:p w14:paraId="073961DF" w14:textId="77777777" w:rsidR="008459C2" w:rsidRDefault="00000000">
      <w:pPr>
        <w:pStyle w:val="FirstParagraph"/>
      </w:pPr>
      <w:r>
        <w:t xml:space="preserve">The contrast drawn in Section 4.5.5, between an inflow-led inner cascade and an outflow-driven outer exodus, initially rested on categories that were not applied symmetrically across census years: </w:t>
      </w:r>
      <w:r>
        <w:rPr>
          <w:i/>
          <w:iCs/>
        </w:rPr>
        <w:t>genuine cascade</w:t>
      </w:r>
      <w:r>
        <w:t xml:space="preserve"> was born from the 2011 comparison and </w:t>
      </w:r>
      <w:r>
        <w:rPr>
          <w:i/>
          <w:iCs/>
        </w:rPr>
        <w:t>exodus</w:t>
      </w:r>
      <w:r>
        <w:t xml:space="preserve"> from the 2021 anomaly, so the 2011 map could not honestly use “exodus” for its outflow-driven belt. To repair this definitional asymmetry, the cascade-led class under Frame C is decomposed by a per-year mechanism tree that knows nothing about which year it is in (Section 3.10.5). The tree first splits on the </w:t>
      </w:r>
      <w:r>
        <w:rPr>
          <w:b/>
          <w:bCs/>
        </w:rPr>
        <w:t>cascade inflow share</w:t>
      </w:r>
      <w:r>
        <w:t xml:space="preserve"> (the proportion of an MSOA’s cascade churn contributed by wealthier arrivals): MSOAs at or above 0.25 are </w:t>
      </w:r>
      <w:r>
        <w:rPr>
          <w:i/>
          <w:iCs/>
        </w:rPr>
        <w:t>inflow-led</w:t>
      </w:r>
      <w:r>
        <w:t xml:space="preserve">, subdivided into </w:t>
      </w:r>
      <w:r>
        <w:rPr>
          <w:b/>
          <w:bCs/>
        </w:rPr>
        <w:t>inflow-driven</w:t>
      </w:r>
      <w:r>
        <w:t xml:space="preserve"> (also Cascade-led under Frame A, i.e. frame-robust) and a </w:t>
      </w:r>
      <w:r>
        <w:rPr>
          <w:b/>
          <w:bCs/>
        </w:rPr>
        <w:t>frame-sensitive</w:t>
      </w:r>
      <w:r>
        <w:t xml:space="preserve"> residual; MSOAs below 0.25 are </w:t>
      </w:r>
      <w:r>
        <w:rPr>
          <w:i/>
          <w:iCs/>
        </w:rPr>
        <w:t>outflow-dominated</w:t>
      </w:r>
      <w:r>
        <w:t xml:space="preserve">, subdivided by the </w:t>
      </w:r>
      <w:r>
        <w:rPr>
          <w:b/>
          <w:bCs/>
        </w:rPr>
        <w:t>external arm share</w:t>
      </w:r>
      <w:r>
        <w:t xml:space="preserve"> (the proportion of the Frame C Outflow_Poorer arm going to the external node) into </w:t>
      </w:r>
      <w:r>
        <w:rPr>
          <w:b/>
          <w:bCs/>
        </w:rPr>
        <w:t>outflow: external-majority</w:t>
      </w:r>
      <w:r>
        <w:t xml:space="preserve"> (share ≥ 0.5) and </w:t>
      </w:r>
      <w:r>
        <w:rPr>
          <w:b/>
          <w:bCs/>
        </w:rPr>
        <w:t xml:space="preserve">outflow: </w:t>
      </w:r>
      <w:r>
        <w:rPr>
          <w:b/>
          <w:bCs/>
        </w:rPr>
        <w:lastRenderedPageBreak/>
        <w:t>internal-majority</w:t>
      </w:r>
      <w:r>
        <w:t xml:space="preserve">. The narrative labels are cross-year interpretations layered on top: </w:t>
      </w:r>
      <w:r>
        <w:rPr>
          <w:i/>
          <w:iCs/>
        </w:rPr>
        <w:t>genuine cascade</w:t>
      </w:r>
      <w:r>
        <w:t xml:space="preserve"> denotes membership of the inflow-driven leaf in both years, and </w:t>
      </w:r>
      <w:r>
        <w:rPr>
          <w:i/>
          <w:iCs/>
        </w:rPr>
        <w:t>exodus</w:t>
      </w:r>
      <w:r>
        <w:t xml:space="preserve"> denotes the 2021 external-majority class read against its 2011 baseline.</w:t>
      </w:r>
    </w:p>
    <w:p w14:paraId="3F6C53EC" w14:textId="77777777" w:rsidR="008459C2" w:rsidRDefault="00000000">
      <w:pPr>
        <w:pStyle w:val="BodyText"/>
      </w:pPr>
      <w:r>
        <w:t>The two thresholds have deliberately different epistemic status. The inflow-share cut of 0.25 sits inside an empirical gap of the inflow-share distribution among frame-robust cascade-led MSOAs: the interval between approximately 0.23 and 0.30 in 2011, and 0.16 and 0.31 in 2021, is empty in both censuses independently, so any threshold inside the shared gap yields an identical classification and the exact value carries no weight. A 0.5 cut would be wrong in principle, because under the chain-displacement mechanism the outflow arm is expected to be comparable to or larger than the inflow arm, and it would misclassify the archetypal persistent cascades (Camden 026, with inflow shares of 0.46 and 0.40 across the two years, and Tower Hamlets 010, with 0.49 and 0.45) as outflow-driven. The external-majority cut of 0.5, by contrast, has no empirical gap, the distribution is dense through 0.40–0.60 in both years, and is therefore declared as what it is: a majority convention, at which the class label is literally true (“the majority of this area’s poorer-directed outflow leaves London”), defended by a sensitivity band. At cuts of 0.45, 0.50 and 0.55 the external-majority class grows from 38 to 103, from 19 to 78, and from 8 to 46 MSOAs respectively between the censuses; the growth ratio (×2.7, ×4.1, ×5.8) strengthens as the cut tightens, and the fully outer-London geography of the class holds throughout, so the class boundary moves but the phenomenon does not. A structural note: the external arm share is defined only for MSOAs above national Decile 6, because the external node is only “poorer” from above; this exclusion is immaterial, as none of the outflow-dominated MSOAs in 2021 sit at or below D6.</w:t>
      </w:r>
    </w:p>
    <w:p w14:paraId="39DC4925" w14:textId="77777777" w:rsidR="008459C2" w:rsidRDefault="00000000">
      <w:pPr>
        <w:pStyle w:val="BodyText"/>
      </w:pPr>
      <w:r>
        <w:t>Table 4.4 reports the leaf counts. The asymmetry that motivated the tree is now an empirical finding rather than a definitional flaw: the inflow-driven leaf collapses from 56 MSOAs in 2011 to 13 in 2021, while the external-majority leaf grows from 19 to 78, a fourfold expansion located entirely in outer London. Read together with the external-flow shift of Section 4.5.2 (inflows −17.8%, outflows +51.3%), this licenses the exodus interpretation of the 2021 external-majority class while treating its 2011 members as the pre-pandemic baseline. The internal-majority leaf, numbering 90 MSOAs in 2021, is dominated by the national-ladder artefact: from national Decile 8, most of London counts as poorer, so a downward-outflow cascade can be manufactured by the ladder without any resident crossing the city boundary. Eight MSOAs occupy the inflow-driven leaf in both censuses and constitute the genuine-persistent set analysed in Sections 4.6 and 4.7.</w:t>
      </w:r>
    </w:p>
    <w:p w14:paraId="52EEE410" w14:textId="77777777" w:rsidR="008459C2" w:rsidRDefault="00000000">
      <w:pPr>
        <w:pStyle w:val="BodyText"/>
      </w:pPr>
      <w:r>
        <w:t>Table 4.4. Mechanism-leaf counts within the Frame C Cascade-led class.</w:t>
      </w:r>
    </w:p>
    <w:tbl>
      <w:tblPr>
        <w:tblStyle w:val="Table"/>
        <w:tblW w:w="5000" w:type="pct"/>
        <w:tblLook w:val="0020" w:firstRow="1" w:lastRow="0" w:firstColumn="0" w:lastColumn="0" w:noHBand="0" w:noVBand="0"/>
      </w:tblPr>
      <w:tblGrid>
        <w:gridCol w:w="3165"/>
        <w:gridCol w:w="4889"/>
        <w:gridCol w:w="761"/>
        <w:gridCol w:w="761"/>
      </w:tblGrid>
      <w:tr w:rsidR="008459C2" w14:paraId="2460086E" w14:textId="77777777" w:rsidTr="008459C2">
        <w:trPr>
          <w:cnfStyle w:val="100000000000" w:firstRow="1" w:lastRow="0" w:firstColumn="0" w:lastColumn="0" w:oddVBand="0" w:evenVBand="0" w:oddHBand="0" w:evenHBand="0" w:firstRowFirstColumn="0" w:firstRowLastColumn="0" w:lastRowFirstColumn="0" w:lastRowLastColumn="0"/>
          <w:tblHeader/>
        </w:trPr>
        <w:tc>
          <w:tcPr>
            <w:tcW w:w="0" w:type="auto"/>
          </w:tcPr>
          <w:p w14:paraId="31B00890" w14:textId="77777777" w:rsidR="008459C2" w:rsidRDefault="00000000">
            <w:pPr>
              <w:pStyle w:val="Compact"/>
            </w:pPr>
            <w:r>
              <w:t>Leaf</w:t>
            </w:r>
          </w:p>
        </w:tc>
        <w:tc>
          <w:tcPr>
            <w:tcW w:w="0" w:type="auto"/>
          </w:tcPr>
          <w:p w14:paraId="4945527B" w14:textId="77777777" w:rsidR="008459C2" w:rsidRDefault="00000000">
            <w:pPr>
              <w:pStyle w:val="Compact"/>
            </w:pPr>
            <w:r>
              <w:t>Rule (per year)</w:t>
            </w:r>
          </w:p>
        </w:tc>
        <w:tc>
          <w:tcPr>
            <w:tcW w:w="0" w:type="auto"/>
          </w:tcPr>
          <w:p w14:paraId="037A0E2E" w14:textId="77777777" w:rsidR="008459C2" w:rsidRDefault="00000000">
            <w:pPr>
              <w:pStyle w:val="Compact"/>
            </w:pPr>
            <w:r>
              <w:t>2011</w:t>
            </w:r>
          </w:p>
        </w:tc>
        <w:tc>
          <w:tcPr>
            <w:tcW w:w="0" w:type="auto"/>
          </w:tcPr>
          <w:p w14:paraId="7C7EB7D9" w14:textId="77777777" w:rsidR="008459C2" w:rsidRDefault="00000000">
            <w:pPr>
              <w:pStyle w:val="Compact"/>
            </w:pPr>
            <w:r>
              <w:t>2021</w:t>
            </w:r>
          </w:p>
        </w:tc>
      </w:tr>
      <w:tr w:rsidR="008459C2" w14:paraId="0CBEB63B" w14:textId="77777777">
        <w:tc>
          <w:tcPr>
            <w:tcW w:w="0" w:type="auto"/>
          </w:tcPr>
          <w:p w14:paraId="13301C89" w14:textId="77777777" w:rsidR="008459C2" w:rsidRDefault="00000000">
            <w:pPr>
              <w:pStyle w:val="Compact"/>
            </w:pPr>
            <w:r>
              <w:t>Inflow-driven</w:t>
            </w:r>
          </w:p>
        </w:tc>
        <w:tc>
          <w:tcPr>
            <w:tcW w:w="0" w:type="auto"/>
          </w:tcPr>
          <w:p w14:paraId="37C36C91" w14:textId="77777777" w:rsidR="008459C2" w:rsidRDefault="00000000">
            <w:pPr>
              <w:pStyle w:val="Compact"/>
            </w:pPr>
            <w:r>
              <w:t>inflow share ≥ 0.25 and Frame A Cascade-led</w:t>
            </w:r>
          </w:p>
        </w:tc>
        <w:tc>
          <w:tcPr>
            <w:tcW w:w="0" w:type="auto"/>
          </w:tcPr>
          <w:p w14:paraId="5F28C460" w14:textId="77777777" w:rsidR="008459C2" w:rsidRDefault="00000000">
            <w:pPr>
              <w:pStyle w:val="Compact"/>
            </w:pPr>
            <w:r>
              <w:t>56</w:t>
            </w:r>
          </w:p>
        </w:tc>
        <w:tc>
          <w:tcPr>
            <w:tcW w:w="0" w:type="auto"/>
          </w:tcPr>
          <w:p w14:paraId="3A027E94" w14:textId="77777777" w:rsidR="008459C2" w:rsidRDefault="00000000">
            <w:pPr>
              <w:pStyle w:val="Compact"/>
            </w:pPr>
            <w:r>
              <w:t>13</w:t>
            </w:r>
          </w:p>
        </w:tc>
      </w:tr>
      <w:tr w:rsidR="008459C2" w14:paraId="26B696B1" w14:textId="77777777">
        <w:tc>
          <w:tcPr>
            <w:tcW w:w="0" w:type="auto"/>
          </w:tcPr>
          <w:p w14:paraId="0B61AD55" w14:textId="77777777" w:rsidR="008459C2" w:rsidRDefault="00000000">
            <w:pPr>
              <w:pStyle w:val="Compact"/>
            </w:pPr>
            <w:r>
              <w:t>Frame-sensitive inflow</w:t>
            </w:r>
          </w:p>
        </w:tc>
        <w:tc>
          <w:tcPr>
            <w:tcW w:w="0" w:type="auto"/>
          </w:tcPr>
          <w:p w14:paraId="3D435CB0" w14:textId="77777777" w:rsidR="008459C2" w:rsidRDefault="00000000">
            <w:pPr>
              <w:pStyle w:val="Compact"/>
            </w:pPr>
            <w:r>
              <w:t>inflow share ≥ 0.25, not frame-robust</w:t>
            </w:r>
          </w:p>
        </w:tc>
        <w:tc>
          <w:tcPr>
            <w:tcW w:w="0" w:type="auto"/>
          </w:tcPr>
          <w:p w14:paraId="5C47985D" w14:textId="77777777" w:rsidR="008459C2" w:rsidRDefault="00000000">
            <w:pPr>
              <w:pStyle w:val="Compact"/>
            </w:pPr>
            <w:r>
              <w:t>‡</w:t>
            </w:r>
          </w:p>
        </w:tc>
        <w:tc>
          <w:tcPr>
            <w:tcW w:w="0" w:type="auto"/>
          </w:tcPr>
          <w:p w14:paraId="41AD0C1D" w14:textId="77777777" w:rsidR="008459C2" w:rsidRDefault="00000000">
            <w:pPr>
              <w:pStyle w:val="Compact"/>
            </w:pPr>
            <w:r>
              <w:t>14</w:t>
            </w:r>
          </w:p>
        </w:tc>
      </w:tr>
      <w:tr w:rsidR="008459C2" w14:paraId="4E862671" w14:textId="77777777">
        <w:tc>
          <w:tcPr>
            <w:tcW w:w="0" w:type="auto"/>
          </w:tcPr>
          <w:p w14:paraId="45BFDC31" w14:textId="77777777" w:rsidR="008459C2" w:rsidRDefault="00000000">
            <w:pPr>
              <w:pStyle w:val="Compact"/>
            </w:pPr>
            <w:r>
              <w:t>Outflow: external-majority</w:t>
            </w:r>
          </w:p>
        </w:tc>
        <w:tc>
          <w:tcPr>
            <w:tcW w:w="0" w:type="auto"/>
          </w:tcPr>
          <w:p w14:paraId="6C6F201C" w14:textId="77777777" w:rsidR="008459C2" w:rsidRDefault="00000000">
            <w:pPr>
              <w:pStyle w:val="Compact"/>
            </w:pPr>
            <w:r>
              <w:t>inflow share &lt; 0.25, external arm ≥ 0.5</w:t>
            </w:r>
          </w:p>
        </w:tc>
        <w:tc>
          <w:tcPr>
            <w:tcW w:w="0" w:type="auto"/>
          </w:tcPr>
          <w:p w14:paraId="7E2FC9FB" w14:textId="77777777" w:rsidR="008459C2" w:rsidRDefault="00000000">
            <w:pPr>
              <w:pStyle w:val="Compact"/>
            </w:pPr>
            <w:r>
              <w:t>19</w:t>
            </w:r>
          </w:p>
        </w:tc>
        <w:tc>
          <w:tcPr>
            <w:tcW w:w="0" w:type="auto"/>
          </w:tcPr>
          <w:p w14:paraId="0A648D1C" w14:textId="77777777" w:rsidR="008459C2" w:rsidRDefault="00000000">
            <w:pPr>
              <w:pStyle w:val="Compact"/>
            </w:pPr>
            <w:r>
              <w:t>78</w:t>
            </w:r>
          </w:p>
        </w:tc>
      </w:tr>
      <w:tr w:rsidR="008459C2" w14:paraId="72676AF4" w14:textId="77777777">
        <w:tc>
          <w:tcPr>
            <w:tcW w:w="0" w:type="auto"/>
          </w:tcPr>
          <w:p w14:paraId="0B7D8A88" w14:textId="77777777" w:rsidR="008459C2" w:rsidRDefault="00000000">
            <w:pPr>
              <w:pStyle w:val="Compact"/>
            </w:pPr>
            <w:r>
              <w:t>Outflow: internal-majority</w:t>
            </w:r>
          </w:p>
        </w:tc>
        <w:tc>
          <w:tcPr>
            <w:tcW w:w="0" w:type="auto"/>
          </w:tcPr>
          <w:p w14:paraId="6A382FD6" w14:textId="77777777" w:rsidR="008459C2" w:rsidRDefault="00000000">
            <w:pPr>
              <w:pStyle w:val="Compact"/>
            </w:pPr>
            <w:r>
              <w:t>inflow share &lt; 0.25, external arm &lt; 0.5</w:t>
            </w:r>
          </w:p>
        </w:tc>
        <w:tc>
          <w:tcPr>
            <w:tcW w:w="0" w:type="auto"/>
          </w:tcPr>
          <w:p w14:paraId="089019EF" w14:textId="77777777" w:rsidR="008459C2" w:rsidRDefault="00000000">
            <w:pPr>
              <w:pStyle w:val="Compact"/>
            </w:pPr>
            <w:r>
              <w:t>‡</w:t>
            </w:r>
          </w:p>
        </w:tc>
        <w:tc>
          <w:tcPr>
            <w:tcW w:w="0" w:type="auto"/>
          </w:tcPr>
          <w:p w14:paraId="1B3F9C99" w14:textId="77777777" w:rsidR="008459C2" w:rsidRDefault="00000000">
            <w:pPr>
              <w:pStyle w:val="Compact"/>
            </w:pPr>
            <w:r>
              <w:t>90</w:t>
            </w:r>
          </w:p>
        </w:tc>
      </w:tr>
      <w:tr w:rsidR="008459C2" w14:paraId="2D75E7C4" w14:textId="77777777">
        <w:tc>
          <w:tcPr>
            <w:tcW w:w="0" w:type="auto"/>
          </w:tcPr>
          <w:p w14:paraId="047EF686" w14:textId="77777777" w:rsidR="008459C2" w:rsidRDefault="00000000">
            <w:pPr>
              <w:pStyle w:val="Compact"/>
            </w:pPr>
            <w:r>
              <w:t>Total Cascade-led (Frame C)</w:t>
            </w:r>
          </w:p>
        </w:tc>
        <w:tc>
          <w:tcPr>
            <w:tcW w:w="0" w:type="auto"/>
          </w:tcPr>
          <w:p w14:paraId="15C42B1B" w14:textId="77777777" w:rsidR="008459C2" w:rsidRDefault="008459C2">
            <w:pPr>
              <w:pStyle w:val="Compact"/>
            </w:pPr>
          </w:p>
        </w:tc>
        <w:tc>
          <w:tcPr>
            <w:tcW w:w="0" w:type="auto"/>
          </w:tcPr>
          <w:p w14:paraId="21B655AB" w14:textId="77777777" w:rsidR="008459C2" w:rsidRDefault="00000000">
            <w:pPr>
              <w:pStyle w:val="Compact"/>
            </w:pPr>
            <w:r>
              <w:t>213</w:t>
            </w:r>
          </w:p>
        </w:tc>
        <w:tc>
          <w:tcPr>
            <w:tcW w:w="0" w:type="auto"/>
          </w:tcPr>
          <w:p w14:paraId="6B015710" w14:textId="77777777" w:rsidR="008459C2" w:rsidRDefault="00000000">
            <w:pPr>
              <w:pStyle w:val="Compact"/>
            </w:pPr>
            <w:r>
              <w:t>195</w:t>
            </w:r>
          </w:p>
        </w:tc>
      </w:tr>
    </w:tbl>
    <w:p w14:paraId="1F4913B6" w14:textId="77777777" w:rsidR="008459C2" w:rsidRDefault="00000000">
      <w:pPr>
        <w:pStyle w:val="BodyText"/>
      </w:pPr>
      <w:r>
        <w:lastRenderedPageBreak/>
        <w:t>‡ The two 2011 outflow/residual leaf counts (which sum to 138) should be transcribed from the EDA 9 leaf-count table at assembly.</w:t>
      </w:r>
    </w:p>
    <w:p w14:paraId="5185E7DC" w14:textId="77777777" w:rsidR="008459C2" w:rsidRDefault="00000000">
      <w:pPr>
        <w:pStyle w:val="Heading2"/>
      </w:pPr>
      <w:bookmarkStart w:id="24" w:name="Xf3e6b4cbb353b7fd2d7ec5ab184d925b4a02fc7"/>
      <w:bookmarkEnd w:id="17"/>
      <w:bookmarkEnd w:id="23"/>
      <w:r>
        <w:t>4.6 Comparative Validation Against Attribute Benchmarks</w:t>
      </w:r>
    </w:p>
    <w:p w14:paraId="191CCC59" w14:textId="77777777" w:rsidR="008459C2" w:rsidRDefault="00000000">
      <w:pPr>
        <w:pStyle w:val="FirstParagraph"/>
      </w:pPr>
      <w:r>
        <w:t>The framework’s central question, does a flow lens recover what attribute-based methods call gentrification?, is answered in this section, using the two external benchmarks specified in Sections 3.10.3 and 3.10.4. The answer is resolution-dependent, and both halves matter. At the resolution of the pooled four-way typology the answer is no: the flow typology and attribute-defined gentrification are close to independent, and where they intersect, the intersection is specific to one period and one part of the city. At the resolution of the mechanism leaves introduced in Section 4.5.6, however, the two lenses turn out to see the same city in a structured way: the flow mechanisms separate Yee and Dennett’s gentrification subtypes, aligning mainstream gentrification with the inflow-led cascade and super-gentrification with the internal-outflow cascade, while identifying the exodus class as anti-gentrification under every definition tested. The equivalence the study set out to test still fails, but it fails informatively rather than as a bare null.</w:t>
      </w:r>
    </w:p>
    <w:p w14:paraId="00D83B9E" w14:textId="77777777" w:rsidR="008459C2" w:rsidRDefault="00000000">
      <w:pPr>
        <w:pStyle w:val="BodyText"/>
      </w:pPr>
      <w:r>
        <w:t xml:space="preserve">Throughout this section the two census legs answer different questions and are labelled accordingly. Because the Yee and Dennett labels are built from 2001–2011 attribute change, the 2011 flow leg constitutes a </w:t>
      </w:r>
      <w:r>
        <w:rPr>
          <w:b/>
          <w:bCs/>
        </w:rPr>
        <w:t>concurrent validation</w:t>
      </w:r>
      <w:r>
        <w:t xml:space="preserve"> (flows measured within the window the labels describe), whereas the 2021 leg constitutes a </w:t>
      </w:r>
      <w:r>
        <w:rPr>
          <w:b/>
          <w:bCs/>
        </w:rPr>
        <w:t>decade-later persistence test</w:t>
      </w:r>
      <w:r>
        <w:t xml:space="preserve"> (whether the label–mechanism alignment survives ten years on). The 2021 rows are never read as validating 2021 flows against 2011-era labels.</w:t>
      </w:r>
    </w:p>
    <w:p w14:paraId="0273C23E" w14:textId="77777777" w:rsidR="008459C2" w:rsidRDefault="00000000">
      <w:pPr>
        <w:pStyle w:val="Heading3"/>
      </w:pPr>
      <w:bookmarkStart w:id="25" w:name="X2b68a2851f935c1f20a474808872740dc55c208"/>
      <w:r>
        <w:t>4.6.1 Association with the Yee and Dennett (2022) classification</w:t>
      </w:r>
    </w:p>
    <w:p w14:paraId="2DEF6D96" w14:textId="77777777" w:rsidR="008459C2" w:rsidRDefault="00000000">
      <w:pPr>
        <w:pStyle w:val="FirstParagraph"/>
      </w:pPr>
      <w:r>
        <w:t xml:space="preserve">Aggregating the Yee and Dennett LSOA labels to MSOA scale under the modal rule yields 41 gentrifying (GEN) MSOAs; the looser any-GEN-LSOA rule yields 207 and is used as a sensitivity check. Cross-tabulating the attribute classes against the flow typology on the 2011 flow leg, which overlaps the benchmark’s 2001–2011 window, produces association statistics that are close to floor under both frames: Cramér’s V of approximately 0.10–0.11 and an Adjusted Rand Index of approximately 0.005–0.02, that is, partition agreement no better than chance. The dominant reason is compositional: 78–92% of MSOAs in every flow regime carry the attribute label </w:t>
      </w:r>
      <w:r>
        <w:rPr>
          <w:i/>
          <w:iCs/>
        </w:rPr>
        <w:t>Stable</w:t>
      </w:r>
      <w:r>
        <w:t>, so the two schemes are mostly partitioning different phenomena over the same territory.</w:t>
      </w:r>
    </w:p>
    <w:p w14:paraId="554BE725" w14:textId="77777777" w:rsidR="008459C2" w:rsidRDefault="00000000">
      <w:pPr>
        <w:pStyle w:val="BodyText"/>
      </w:pPr>
      <w:r>
        <w:t>Within that near-independence, the one clean directional signal runs exactly as the cascade hypothesis would predict, and it is worth stating precisely because of what follows. Modal-GEN MSOAs are over-represented in the Cascade-led regime by a lift of approximately 1.8 and under-represented in the Counter-led regime by a lift of approximately 0.09: where Yee’s gentrifying areas carry any flow signature at all, they lean cascade and essentially never counter. The loose aggregation weakens the lift to roughly 1.3 but preserves its direction. The attribute benchmark and the flow typology are therefore not in contradiction; they are simply weakly coupled.</w:t>
      </w:r>
    </w:p>
    <w:p w14:paraId="5BEF6B37" w14:textId="77777777" w:rsidR="008459C2" w:rsidRDefault="00000000">
      <w:pPr>
        <w:pStyle w:val="BodyText"/>
      </w:pPr>
      <w:r>
        <w:t xml:space="preserve">Two properties of this pooled test nevertheless limit what it can show, and both were resolved before the analysis proceeded. First, pooling: the Cascade-led class mixes </w:t>
      </w:r>
      <w:r>
        <w:lastRenderedPageBreak/>
        <w:t>mechanisms that are and are not candidate gentrification (Section 4.5.6), so a whole-class test dilutes any leaf-specific signal. Second, the statistics: Cramér’s V and the Adjusted Rand Index computed on the full contingency table are swamped by the roughly 71% Stable base of the benchmark and are not meaningful at leaf-level sample sizes (n between 13 and 90). For these reasons V and ARI are reported here once, for the pooled comparison, and then retired for the remainder of the study in favour of enrichment statistics: the lift ratio P(GEN | group) / P(GEN), tested with Fisher’s exact test on the corresponding 2×2 table, which remains exact at any sample size, with Benjamini–Hochberg correction across the family of leaf tests (Section 3.10.3).</w:t>
      </w:r>
    </w:p>
    <w:p w14:paraId="0AF10D60" w14:textId="77777777" w:rsidR="008459C2" w:rsidRDefault="00000000">
      <w:pPr>
        <w:pStyle w:val="Heading3"/>
      </w:pPr>
      <w:bookmarkStart w:id="26" w:name="Xa7254cfccdbce0197cfbaa750e9541601592e0a"/>
      <w:bookmarkEnd w:id="25"/>
      <w:r>
        <w:t>4.6.2 Leaf-level enrichment: the pooled null is a pooling artefact</w:t>
      </w:r>
    </w:p>
    <w:p w14:paraId="5C9AE108" w14:textId="77777777" w:rsidR="008459C2" w:rsidRDefault="00000000">
      <w:pPr>
        <w:pStyle w:val="FirstParagraph"/>
      </w:pPr>
      <w:r>
        <w:t>Re-testing the benchmark association at the resolution of the mechanism leaves overturns the bare-null reading. The pre-registered expectation, that attribute-defined gentrification concentrates in the inflow-driven leaf, is rejected, but in an informative way. The inflow-driven leaf shows no modal-GEN enrichment in either year (lift 0.86 in the concurrent test, 0.00 in the persistence test) and only a modest loose-GEN signal in the concurrent test (32.1% of inflow-driven MSOAs contain a GEN LSOA against a 21.1% base rate, lift 1.52, p = 0.043, which does not survive Benjamini–Hochberg correction); whatever concurrent signal exists does not persist to 2021. The strong, correction-robust signal sits instead in the outflow: internal-majority leaf, with a modal-GEN lift of 3.55 (p = 4.9 × 10⁻⁵) in the concurrent test and 3.19 (p = 1.0 × 10⁻⁴) in the persistence test, the only cell significant in both years under the strict aggregation. The outflow: external-majority leaf, the 2021 exodus class, is GEN-</w:t>
      </w:r>
      <w:r>
        <w:rPr>
          <w:i/>
          <w:iCs/>
        </w:rPr>
        <w:t>depleted</w:t>
      </w:r>
      <w:r>
        <w:t xml:space="preserve"> (loose aggregation: lift 0.43, p = 0.0055), providing external corroboration that the exodus is not gentrification relocating outward. Counter-led remains significantly GEN-depleted in both years and under both aggregations, the flow direction most anti-associated with attribute gentrification. The genuine-persistent set of eight MSOAs contains no modal-GEN members and two loose-GEN members; at n = 8 the test has no power, and two of the eight are Heathrow-adjacent Hillingdon MSOAs flagged for a manual check before the set anchors any headline claim.</w:t>
      </w:r>
    </w:p>
    <w:p w14:paraId="3CB7E2D9" w14:textId="77777777" w:rsidR="008459C2" w:rsidRDefault="00000000">
      <w:pPr>
        <w:pStyle w:val="Heading3"/>
      </w:pPr>
      <w:bookmarkStart w:id="27" w:name="X7f690aab69d71e4ee384b3e529d0807731e4da7"/>
      <w:bookmarkEnd w:id="26"/>
      <w:r>
        <w:t>4.6.3 The subtype decomposition: flow mechanisms separate gentrification subtypes</w:t>
      </w:r>
    </w:p>
    <w:p w14:paraId="75866ABB" w14:textId="77777777" w:rsidR="008459C2" w:rsidRDefault="00000000">
      <w:pPr>
        <w:pStyle w:val="FirstParagraph"/>
      </w:pPr>
      <w:r>
        <w:t xml:space="preserve">Why would attribute-gentrifying MSOAs sit in the </w:t>
      </w:r>
      <w:r>
        <w:rPr>
          <w:i/>
          <w:iCs/>
        </w:rPr>
        <w:t>outflow</w:t>
      </w:r>
      <w:r>
        <w:t xml:space="preserve"> branch of the tree? The decomposition by Yee and Dennett’s Class-3 gentrification subtypes answers this, and carries the section’s central positive finding. Because Class-3 gentrification labels never win a plurality at MSOA scale, the subtype tests use any-LSOA flags (94 MSOAs contain at least one super-gentrification LSOA, 39 a mainstream-gentrification LSOA, and 101 a marginal-gentrification LSOA). </w:t>
      </w:r>
      <w:r>
        <w:rPr>
          <w:b/>
          <w:bCs/>
        </w:rPr>
        <w:t>Super-gentrification</w:t>
      </w:r>
      <w:r>
        <w:t xml:space="preserve"> (Butler and Lees, 2006), concentrated in Kensington &amp; Chelsea, Westminster and Camden at median national deciles of D6 and above, aligns with the </w:t>
      </w:r>
      <w:r>
        <w:rPr>
          <w:i/>
          <w:iCs/>
        </w:rPr>
        <w:t>outflow: internal-majority</w:t>
      </w:r>
      <w:r>
        <w:t xml:space="preserve"> cascade: lift 2.32 (q &lt; 0.01) in the concurrent test, strengthening to 3.37 (q &lt; 10⁻⁹) in the persistence test, the dominant alignment in the whole analysis and the only one that strengthens over the decade. </w:t>
      </w:r>
      <w:r>
        <w:rPr>
          <w:b/>
          <w:bCs/>
        </w:rPr>
        <w:t>Mainstream gentrification</w:t>
      </w:r>
      <w:r>
        <w:t xml:space="preserve">, concentrated in Tower Hamlets, Hackney and Southwark at a median national decile of D3, aligns with the </w:t>
      </w:r>
      <w:r>
        <w:rPr>
          <w:i/>
          <w:iCs/>
        </w:rPr>
        <w:t>inflow-driven</w:t>
      </w:r>
      <w:r>
        <w:t xml:space="preserve"> cascade in the concurrent test only (lift 2.25, p = 0.065 on a base of 39, suggestive but underpowered) and does not </w:t>
      </w:r>
      <w:r>
        <w:lastRenderedPageBreak/>
        <w:t xml:space="preserve">persist to 2021. </w:t>
      </w:r>
      <w:r>
        <w:rPr>
          <w:b/>
          <w:bCs/>
        </w:rPr>
        <w:t>Marginal gentrification</w:t>
      </w:r>
      <w:r>
        <w:t xml:space="preserve"> is enriched in no leaf, and is significantly depleted in the external-majority class (p = 0.018).</w:t>
      </w:r>
    </w:p>
    <w:p w14:paraId="40B98836" w14:textId="77777777" w:rsidR="008459C2" w:rsidRDefault="00000000">
      <w:pPr>
        <w:pStyle w:val="BodyText"/>
      </w:pPr>
      <w:r>
        <w:t xml:space="preserve">One structural caveat conditions the super-gentrification result. The median wealthier-inflow share falls monotonically from 1.00 at national Decile 1 to 0.00 at Decile 10: areas near the top of the ladder </w:t>
      </w:r>
      <w:r>
        <w:rPr>
          <w:i/>
          <w:iCs/>
        </w:rPr>
        <w:t>cannot</w:t>
      </w:r>
      <w:r>
        <w:t xml:space="preserve"> be inflow-led because almost nothing ranks above them, so the inflow-driven leaf is structurally closed to prime London. The SupGen–internal-outflow alignment is therefore part substance, part construction; the defensible claim is that for top-decile areas the displacement arm is the only observable cascade signature, and Yee’s super-gentrified areas show exactly that signature, strongly and in both censuses, not that super-gentrification causes internal outflow. Two further diagnostics support the reading. Geographically, the internal-outflow ∩ GEN cluster comprises Kensington &amp; Chelsea (five MSOAs) and Westminster (three to four) plus scattered others, inner ring, national D7–D8, with modal-label confidence between 0.4 and 1.0, so these are solid attribute calls rather than aggregation noise. And restricting the tests to inner London sharpens both signals: the inflow-driven × any-GEN concurrent lift rises to 1.94 (p = 0.002), and the inner internal-outflow × modal-GEN lift reaches approximately 20 (p = 3 × 10⁻¹³, n = 12), so the inner-London scope condition in the refined definition of the flow-detected cascade is empirically warranted.</w:t>
      </w:r>
    </w:p>
    <w:p w14:paraId="28AB5842" w14:textId="77777777" w:rsidR="008459C2" w:rsidRDefault="00000000">
      <w:pPr>
        <w:pStyle w:val="Heading3"/>
      </w:pPr>
      <w:bookmarkStart w:id="28" w:name="X4d18c74f48949f956fe7c3dce6959cc1982f648"/>
      <w:bookmarkEnd w:id="27"/>
      <w:r>
        <w:t>4.6.4 The two-way convergence test: cascade does not reinforce gentrification</w:t>
      </w:r>
    </w:p>
    <w:p w14:paraId="5065B13F" w14:textId="77777777" w:rsidR="008459C2" w:rsidRDefault="00000000">
      <w:pPr>
        <w:pStyle w:val="FirstParagraph"/>
      </w:pPr>
      <w:r>
        <w:t xml:space="preserve">The decisive evidence comes from the outcome side. Cross-classifying MSOAs by GEN status and Cascade-led status and comparing mean IMD percentile change across the four cells yields the study’s most consequential negative result: GEN MSOAs </w:t>
      </w:r>
      <w:r>
        <w:rPr>
          <w:i/>
          <w:iCs/>
        </w:rPr>
        <w:t>without</w:t>
      </w:r>
      <w:r>
        <w:t xml:space="preserve"> a cascade signature improve by +0.043 on average, while GEN MSOAs </w:t>
      </w:r>
      <w:r>
        <w:rPr>
          <w:i/>
          <w:iCs/>
        </w:rPr>
        <w:t>with</w:t>
      </w:r>
      <w:r>
        <w:t xml:space="preserve"> a cascade signature improve by only +0.017; Cascade-led status alone adds approximately +0.02 over the double-negative baseline, with a negative interaction. The cascade signature does not amplify the deprivation-trajectory improvement associated with attribute-defined gentrification; if anything it attenuates it. Complementary comparisons reinforce the decoupling: Yee’s labels are directionally valid against the outcome (GEN +0.042, declining −0.047 mean percentile change), whereas the Cascade-led flow regime is flat in both periods (+0.009 in 2011, −0.006 in 2021), and both classifications are weak absolute predictors (ε² ≈ 0.04). The flow method’s own outcome signal, as established in Section 4.4, sits in the counter direction.</w:t>
      </w:r>
    </w:p>
    <w:p w14:paraId="684D8C7C" w14:textId="77777777" w:rsidR="008459C2" w:rsidRDefault="00000000">
      <w:pPr>
        <w:pStyle w:val="BodyText"/>
      </w:pPr>
      <w:r>
        <w:t xml:space="preserve">Two conclusions follow. First, cascade flows cannot be treated as a proxy for IMD-defined gentrification: the widely assumed empirical chain, that gentrification is legible as a cascade of moves, fails at whole-city scale in these data. Second, the failure is informative rather than degenerate, because the two lenses each validate against </w:t>
      </w:r>
      <w:r>
        <w:rPr>
          <w:i/>
          <w:iCs/>
        </w:rPr>
        <w:t>something</w:t>
      </w:r>
      <w:r>
        <w:t>: the attribute lens against neighbourhood ascent, the flow lens against the counter-side descent, consistent with the interpretive position of Section 3.10.6 that they measure different objects, who lives in a place versus how the hierarchy is reshuffled through it.</w:t>
      </w:r>
    </w:p>
    <w:p w14:paraId="02135FA5" w14:textId="77777777" w:rsidR="008459C2" w:rsidRDefault="00000000">
      <w:pPr>
        <w:pStyle w:val="Heading3"/>
      </w:pPr>
      <w:bookmarkStart w:id="29" w:name="where-the-two-lenses-agree"/>
      <w:bookmarkEnd w:id="28"/>
      <w:r>
        <w:lastRenderedPageBreak/>
        <w:t>4.6.5 Where the two lenses agree</w:t>
      </w:r>
    </w:p>
    <w:p w14:paraId="3C48F450" w14:textId="77777777" w:rsidR="008459C2" w:rsidRDefault="00000000">
      <w:pPr>
        <w:pStyle w:val="FirstParagraph"/>
      </w:pPr>
      <w:r>
        <w:t>Mapping the divergence categories (Figure 4.21) locates the limited convergence precisely: MSOAs that are simultaneously Yee-GEN and Cascade-led (n = 15 in the 2011 modal cross-classification under Frame C, against 26 GEN-only and 198 Cascade-only) concentrate in inner London, in the recognisable 2001–2011 gentrification belt. The agreement between the attribute and flow lenses is therefore specific to classic inner-London gentrification in the earlier period; outside that time-and-place window the two classifications diverge, and the Cascade-only population, flow-flagged areas the attribute method reads as stable, is by far the largest divergence class.</w:t>
      </w:r>
    </w:p>
    <w:p w14:paraId="55D183D2" w14:textId="77777777" w:rsidR="008459C2" w:rsidRDefault="00000000">
      <w:pPr>
        <w:pStyle w:val="BodyText"/>
      </w:pPr>
      <w:r>
        <w:t xml:space="preserve">A pointed illustration of the divergence concerns the study’s most robust flow cases. The genuine-persistent set, the eight MSOAs occupying the inflow-driven leaf in both censuses (Camden 024 and 026, Hillingdon 015 and 016, Islington 022, Southwark 002 and 009, and Tower Hamlets 010), is Yee-modal </w:t>
      </w:r>
      <w:r>
        <w:rPr>
          <w:i/>
          <w:iCs/>
        </w:rPr>
        <w:t>Stable</w:t>
      </w:r>
      <w:r>
        <w:t xml:space="preserve"> in every case; only Camden 026 and Southwark 002 contain any GEN LSOA at all. The two cascade-dominance extremes of Section 4.5.5, Camden 026 and Tower Hamlets 010 (analysed in Section 4.7), are both members of this set, and neither is modal-GEN: Camden 026 comprises one marginal-gentrification LSOA and three stable ones, and Tower Hamlets 010 comprises four stable LSOAs and one new-build re-urbanisation LSOA. The flow method’s most persistent cascade signals are thus places the attribute method does not label gentrifying, so the persistent set is corroborated at leaf level rather than member-by-member, underlining that the two instruments are detecting different populations even at their respective cores. The two Hillingdon members remain flagged for a manual check, since Heathrow-related employment churn is a plausible confounder.</w:t>
      </w:r>
    </w:p>
    <w:p w14:paraId="61BAE934" w14:textId="77777777" w:rsidR="008459C2" w:rsidRDefault="00000000">
      <w:pPr>
        <w:pStyle w:val="Heading3"/>
      </w:pPr>
      <w:bookmarkStart w:id="30" w:name="association-with-occupational-ascent"/>
      <w:bookmarkEnd w:id="29"/>
      <w:r>
        <w:t>4.6.6 Association with occupational ascent</w:t>
      </w:r>
    </w:p>
    <w:p w14:paraId="5A914888" w14:textId="77777777" w:rsidR="008459C2" w:rsidRDefault="00000000">
      <w:pPr>
        <w:pStyle w:val="FirstParagraph"/>
      </w:pPr>
      <w:r>
        <w:t>The second benchmark yields the same verdict by a different route. Occupational ascent, the 2011–2021 change in the share of employed residents in SOC major groups 1–3, is positive in approximately 96% of London MSOAs: professionalisation over the decade was near-universal across the city. This near-universality is itself analytically important, because it demonstrates why a compositional attribute measure cannot, on its own, isolate displacement-driven gentrification from a city-wide occupational trend, precisely the limitation of attribute approaches that motivated the flow framework. Against the flow typology, occupational ascent is statistically independent: the Spearman correlation with Cascade_Dominance is +0.02 under Frame C, with equally negligible associations under Frames A and B, so the independence is not a frame artefact (Figure 4.22). The compressed variance of the ascent measure, noted in Section 3.10.4, cautions against over-reading the exact coefficient, but a correlation this close to zero under all three frames admits no reading under which occupational upgrading tracks cascade flows.</w:t>
      </w:r>
    </w:p>
    <w:p w14:paraId="12985EAE" w14:textId="77777777" w:rsidR="008459C2" w:rsidRDefault="00000000">
      <w:pPr>
        <w:pStyle w:val="BodyText"/>
      </w:pPr>
      <w:r>
        <w:t xml:space="preserve">Triangulating across the three checks, an outcome index and two attribute benchmarks, the verdict is two-layered. At pooled resolution the cascade signal is decoupled from attribute-defined gentrification in association, in outcome convergence, and in space, with the single exception of inner London in the 2011 leg. At mechanism resolution the decoupling resolves into structure: mainstream gentrification is the inflow-led cascade, concurrently </w:t>
      </w:r>
      <w:r>
        <w:lastRenderedPageBreak/>
        <w:t>and in inner London only; super-gentrification is the internal displacement cascade, in both censuses; and the exodus and counter-led classes are anti-gentrification under every definition tested. The refined characterisation of a flow-detected gentrification signature that emerges, a persistent, inflow-led, inner-London cascade, aligns with mainstream gentrification at modest effect size in the concurrent window, and fails the persistence test.</w:t>
      </w:r>
    </w:p>
    <w:p w14:paraId="7A74E172" w14:textId="77777777" w:rsidR="008459C2" w:rsidRDefault="00000000">
      <w:pPr>
        <w:pStyle w:val="Heading2"/>
      </w:pPr>
      <w:bookmarkStart w:id="31" w:name="Xe3569474c8654ed963d3cef960b5066ca25c257"/>
      <w:bookmarkEnd w:id="24"/>
      <w:bookmarkEnd w:id="30"/>
      <w:r>
        <w:t>4.7 Case-Study Diagnostics: Four Mechanisms Behind the Counter-Led City</w:t>
      </w:r>
    </w:p>
    <w:p w14:paraId="70F9C101" w14:textId="77777777" w:rsidR="008459C2" w:rsidRDefault="00000000">
      <w:pPr>
        <w:pStyle w:val="FirstParagraph"/>
      </w:pPr>
      <w:r>
        <w:t xml:space="preserve">The statistical results establish that London became counter-led; the case studies specify </w:t>
      </w:r>
      <w:r>
        <w:rPr>
          <w:i/>
          <w:iCs/>
        </w:rPr>
        <w:t>how</w:t>
      </w:r>
      <w:r>
        <w:t>. Each case is now read through the time-symmetric mechanism tree of Section 4.5.6 rather than through per-year ad hoc labels, and the roster is organised as four alluvial figures decomposing each MSOA’s full flow profile across frames and census years (Figure 4.23), with a footer reporting the leaf-splitting statistics: national-frame dominance, cascade inflow share, the external share of the poorer-outflow arm, the external share of all cross-decile churn, and London-frame dominance.</w:t>
      </w:r>
    </w:p>
    <w:p w14:paraId="386E4776" w14:textId="66247A73" w:rsidR="008459C2" w:rsidRDefault="00000000">
      <w:pPr>
        <w:pStyle w:val="BodyText"/>
      </w:pPr>
      <w:r>
        <w:t xml:space="preserve">The first profile, </w:t>
      </w:r>
      <w:r>
        <w:rPr>
          <w:i/>
          <w:iCs/>
        </w:rPr>
        <w:t>persistent cascade</w:t>
      </w:r>
      <w:r>
        <w:t>, is the flow-defined analogue of genuine gentrification, and it is rare: eight MSOAs in the entire system occupy the inflow-driven leaf in both census years</w:t>
      </w:r>
      <w:r w:rsidR="008D7C3C">
        <w:t xml:space="preserve">. </w:t>
      </w:r>
      <w:r w:rsidR="008D7C3C">
        <w:t xml:space="preserve">The persistent set is defined by classification rather than by ranking: an MSOA belongs to it if and only if it occupies the inflow-driven leaf of the mechanism tree (Section 4.5.6) in both censuses. It therefore contains, but is broader than, the two-member persistent tail of Section 4.5.5, whose </w:t>
      </w:r>
      <w:proofErr w:type="gramStart"/>
      <w:r w:rsidR="008D7C3C">
        <w:t>top-twelve</w:t>
      </w:r>
      <w:proofErr w:type="gramEnd"/>
      <w:r w:rsidR="008D7C3C">
        <w:t xml:space="preserve"> cutoff is a mapping convenience rather than an analytic boundary; Camden 026 and Tower Hamlets 010 are the members the two constructions share, which is why they serve as the worked exemplars here.</w:t>
      </w:r>
      <w:r w:rsidR="008D7C3C">
        <w:t xml:space="preserve"> A</w:t>
      </w:r>
      <w:r>
        <w:t>nd two of them, Camden 026 (E02000191) and Tower Hamlets 010 (E02000873), the same pair that persists in the cascade-dominance extreme tail, serve as the worked exemplars. Their alluvial profiles show the canonical structure, wide wealthier-inflow ribbons paired with poorer-directed outflows, stable across the decade and across frames (small Frame A–Frame C dominance gaps and cascade inflow shares of 0.40–0.49 in both years), indicating a signal generated by intra-urban dynamics rather than boundary effects. As Section 4.6.5 established, all eight are Yee-modal Stable; these are the clearest cases of the flow lens detecting a persistent restructuring signature that attribute methods overlook.</w:t>
      </w:r>
      <w:r w:rsidR="002D6558">
        <w:t xml:space="preserve"> </w:t>
      </w:r>
      <w:r w:rsidR="002D6558">
        <w:t xml:space="preserve">One compositional caveat attaches to the set. Its two Hillingdon members are its only outer-London entries, and both adjoin Heathrow, whose employment-driven residential churn is a plausible mechanical generator of the paired wealthier-inflow and poorer-directed-outflow signature quite independently of any </w:t>
      </w:r>
      <w:proofErr w:type="spellStart"/>
      <w:r w:rsidR="002D6558">
        <w:t>neighbourhood</w:t>
      </w:r>
      <w:proofErr w:type="spellEnd"/>
      <w:r w:rsidR="002D6558">
        <w:t xml:space="preserve"> restructuring process. Their leaf membership is secure in both censuses — the concern is one of interpretation, not measurement — but pending a manual audit of their flow composition, the persistent-cascade profile is anchored on the six inner-London members, with Camden 026 and Tower Hamlets 010 as exemplars.</w:t>
      </w:r>
    </w:p>
    <w:p w14:paraId="79B85CB2" w14:textId="77777777" w:rsidR="008459C2" w:rsidRDefault="00000000">
      <w:pPr>
        <w:pStyle w:val="BodyText"/>
      </w:pPr>
      <w:r>
        <w:t xml:space="preserve">The second profile, </w:t>
      </w:r>
      <w:r>
        <w:rPr>
          <w:i/>
          <w:iCs/>
        </w:rPr>
        <w:t>inner cascade turning counter</w:t>
      </w:r>
      <w:r>
        <w:t xml:space="preserve">, is the dominant transition of the decade and drives the aggregate counter-shift within London; Southwark 003, Islington 008 and Wandsworth 035 are the worked exemplars. Inner-London MSOAs that were cascade-led in 2011 flip to counter-led by 2021 while their IMD position continues to improve: attribute-ascending but flow-counter. Their 2021 profiles are dominated by upward-directed outflows, consistent with the out-displacement arm of restructuring outlasting the </w:t>
      </w:r>
      <w:r>
        <w:lastRenderedPageBreak/>
        <w:t>in-migration arm, or, on the more conservative reading flagged in Section 4.3.3, with gentrification having substantially completed in these areas by 2021, leaving established post-transition neighbourhoods whose remaining hierarchy-crossing migration is upward-bound departures.</w:t>
      </w:r>
    </w:p>
    <w:p w14:paraId="30C908E8" w14:textId="77777777" w:rsidR="008459C2" w:rsidRDefault="00000000">
      <w:pPr>
        <w:pStyle w:val="BodyText"/>
      </w:pPr>
      <w:r>
        <w:t xml:space="preserve">The third profile, the </w:t>
      </w:r>
      <w:r>
        <w:rPr>
          <w:i/>
          <w:iCs/>
        </w:rPr>
        <w:t>national-ladder artefact</w:t>
      </w:r>
      <w:r>
        <w:t xml:space="preserve">, corresponds to the outflow: internal-majority leaf and corrects an earlier misreading. Harrow 008 and Harrow 029 enter the 2021 national-frame cascade tail with cascade inflow shares of only 0.01–0.04, but their external arm shares are 0.43 and 0.41: the majority of their poorer-directed outflow stays </w:t>
      </w:r>
      <w:r>
        <w:rPr>
          <w:i/>
          <w:iCs/>
        </w:rPr>
        <w:t>within</w:t>
      </w:r>
      <w:r>
        <w:t xml:space="preserve"> London. From national Decile 8, 69% of London MSOAs count as poorer, so the cascade reading here is manufactured by the national ladder rather than by departure from the city. These MSOAs were previously presented as exodus cases; the leaf statistics show that classification was wrong, and they are retained precisely because they demonstrate what the external-arm split is for.</w:t>
      </w:r>
    </w:p>
    <w:p w14:paraId="2B6789DE" w14:textId="77777777" w:rsidR="008459C2" w:rsidRDefault="00000000">
      <w:pPr>
        <w:pStyle w:val="BodyText"/>
      </w:pPr>
      <w:r>
        <w:t xml:space="preserve">The fourth profile, the </w:t>
      </w:r>
      <w:r>
        <w:rPr>
          <w:i/>
          <w:iCs/>
        </w:rPr>
        <w:t>literal exodus</w:t>
      </w:r>
      <w:r>
        <w:t>, corresponds to the outflow: external-majority leaf, whose fourfold expansion (19 to 78 MSOAs, entirely outer London) is the categorical footprint of the pandemic-era outflow surge. Croydon 044 and Kingston upon Thames 019 are the exemplars: their cascade inflow shares (0.03 and 0.04) are the same bare thread as Harrow’s, but their external arm shares are 0.72 and 0.69, so the majority of the poorer-outflow arm crosses the London boundary. The pair also embodies the class’s temporal story: Kingston 019 was already external-majority in 2011, a member of the 19-strong pre-pandemic baseline, while Croydon 044 was not cascade-led at all in 2011 and emerged into the class by 2021. Set against the third profile, the contrast is exact: same near-zero affluent inflow, opposite destination of the outflow arm. That contrast is the visual proof that “exodus” is a measured mechanism, not a relabelling of outflow, and, combined with the GEN-depletion of the class established in Section 4.6.2, that it is not gentrification relocating outward.</w:t>
      </w:r>
    </w:p>
    <w:p w14:paraId="3E20DE78" w14:textId="77777777" w:rsidR="008459C2" w:rsidRDefault="00000000">
      <w:pPr>
        <w:pStyle w:val="BodyText"/>
      </w:pPr>
      <w:r>
        <w:t>The case studies thereby close the interpretive loop opened by the statistics: the counter-led London of 2021 is the joint product of a structural upward-mobility current (present at every decile in both years), the fragmentation of the inner-London cascade belt, a ladder artefact that inflates the national-frame cascade count without anyone leaving the city, and a pandemic-era exodus that simultaneously inflates counter churn for the deprived majority and manufactures cascade signals for the affluent minority under the national frame.</w:t>
      </w:r>
    </w:p>
    <w:p w14:paraId="0E036CC0" w14:textId="77777777" w:rsidR="008459C2" w:rsidRDefault="00000000">
      <w:pPr>
        <w:pStyle w:val="Heading2"/>
      </w:pPr>
      <w:bookmarkStart w:id="32" w:name="synthesis-of-results"/>
      <w:bookmarkEnd w:id="31"/>
      <w:r>
        <w:t>4.8 Synthesis of Results</w:t>
      </w:r>
    </w:p>
    <w:p w14:paraId="346FBC58" w14:textId="77777777" w:rsidR="008459C2" w:rsidRDefault="00000000">
      <w:pPr>
        <w:pStyle w:val="FirstParagraph"/>
      </w:pPr>
      <w:r>
        <w:t>Five findings summarise the chapter, in ascending order of consequence for the research question.</w:t>
      </w:r>
    </w:p>
    <w:p w14:paraId="3D995775" w14:textId="77777777" w:rsidR="008459C2" w:rsidRDefault="00000000">
      <w:pPr>
        <w:pStyle w:val="BodyText"/>
      </w:pPr>
      <w:r>
        <w:t xml:space="preserve">First, the deprivation hierarchy is the dominant structural force in London’s migration system, and it is stable. The four elementary flows organise into wealthier-connected and poorer-connected pairs (ρ ≈ 0.96 and 0.93), most MSOAs operate as transit nodes rather than one-way valves, decile profiles satisfy the predicted monotonic and inverted-U structures in both periods, and roughly 90% of MSOAs are sign-concordant. The </w:t>
      </w:r>
      <w:r>
        <w:lastRenderedPageBreak/>
        <w:t>structurally divergent minority is not noise: net exporters concentrate in inner gentrifying London, net receivers ring the suburban periphery, and about half of divergent status persists across the decade against a chance expectation of under 10%.</w:t>
      </w:r>
    </w:p>
    <w:p w14:paraId="3EBCF507" w14:textId="77777777" w:rsidR="008459C2" w:rsidRDefault="00000000">
      <w:pPr>
        <w:pStyle w:val="BodyText"/>
      </w:pPr>
      <w:r>
        <w:t>Second, the cascade signature, the flow structure classically equated with gentrification pressure, is a minority and contracting pattern. Counter-cascade flows dominate the majority of MSOAs in both censuses (67.6% rising to 80.9% below the dominance midline; mean dominance 0.48 falling to 0.46), because at every level of the hierarchy Londoners’ outflows skew more toward wealthier destinations than their inflows arrive from wealthier origins. Cascade-led MSOAs fell from 129 to 76 under the core frame, contracting most sharply exactly where the regime had been strongest, the inner gentrification belt.</w:t>
      </w:r>
    </w:p>
    <w:p w14:paraId="7210D8FE" w14:textId="77777777" w:rsidR="008459C2" w:rsidRDefault="00000000">
      <w:pPr>
        <w:pStyle w:val="BodyText"/>
      </w:pPr>
      <w:r>
        <w:t xml:space="preserve">Third, the typology is a valid but modest predictor of deprivation trajectories, and its signal is asymmetric. The four regimes differ significantly in IMD percentile change with a stable ordering across periods, but the effect is small (ε² ≈ 0.03), the Cascade-versus-Counter contrast central to the displacement narrative is not significant (p ≈ 0.26), and what signal exists is carried by Counter-led decline and by flow </w:t>
      </w:r>
      <w:r>
        <w:rPr>
          <w:i/>
          <w:iCs/>
        </w:rPr>
        <w:t>intensity</w:t>
      </w:r>
      <w:r>
        <w:t xml:space="preserve"> (ρ ≈ 0.28) rather than flow </w:t>
      </w:r>
      <w:r>
        <w:rPr>
          <w:i/>
          <w:iCs/>
        </w:rPr>
        <w:t>direction</w:t>
      </w:r>
      <w:r>
        <w:t xml:space="preserve"> (ρ ≤ 0.09).</w:t>
      </w:r>
    </w:p>
    <w:p w14:paraId="0B61851C" w14:textId="77777777" w:rsidR="008459C2" w:rsidRDefault="00000000">
      <w:pPr>
        <w:pStyle w:val="BodyText"/>
      </w:pPr>
      <w:r>
        <w:t>Fourth, the three-frame decomposition attributes boundary effects precisely and reveals the decade’s dominant dynamic. Reclassification onto the national ladder is a minor, temporally stable measurement effect; external flows are the primary engine (73% of the mean dominance shift in 2011, 111% in 2021) and their behaviour changed dramatically: external inflows fell 17.8% while outflows rose 51.3%, net-exporter MSOAs more than doubled, and the growth in counter churn is dominated by London-to-outside moves (+85,737) rather than internal reshuffling (+22,326). The 2021 national-frame cascade tail is populated not by gentrifying inner cores but by outer, high-decile boroughs whose cascade signal is outflow-led, with cascade inflow shares as low as 1%; the time-symmetric mechanism tree decomposes that tail into a literal exodus (external-majority outflow, growing fourfold from 19 to 78 MSOAs, all outer London) and a national-ladder artefact (internal-majority outflow), while the inflow-driven leaf that carries the genuine cascade collapses from 56 to 13 MSOAs.</w:t>
      </w:r>
    </w:p>
    <w:p w14:paraId="373C27D0" w14:textId="77777777" w:rsidR="008459C2" w:rsidRDefault="00000000">
      <w:pPr>
        <w:pStyle w:val="BodyText"/>
      </w:pPr>
      <w:r>
        <w:t xml:space="preserve">Fifth, and centrally, the cascade signal is decoupled from attribute-defined gentrification at pooled resolution, but the decoupling resolves into structure at mechanism resolution. Pooled, the association with the Yee and Dennett classification is negligible (Cramér’s V ≈ 0.10–0.11; ARI ≈ 0.005–0.02, both retired thereafter as pooling-vulnerable statistics); occupational ascent, near-universal across London, is independent of the typology under all three frames (ρ ≈ +0.02); and on the outcome side, attribute-defined gentrifying areas improve </w:t>
      </w:r>
      <w:r>
        <w:rPr>
          <w:i/>
          <w:iCs/>
        </w:rPr>
        <w:t>more</w:t>
      </w:r>
      <w:r>
        <w:t xml:space="preserve"> without a cascade signature (+0.043) than with one (+0.017). At leaf level, however, the flow mechanisms separate the benchmark’s gentrification subtypes: mainstream gentrification aligns with the inflow-driven cascade in the concurrent test only (lift ≈ 1.9–2.3, inner London), super-gentrification aligns with the internal-outflow cascade in both the concurrent and the persistence test (lift 3.4, q &lt; 10⁻⁹ in 2021), the strongest and only strengthening alignment in the analysis, and the exodus class is GEN-depleted under every definition. Convergence between the lenses in the classic inflow-led sense is confined </w:t>
      </w:r>
      <w:r>
        <w:lastRenderedPageBreak/>
        <w:t>to inner London on the 2011 leg, and the flow method’s eight genuinely persistent cascade cases are all attribute-labelled Stable.</w:t>
      </w:r>
    </w:p>
    <w:p w14:paraId="19D02996" w14:textId="77777777" w:rsidR="008459C2" w:rsidRDefault="00000000">
      <w:pPr>
        <w:pStyle w:val="BodyText"/>
      </w:pPr>
      <w:r>
        <w:t>Read against the framework of Chapter 2, these results resolve the study’s motivating question in the negative and in doing so reposition the instrument: following the flows does not amount to finding gentrification, but it does amount to finding its mechanisms. The flow lens does not recover the attribute-defined gentrification map as a whole; it measures a different dimension of urban change, the reshuffling of population through the deprivation hierarchy, whose dominant London expression over 2011–2021 was a structural upward-mobility current, punctured locally by a small, persistent, inflow-led cascade in a handful of inner cores, and overwhelmed at the decade’s end by an outward exodus whose durability the present data cannot determine. What the mechanism-resolved comparison adds is that the two lenses are not blind to one another: where the attribute method distinguishes mainstream from super-gentrification, the flow method independently distinguishes an arrival-led from a displacement-led cascade, and matches them. The implications of this two-layered result for the theorisation of displacement, and for the interpretation of attribute-based gentrification measures, are taken up in the following chapter.</w:t>
      </w:r>
    </w:p>
    <w:p w14:paraId="61D81CDB" w14:textId="77777777" w:rsidR="008459C2" w:rsidRDefault="00000000">
      <w:pPr>
        <w:pStyle w:val="Heading2"/>
      </w:pPr>
      <w:bookmarkStart w:id="33" w:name="figure-and-table-sources"/>
      <w:bookmarkEnd w:id="32"/>
      <w:r>
        <w:t>Figure and table sources</w:t>
      </w:r>
    </w:p>
    <w:p w14:paraId="3AD7F4B2" w14:textId="77777777" w:rsidR="008459C2" w:rsidRDefault="00000000">
      <w:pPr>
        <w:pStyle w:val="FirstParagraph"/>
      </w:pPr>
      <w:r>
        <w:t>The figures referenced in this chapter correspond to the following files generated by the analysis pipeline; captions and numbering should be finalised at assembly.</w:t>
      </w:r>
    </w:p>
    <w:tbl>
      <w:tblPr>
        <w:tblStyle w:val="Table"/>
        <w:tblW w:w="5000" w:type="pct"/>
        <w:tblLook w:val="0020" w:firstRow="1" w:lastRow="0" w:firstColumn="0" w:lastColumn="0" w:noHBand="0" w:noVBand="0"/>
      </w:tblPr>
      <w:tblGrid>
        <w:gridCol w:w="1713"/>
        <w:gridCol w:w="6418"/>
        <w:gridCol w:w="1445"/>
      </w:tblGrid>
      <w:tr w:rsidR="008459C2" w14:paraId="519E243F" w14:textId="77777777" w:rsidTr="008459C2">
        <w:trPr>
          <w:cnfStyle w:val="100000000000" w:firstRow="1" w:lastRow="0" w:firstColumn="0" w:lastColumn="0" w:oddVBand="0" w:evenVBand="0" w:oddHBand="0" w:evenHBand="0" w:firstRowFirstColumn="0" w:firstRowLastColumn="0" w:lastRowFirstColumn="0" w:lastRowLastColumn="0"/>
          <w:tblHeader/>
        </w:trPr>
        <w:tc>
          <w:tcPr>
            <w:tcW w:w="0" w:type="auto"/>
          </w:tcPr>
          <w:p w14:paraId="09D3232A" w14:textId="77777777" w:rsidR="008459C2" w:rsidRDefault="00000000">
            <w:pPr>
              <w:pStyle w:val="Compact"/>
            </w:pPr>
            <w:r>
              <w:t>Chapter figure</w:t>
            </w:r>
          </w:p>
        </w:tc>
        <w:tc>
          <w:tcPr>
            <w:tcW w:w="0" w:type="auto"/>
          </w:tcPr>
          <w:p w14:paraId="03F8B537" w14:textId="77777777" w:rsidR="008459C2" w:rsidRDefault="00000000">
            <w:pPr>
              <w:pStyle w:val="Compact"/>
            </w:pPr>
            <w:r>
              <w:t>Source file</w:t>
            </w:r>
          </w:p>
        </w:tc>
        <w:tc>
          <w:tcPr>
            <w:tcW w:w="0" w:type="auto"/>
          </w:tcPr>
          <w:p w14:paraId="774C9FDF" w14:textId="77777777" w:rsidR="008459C2" w:rsidRDefault="00000000">
            <w:pPr>
              <w:pStyle w:val="Compact"/>
            </w:pPr>
            <w:r>
              <w:t>Notebook</w:t>
            </w:r>
          </w:p>
        </w:tc>
      </w:tr>
      <w:tr w:rsidR="008459C2" w14:paraId="7FE04698" w14:textId="77777777">
        <w:tc>
          <w:tcPr>
            <w:tcW w:w="0" w:type="auto"/>
          </w:tcPr>
          <w:p w14:paraId="3AE176DA" w14:textId="77777777" w:rsidR="008459C2" w:rsidRDefault="00000000">
            <w:pPr>
              <w:pStyle w:val="Compact"/>
            </w:pPr>
            <w:r>
              <w:t>Figure 4.1</w:t>
            </w:r>
          </w:p>
        </w:tc>
        <w:tc>
          <w:tcPr>
            <w:tcW w:w="0" w:type="auto"/>
          </w:tcPr>
          <w:p w14:paraId="76996D99" w14:textId="77777777" w:rsidR="008459C2" w:rsidRDefault="00000000">
            <w:pPr>
              <w:pStyle w:val="Compact"/>
            </w:pPr>
            <w:r>
              <w:t>fig_01_distributions_cascade_counter.png / fig_04_derived_metrics_distributions.png</w:t>
            </w:r>
          </w:p>
        </w:tc>
        <w:tc>
          <w:tcPr>
            <w:tcW w:w="0" w:type="auto"/>
          </w:tcPr>
          <w:p w14:paraId="770E6FB4" w14:textId="77777777" w:rsidR="008459C2" w:rsidRDefault="00000000">
            <w:pPr>
              <w:pStyle w:val="Compact"/>
            </w:pPr>
            <w:r>
              <w:t>EDA 1</w:t>
            </w:r>
          </w:p>
        </w:tc>
      </w:tr>
      <w:tr w:rsidR="008459C2" w14:paraId="43936B5E" w14:textId="77777777">
        <w:tc>
          <w:tcPr>
            <w:tcW w:w="0" w:type="auto"/>
          </w:tcPr>
          <w:p w14:paraId="5A013F4F" w14:textId="77777777" w:rsidR="008459C2" w:rsidRDefault="00000000">
            <w:pPr>
              <w:pStyle w:val="Compact"/>
            </w:pPr>
            <w:r>
              <w:t>Figure 4.2</w:t>
            </w:r>
          </w:p>
        </w:tc>
        <w:tc>
          <w:tcPr>
            <w:tcW w:w="0" w:type="auto"/>
          </w:tcPr>
          <w:p w14:paraId="7CE6B0E8" w14:textId="77777777" w:rsidR="008459C2" w:rsidRDefault="00000000">
            <w:pPr>
              <w:pStyle w:val="Compact"/>
            </w:pPr>
            <w:r>
              <w:t>fig_02_full_correlation_matrix.png</w:t>
            </w:r>
          </w:p>
        </w:tc>
        <w:tc>
          <w:tcPr>
            <w:tcW w:w="0" w:type="auto"/>
          </w:tcPr>
          <w:p w14:paraId="391DB41C" w14:textId="77777777" w:rsidR="008459C2" w:rsidRDefault="00000000">
            <w:pPr>
              <w:pStyle w:val="Compact"/>
            </w:pPr>
            <w:r>
              <w:t>EDA 1</w:t>
            </w:r>
          </w:p>
        </w:tc>
      </w:tr>
      <w:tr w:rsidR="008459C2" w14:paraId="4CAFCD45" w14:textId="77777777">
        <w:tc>
          <w:tcPr>
            <w:tcW w:w="0" w:type="auto"/>
          </w:tcPr>
          <w:p w14:paraId="098ABCC9" w14:textId="77777777" w:rsidR="008459C2" w:rsidRDefault="00000000">
            <w:pPr>
              <w:pStyle w:val="Compact"/>
            </w:pPr>
            <w:r>
              <w:t>Figure 4.3</w:t>
            </w:r>
          </w:p>
        </w:tc>
        <w:tc>
          <w:tcPr>
            <w:tcW w:w="0" w:type="auto"/>
          </w:tcPr>
          <w:p w14:paraId="2A791103" w14:textId="77777777" w:rsidR="008459C2" w:rsidRDefault="00000000">
            <w:pPr>
              <w:pStyle w:val="Compact"/>
            </w:pPr>
            <w:r>
              <w:t>fig_03_four_base_flows_pairplot.png</w:t>
            </w:r>
          </w:p>
        </w:tc>
        <w:tc>
          <w:tcPr>
            <w:tcW w:w="0" w:type="auto"/>
          </w:tcPr>
          <w:p w14:paraId="018E5717" w14:textId="77777777" w:rsidR="008459C2" w:rsidRDefault="00000000">
            <w:pPr>
              <w:pStyle w:val="Compact"/>
            </w:pPr>
            <w:r>
              <w:t>EDA 1</w:t>
            </w:r>
          </w:p>
        </w:tc>
      </w:tr>
      <w:tr w:rsidR="008459C2" w14:paraId="23E7601E" w14:textId="77777777">
        <w:tc>
          <w:tcPr>
            <w:tcW w:w="0" w:type="auto"/>
          </w:tcPr>
          <w:p w14:paraId="0F62A796" w14:textId="77777777" w:rsidR="008459C2" w:rsidRDefault="00000000">
            <w:pPr>
              <w:pStyle w:val="Compact"/>
            </w:pPr>
            <w:r>
              <w:t>Figure 4.4</w:t>
            </w:r>
          </w:p>
        </w:tc>
        <w:tc>
          <w:tcPr>
            <w:tcW w:w="0" w:type="auto"/>
          </w:tcPr>
          <w:p w14:paraId="56C3EA6D" w14:textId="77777777" w:rsidR="008459C2" w:rsidRDefault="00000000">
            <w:pPr>
              <w:pStyle w:val="Compact"/>
            </w:pPr>
            <w:r>
              <w:t>fig_06_decile_profiles_all_metrics.png (with fig_07, fig_08 as supplements)</w:t>
            </w:r>
          </w:p>
        </w:tc>
        <w:tc>
          <w:tcPr>
            <w:tcW w:w="0" w:type="auto"/>
          </w:tcPr>
          <w:p w14:paraId="350535A2" w14:textId="77777777" w:rsidR="008459C2" w:rsidRDefault="00000000">
            <w:pPr>
              <w:pStyle w:val="Compact"/>
            </w:pPr>
            <w:r>
              <w:t>EDA 2</w:t>
            </w:r>
          </w:p>
        </w:tc>
      </w:tr>
      <w:tr w:rsidR="008459C2" w14:paraId="23F79C74" w14:textId="77777777">
        <w:tc>
          <w:tcPr>
            <w:tcW w:w="0" w:type="auto"/>
          </w:tcPr>
          <w:p w14:paraId="7E5F37AF" w14:textId="77777777" w:rsidR="008459C2" w:rsidRDefault="00000000">
            <w:pPr>
              <w:pStyle w:val="Compact"/>
            </w:pPr>
            <w:r>
              <w:t>Figure 4.5</w:t>
            </w:r>
          </w:p>
        </w:tc>
        <w:tc>
          <w:tcPr>
            <w:tcW w:w="0" w:type="auto"/>
          </w:tcPr>
          <w:p w14:paraId="25E83E25" w14:textId="77777777" w:rsidR="008459C2" w:rsidRDefault="00000000">
            <w:pPr>
              <w:pStyle w:val="Compact"/>
            </w:pPr>
            <w:r>
              <w:t>fig_10_dominance_scatter_refined.png (map: fig_11_dominance_map.png)</w:t>
            </w:r>
          </w:p>
        </w:tc>
        <w:tc>
          <w:tcPr>
            <w:tcW w:w="0" w:type="auto"/>
          </w:tcPr>
          <w:p w14:paraId="59A4D7CC" w14:textId="77777777" w:rsidR="008459C2" w:rsidRDefault="00000000">
            <w:pPr>
              <w:pStyle w:val="Compact"/>
            </w:pPr>
            <w:r>
              <w:t>EDA 2</w:t>
            </w:r>
          </w:p>
        </w:tc>
      </w:tr>
      <w:tr w:rsidR="008459C2" w14:paraId="22E6B2FD" w14:textId="77777777">
        <w:tc>
          <w:tcPr>
            <w:tcW w:w="0" w:type="auto"/>
          </w:tcPr>
          <w:p w14:paraId="6D39E4D5" w14:textId="77777777" w:rsidR="008459C2" w:rsidRDefault="00000000">
            <w:pPr>
              <w:pStyle w:val="Compact"/>
            </w:pPr>
            <w:r>
              <w:t>Figure 4.6</w:t>
            </w:r>
          </w:p>
        </w:tc>
        <w:tc>
          <w:tcPr>
            <w:tcW w:w="0" w:type="auto"/>
          </w:tcPr>
          <w:p w14:paraId="610C9F49" w14:textId="77777777" w:rsidR="008459C2" w:rsidRDefault="00000000">
            <w:pPr>
              <w:pStyle w:val="Compact"/>
            </w:pPr>
            <w:r>
              <w:t>fig_09a_sign_concordance_map.png / fig_09b_sign_concordance_map_2021.png</w:t>
            </w:r>
          </w:p>
        </w:tc>
        <w:tc>
          <w:tcPr>
            <w:tcW w:w="0" w:type="auto"/>
          </w:tcPr>
          <w:p w14:paraId="3C47A08A" w14:textId="77777777" w:rsidR="008459C2" w:rsidRDefault="00000000">
            <w:pPr>
              <w:pStyle w:val="Compact"/>
            </w:pPr>
            <w:r>
              <w:t>EDA 2</w:t>
            </w:r>
          </w:p>
        </w:tc>
      </w:tr>
      <w:tr w:rsidR="008459C2" w14:paraId="0E344B3B" w14:textId="77777777">
        <w:tc>
          <w:tcPr>
            <w:tcW w:w="0" w:type="auto"/>
          </w:tcPr>
          <w:p w14:paraId="076D5A1F" w14:textId="77777777" w:rsidR="008459C2" w:rsidRDefault="00000000">
            <w:pPr>
              <w:pStyle w:val="Compact"/>
            </w:pPr>
            <w:r>
              <w:t>Figure 4.7</w:t>
            </w:r>
          </w:p>
        </w:tc>
        <w:tc>
          <w:tcPr>
            <w:tcW w:w="0" w:type="auto"/>
          </w:tcPr>
          <w:p w14:paraId="0927124F" w14:textId="77777777" w:rsidR="008459C2" w:rsidRDefault="00000000">
            <w:pPr>
              <w:pStyle w:val="Compact"/>
            </w:pPr>
            <w:r>
              <w:t>fig_11a_dominance_concordance_overlay.png / fig_11b (2021)</w:t>
            </w:r>
          </w:p>
        </w:tc>
        <w:tc>
          <w:tcPr>
            <w:tcW w:w="0" w:type="auto"/>
          </w:tcPr>
          <w:p w14:paraId="3AF61945" w14:textId="77777777" w:rsidR="008459C2" w:rsidRDefault="00000000">
            <w:pPr>
              <w:pStyle w:val="Compact"/>
            </w:pPr>
            <w:r>
              <w:t>EDA 2</w:t>
            </w:r>
          </w:p>
        </w:tc>
      </w:tr>
      <w:tr w:rsidR="008459C2" w14:paraId="08BD744E" w14:textId="77777777">
        <w:tc>
          <w:tcPr>
            <w:tcW w:w="0" w:type="auto"/>
          </w:tcPr>
          <w:p w14:paraId="0736BDC6" w14:textId="77777777" w:rsidR="008459C2" w:rsidRDefault="00000000">
            <w:pPr>
              <w:pStyle w:val="Compact"/>
            </w:pPr>
            <w:r>
              <w:t>Figure 4.8</w:t>
            </w:r>
          </w:p>
        </w:tc>
        <w:tc>
          <w:tcPr>
            <w:tcW w:w="0" w:type="auto"/>
          </w:tcPr>
          <w:p w14:paraId="5A1B1644" w14:textId="77777777" w:rsidR="008459C2" w:rsidRDefault="00000000">
            <w:pPr>
              <w:pStyle w:val="Compact"/>
            </w:pPr>
            <w:r>
              <w:t>fig_12_typology_scatter_exploration.png</w:t>
            </w:r>
          </w:p>
        </w:tc>
        <w:tc>
          <w:tcPr>
            <w:tcW w:w="0" w:type="auto"/>
          </w:tcPr>
          <w:p w14:paraId="5C321787" w14:textId="77777777" w:rsidR="008459C2" w:rsidRDefault="00000000">
            <w:pPr>
              <w:pStyle w:val="Compact"/>
            </w:pPr>
            <w:r>
              <w:t>EDA 3</w:t>
            </w:r>
          </w:p>
        </w:tc>
      </w:tr>
      <w:tr w:rsidR="008459C2" w14:paraId="1F5236FB" w14:textId="77777777">
        <w:tc>
          <w:tcPr>
            <w:tcW w:w="0" w:type="auto"/>
          </w:tcPr>
          <w:p w14:paraId="67239B24" w14:textId="77777777" w:rsidR="008459C2" w:rsidRDefault="00000000">
            <w:pPr>
              <w:pStyle w:val="Compact"/>
            </w:pPr>
            <w:r>
              <w:t>Figure 4.9</w:t>
            </w:r>
          </w:p>
        </w:tc>
        <w:tc>
          <w:tcPr>
            <w:tcW w:w="0" w:type="auto"/>
          </w:tcPr>
          <w:p w14:paraId="5C03A6DE" w14:textId="77777777" w:rsidR="008459C2" w:rsidRDefault="00000000">
            <w:pPr>
              <w:pStyle w:val="Compact"/>
            </w:pPr>
            <w:r>
              <w:t>fig_13_typology_scatter_classified.png</w:t>
            </w:r>
          </w:p>
        </w:tc>
        <w:tc>
          <w:tcPr>
            <w:tcW w:w="0" w:type="auto"/>
          </w:tcPr>
          <w:p w14:paraId="132576FB" w14:textId="77777777" w:rsidR="008459C2" w:rsidRDefault="00000000">
            <w:pPr>
              <w:pStyle w:val="Compact"/>
            </w:pPr>
            <w:r>
              <w:t>EDA 3</w:t>
            </w:r>
          </w:p>
        </w:tc>
      </w:tr>
      <w:tr w:rsidR="008459C2" w14:paraId="248FC7A2" w14:textId="77777777">
        <w:tc>
          <w:tcPr>
            <w:tcW w:w="0" w:type="auto"/>
          </w:tcPr>
          <w:p w14:paraId="3013ECB6" w14:textId="77777777" w:rsidR="008459C2" w:rsidRDefault="00000000">
            <w:pPr>
              <w:pStyle w:val="Compact"/>
            </w:pPr>
            <w:r>
              <w:t>Figure 4.10</w:t>
            </w:r>
          </w:p>
        </w:tc>
        <w:tc>
          <w:tcPr>
            <w:tcW w:w="0" w:type="auto"/>
          </w:tcPr>
          <w:p w14:paraId="076CDE6F" w14:textId="77777777" w:rsidR="008459C2" w:rsidRDefault="00000000">
            <w:pPr>
              <w:pStyle w:val="Compact"/>
            </w:pPr>
            <w:r>
              <w:t>fig_13b_ratio_vs_diff_scatter.png</w:t>
            </w:r>
          </w:p>
        </w:tc>
        <w:tc>
          <w:tcPr>
            <w:tcW w:w="0" w:type="auto"/>
          </w:tcPr>
          <w:p w14:paraId="769DF368" w14:textId="77777777" w:rsidR="008459C2" w:rsidRDefault="00000000">
            <w:pPr>
              <w:pStyle w:val="Compact"/>
            </w:pPr>
            <w:r>
              <w:t>EDA 3</w:t>
            </w:r>
          </w:p>
        </w:tc>
      </w:tr>
      <w:tr w:rsidR="008459C2" w14:paraId="38215845" w14:textId="77777777">
        <w:tc>
          <w:tcPr>
            <w:tcW w:w="0" w:type="auto"/>
          </w:tcPr>
          <w:p w14:paraId="3AEA4614" w14:textId="77777777" w:rsidR="008459C2" w:rsidRDefault="00000000">
            <w:pPr>
              <w:pStyle w:val="Compact"/>
            </w:pPr>
            <w:r>
              <w:t>Figure 4.11</w:t>
            </w:r>
          </w:p>
        </w:tc>
        <w:tc>
          <w:tcPr>
            <w:tcW w:w="0" w:type="auto"/>
          </w:tcPr>
          <w:p w14:paraId="488F37E5" w14:textId="77777777" w:rsidR="008459C2" w:rsidRDefault="00000000">
            <w:pPr>
              <w:pStyle w:val="Compact"/>
            </w:pPr>
            <w:r>
              <w:t>fig_13c_ratio_vs_diff_imd_validation.png</w:t>
            </w:r>
          </w:p>
        </w:tc>
        <w:tc>
          <w:tcPr>
            <w:tcW w:w="0" w:type="auto"/>
          </w:tcPr>
          <w:p w14:paraId="396022BC" w14:textId="77777777" w:rsidR="008459C2" w:rsidRDefault="00000000">
            <w:pPr>
              <w:pStyle w:val="Compact"/>
            </w:pPr>
            <w:r>
              <w:t>EDA 3</w:t>
            </w:r>
          </w:p>
        </w:tc>
      </w:tr>
      <w:tr w:rsidR="008459C2" w14:paraId="07298A88" w14:textId="77777777">
        <w:tc>
          <w:tcPr>
            <w:tcW w:w="0" w:type="auto"/>
          </w:tcPr>
          <w:p w14:paraId="72441DF7" w14:textId="77777777" w:rsidR="008459C2" w:rsidRDefault="00000000">
            <w:pPr>
              <w:pStyle w:val="Compact"/>
            </w:pPr>
            <w:r>
              <w:t>Figure 4.12</w:t>
            </w:r>
          </w:p>
        </w:tc>
        <w:tc>
          <w:tcPr>
            <w:tcW w:w="0" w:type="auto"/>
          </w:tcPr>
          <w:p w14:paraId="3A3E70D6" w14:textId="77777777" w:rsidR="008459C2" w:rsidRDefault="00000000">
            <w:pPr>
              <w:pStyle w:val="Compact"/>
            </w:pPr>
            <w:r>
              <w:t>fig_14_typology_map.png (quadrants: fig_14d)</w:t>
            </w:r>
          </w:p>
        </w:tc>
        <w:tc>
          <w:tcPr>
            <w:tcW w:w="0" w:type="auto"/>
          </w:tcPr>
          <w:p w14:paraId="087B8EFF" w14:textId="77777777" w:rsidR="008459C2" w:rsidRDefault="00000000">
            <w:pPr>
              <w:pStyle w:val="Compact"/>
            </w:pPr>
            <w:r>
              <w:t>EDA 3</w:t>
            </w:r>
          </w:p>
        </w:tc>
      </w:tr>
      <w:tr w:rsidR="008459C2" w14:paraId="0F3681AB" w14:textId="77777777">
        <w:tc>
          <w:tcPr>
            <w:tcW w:w="0" w:type="auto"/>
          </w:tcPr>
          <w:p w14:paraId="5FB4383B" w14:textId="77777777" w:rsidR="008459C2" w:rsidRDefault="00000000">
            <w:pPr>
              <w:pStyle w:val="Compact"/>
            </w:pPr>
            <w:r>
              <w:t>Figure 4.13</w:t>
            </w:r>
          </w:p>
        </w:tc>
        <w:tc>
          <w:tcPr>
            <w:tcW w:w="0" w:type="auto"/>
          </w:tcPr>
          <w:p w14:paraId="1FDE0B73" w14:textId="77777777" w:rsidR="008459C2" w:rsidRDefault="00000000">
            <w:pPr>
              <w:pStyle w:val="Compact"/>
            </w:pPr>
            <w:r>
              <w:t>fig_14b_typology_transition_map.png</w:t>
            </w:r>
          </w:p>
        </w:tc>
        <w:tc>
          <w:tcPr>
            <w:tcW w:w="0" w:type="auto"/>
          </w:tcPr>
          <w:p w14:paraId="2469F05A" w14:textId="77777777" w:rsidR="008459C2" w:rsidRDefault="00000000">
            <w:pPr>
              <w:pStyle w:val="Compact"/>
            </w:pPr>
            <w:r>
              <w:t>EDA 3</w:t>
            </w:r>
          </w:p>
        </w:tc>
      </w:tr>
      <w:tr w:rsidR="008459C2" w14:paraId="3AC29490" w14:textId="77777777">
        <w:tc>
          <w:tcPr>
            <w:tcW w:w="0" w:type="auto"/>
          </w:tcPr>
          <w:p w14:paraId="39192FD9" w14:textId="77777777" w:rsidR="008459C2" w:rsidRDefault="00000000">
            <w:pPr>
              <w:pStyle w:val="Compact"/>
            </w:pPr>
            <w:r>
              <w:lastRenderedPageBreak/>
              <w:t>Figure 4.14</w:t>
            </w:r>
          </w:p>
        </w:tc>
        <w:tc>
          <w:tcPr>
            <w:tcW w:w="0" w:type="auto"/>
          </w:tcPr>
          <w:p w14:paraId="164D708D" w14:textId="77777777" w:rsidR="008459C2" w:rsidRDefault="00000000">
            <w:pPr>
              <w:pStyle w:val="Compact"/>
            </w:pPr>
            <w:r>
              <w:t>fig_16_validation_scatters.png</w:t>
            </w:r>
          </w:p>
        </w:tc>
        <w:tc>
          <w:tcPr>
            <w:tcW w:w="0" w:type="auto"/>
          </w:tcPr>
          <w:p w14:paraId="33E38719" w14:textId="77777777" w:rsidR="008459C2" w:rsidRDefault="00000000">
            <w:pPr>
              <w:pStyle w:val="Compact"/>
            </w:pPr>
            <w:r>
              <w:t>EDA 3</w:t>
            </w:r>
          </w:p>
        </w:tc>
      </w:tr>
      <w:tr w:rsidR="008459C2" w14:paraId="2DE39FBA" w14:textId="77777777">
        <w:tc>
          <w:tcPr>
            <w:tcW w:w="0" w:type="auto"/>
          </w:tcPr>
          <w:p w14:paraId="55CA20EB" w14:textId="77777777" w:rsidR="008459C2" w:rsidRDefault="00000000">
            <w:pPr>
              <w:pStyle w:val="Compact"/>
            </w:pPr>
            <w:r>
              <w:t>Figure 4.15</w:t>
            </w:r>
          </w:p>
        </w:tc>
        <w:tc>
          <w:tcPr>
            <w:tcW w:w="0" w:type="auto"/>
          </w:tcPr>
          <w:p w14:paraId="465DB196" w14:textId="77777777" w:rsidR="008459C2" w:rsidRDefault="00000000">
            <w:pPr>
              <w:pStyle w:val="Compact"/>
            </w:pPr>
            <w:r>
              <w:t>fig_17_typology_vs_imd_boxplot.png (frames: fig_24)</w:t>
            </w:r>
          </w:p>
        </w:tc>
        <w:tc>
          <w:tcPr>
            <w:tcW w:w="0" w:type="auto"/>
          </w:tcPr>
          <w:p w14:paraId="137295A5" w14:textId="77777777" w:rsidR="008459C2" w:rsidRDefault="00000000">
            <w:pPr>
              <w:pStyle w:val="Compact"/>
            </w:pPr>
            <w:r>
              <w:t>EDA 3 / EDA 4</w:t>
            </w:r>
          </w:p>
        </w:tc>
      </w:tr>
      <w:tr w:rsidR="008459C2" w14:paraId="2B6AF74B" w14:textId="77777777">
        <w:tc>
          <w:tcPr>
            <w:tcW w:w="0" w:type="auto"/>
          </w:tcPr>
          <w:p w14:paraId="107372AC" w14:textId="77777777" w:rsidR="008459C2" w:rsidRDefault="00000000">
            <w:pPr>
              <w:pStyle w:val="Compact"/>
            </w:pPr>
            <w:r>
              <w:t>Figure 4.16</w:t>
            </w:r>
          </w:p>
        </w:tc>
        <w:tc>
          <w:tcPr>
            <w:tcW w:w="0" w:type="auto"/>
          </w:tcPr>
          <w:p w14:paraId="3802EAA1" w14:textId="77777777" w:rsidR="008459C2" w:rsidRDefault="00000000">
            <w:pPr>
              <w:pStyle w:val="Compact"/>
            </w:pPr>
            <w:r>
              <w:t>fig_18_external_flows_by_decile.png (per-MSOA: fig_19)</w:t>
            </w:r>
          </w:p>
        </w:tc>
        <w:tc>
          <w:tcPr>
            <w:tcW w:w="0" w:type="auto"/>
          </w:tcPr>
          <w:p w14:paraId="62EFFA87" w14:textId="77777777" w:rsidR="008459C2" w:rsidRDefault="00000000">
            <w:pPr>
              <w:pStyle w:val="Compact"/>
            </w:pPr>
            <w:r>
              <w:t>EDA 4</w:t>
            </w:r>
          </w:p>
        </w:tc>
      </w:tr>
      <w:tr w:rsidR="008459C2" w14:paraId="3E57F904" w14:textId="77777777">
        <w:tc>
          <w:tcPr>
            <w:tcW w:w="0" w:type="auto"/>
          </w:tcPr>
          <w:p w14:paraId="419DC174" w14:textId="77777777" w:rsidR="008459C2" w:rsidRDefault="00000000">
            <w:pPr>
              <w:pStyle w:val="Compact"/>
            </w:pPr>
            <w:r>
              <w:t>Figure 4.17</w:t>
            </w:r>
          </w:p>
        </w:tc>
        <w:tc>
          <w:tcPr>
            <w:tcW w:w="0" w:type="auto"/>
          </w:tcPr>
          <w:p w14:paraId="5C13445F" w14:textId="77777777" w:rsidR="008459C2" w:rsidRDefault="00000000">
            <w:pPr>
              <w:pStyle w:val="Compact"/>
            </w:pPr>
            <w:r>
              <w:t>fig_20b_flow_direction_decomposition.png (decile split: fig_20)</w:t>
            </w:r>
          </w:p>
        </w:tc>
        <w:tc>
          <w:tcPr>
            <w:tcW w:w="0" w:type="auto"/>
          </w:tcPr>
          <w:p w14:paraId="6A32EA6B" w14:textId="77777777" w:rsidR="008459C2" w:rsidRDefault="00000000">
            <w:pPr>
              <w:pStyle w:val="Compact"/>
            </w:pPr>
            <w:r>
              <w:t>EDA 4</w:t>
            </w:r>
          </w:p>
        </w:tc>
      </w:tr>
      <w:tr w:rsidR="008459C2" w14:paraId="691F3E48" w14:textId="77777777">
        <w:tc>
          <w:tcPr>
            <w:tcW w:w="0" w:type="auto"/>
          </w:tcPr>
          <w:p w14:paraId="4FF8E8BE" w14:textId="77777777" w:rsidR="008459C2" w:rsidRDefault="00000000">
            <w:pPr>
              <w:pStyle w:val="Compact"/>
            </w:pPr>
            <w:r>
              <w:t>Figure 4.18</w:t>
            </w:r>
          </w:p>
        </w:tc>
        <w:tc>
          <w:tcPr>
            <w:tcW w:w="0" w:type="auto"/>
          </w:tcPr>
          <w:p w14:paraId="1B059625" w14:textId="77777777" w:rsidR="008459C2" w:rsidRDefault="00000000">
            <w:pPr>
              <w:pStyle w:val="Compact"/>
            </w:pPr>
            <w:r>
              <w:t>fig_21_dominance_shift_decomposed.png / fig_22_dominance_shift_scatter.png</w:t>
            </w:r>
          </w:p>
        </w:tc>
        <w:tc>
          <w:tcPr>
            <w:tcW w:w="0" w:type="auto"/>
          </w:tcPr>
          <w:p w14:paraId="405DCA1B" w14:textId="77777777" w:rsidR="008459C2" w:rsidRDefault="00000000">
            <w:pPr>
              <w:pStyle w:val="Compact"/>
            </w:pPr>
            <w:r>
              <w:t>EDA 4</w:t>
            </w:r>
          </w:p>
        </w:tc>
      </w:tr>
      <w:tr w:rsidR="008459C2" w14:paraId="23E86E19" w14:textId="77777777">
        <w:tc>
          <w:tcPr>
            <w:tcW w:w="0" w:type="auto"/>
          </w:tcPr>
          <w:p w14:paraId="6EA52D24" w14:textId="77777777" w:rsidR="008459C2" w:rsidRDefault="00000000">
            <w:pPr>
              <w:pStyle w:val="Compact"/>
            </w:pPr>
            <w:r>
              <w:t>Figure 4.19</w:t>
            </w:r>
          </w:p>
        </w:tc>
        <w:tc>
          <w:tcPr>
            <w:tcW w:w="0" w:type="auto"/>
          </w:tcPr>
          <w:p w14:paraId="51C1A7E0" w14:textId="77777777" w:rsidR="008459C2" w:rsidRDefault="00000000">
            <w:pPr>
              <w:pStyle w:val="Compact"/>
            </w:pPr>
            <w:r>
              <w:t>fig_23_typology_scatter_comparison_11_21.png</w:t>
            </w:r>
          </w:p>
        </w:tc>
        <w:tc>
          <w:tcPr>
            <w:tcW w:w="0" w:type="auto"/>
          </w:tcPr>
          <w:p w14:paraId="0D522880" w14:textId="77777777" w:rsidR="008459C2" w:rsidRDefault="00000000">
            <w:pPr>
              <w:pStyle w:val="Compact"/>
            </w:pPr>
            <w:r>
              <w:t>EDA 4</w:t>
            </w:r>
          </w:p>
        </w:tc>
      </w:tr>
      <w:tr w:rsidR="008459C2" w14:paraId="0C84AF19" w14:textId="77777777">
        <w:tc>
          <w:tcPr>
            <w:tcW w:w="0" w:type="auto"/>
          </w:tcPr>
          <w:p w14:paraId="26D48662" w14:textId="77777777" w:rsidR="008459C2" w:rsidRDefault="00000000">
            <w:pPr>
              <w:pStyle w:val="Compact"/>
            </w:pPr>
            <w:r>
              <w:t>Figure 4.20</w:t>
            </w:r>
          </w:p>
        </w:tc>
        <w:tc>
          <w:tcPr>
            <w:tcW w:w="0" w:type="auto"/>
          </w:tcPr>
          <w:p w14:paraId="42341426" w14:textId="77777777" w:rsidR="008459C2" w:rsidRDefault="00000000">
            <w:pPr>
              <w:pStyle w:val="Compact"/>
            </w:pPr>
            <w:r>
              <w:t>fig_25_extreme_msoa_map.png</w:t>
            </w:r>
          </w:p>
        </w:tc>
        <w:tc>
          <w:tcPr>
            <w:tcW w:w="0" w:type="auto"/>
          </w:tcPr>
          <w:p w14:paraId="62F5D8A2" w14:textId="77777777" w:rsidR="008459C2" w:rsidRDefault="00000000">
            <w:pPr>
              <w:pStyle w:val="Compact"/>
            </w:pPr>
            <w:r>
              <w:t>EDA 4</w:t>
            </w:r>
          </w:p>
        </w:tc>
      </w:tr>
      <w:tr w:rsidR="008459C2" w14:paraId="767FB987" w14:textId="77777777">
        <w:tc>
          <w:tcPr>
            <w:tcW w:w="0" w:type="auto"/>
          </w:tcPr>
          <w:p w14:paraId="593E094E" w14:textId="77777777" w:rsidR="008459C2" w:rsidRDefault="00000000">
            <w:pPr>
              <w:pStyle w:val="Compact"/>
            </w:pPr>
            <w:r>
              <w:t>Figure 4.21</w:t>
            </w:r>
          </w:p>
        </w:tc>
        <w:tc>
          <w:tcPr>
            <w:tcW w:w="0" w:type="auto"/>
          </w:tcPr>
          <w:p w14:paraId="3BF7CA28" w14:textId="77777777" w:rsidR="008459C2" w:rsidRDefault="00000000">
            <w:pPr>
              <w:pStyle w:val="Compact"/>
            </w:pPr>
            <w:r>
              <w:t>fig01_map_yee_divergence_2011.png (context: fig02_map_yee_modal_class.png)</w:t>
            </w:r>
          </w:p>
        </w:tc>
        <w:tc>
          <w:tcPr>
            <w:tcW w:w="0" w:type="auto"/>
          </w:tcPr>
          <w:p w14:paraId="2C132BB0" w14:textId="77777777" w:rsidR="008459C2" w:rsidRDefault="00000000">
            <w:pPr>
              <w:pStyle w:val="Compact"/>
            </w:pPr>
            <w:r>
              <w:t>EDA 5</w:t>
            </w:r>
          </w:p>
        </w:tc>
      </w:tr>
      <w:tr w:rsidR="008459C2" w14:paraId="1593F32F" w14:textId="77777777">
        <w:tc>
          <w:tcPr>
            <w:tcW w:w="0" w:type="auto"/>
          </w:tcPr>
          <w:p w14:paraId="1CFD71E5" w14:textId="77777777" w:rsidR="008459C2" w:rsidRDefault="00000000">
            <w:pPr>
              <w:pStyle w:val="Compact"/>
            </w:pPr>
            <w:r>
              <w:t>Figure 4.22</w:t>
            </w:r>
          </w:p>
        </w:tc>
        <w:tc>
          <w:tcPr>
            <w:tcW w:w="0" w:type="auto"/>
          </w:tcPr>
          <w:p w14:paraId="42072FCA" w14:textId="77777777" w:rsidR="008459C2" w:rsidRDefault="00000000">
            <w:pPr>
              <w:pStyle w:val="Compact"/>
            </w:pPr>
            <w:r>
              <w:t>fig03_map_occupation_divergence_2021.png (context: fig04_map_occupation_ascent.png)</w:t>
            </w:r>
          </w:p>
        </w:tc>
        <w:tc>
          <w:tcPr>
            <w:tcW w:w="0" w:type="auto"/>
          </w:tcPr>
          <w:p w14:paraId="28C12ACE" w14:textId="77777777" w:rsidR="008459C2" w:rsidRDefault="00000000">
            <w:pPr>
              <w:pStyle w:val="Compact"/>
            </w:pPr>
            <w:r>
              <w:t>EDA 6</w:t>
            </w:r>
          </w:p>
        </w:tc>
      </w:tr>
      <w:tr w:rsidR="008459C2" w14:paraId="154B700A" w14:textId="77777777">
        <w:tc>
          <w:tcPr>
            <w:tcW w:w="0" w:type="auto"/>
          </w:tcPr>
          <w:p w14:paraId="67E51D73" w14:textId="77777777" w:rsidR="008459C2" w:rsidRDefault="00000000">
            <w:pPr>
              <w:pStyle w:val="Compact"/>
            </w:pPr>
            <w:r>
              <w:t>Figure 4.23</w:t>
            </w:r>
          </w:p>
        </w:tc>
        <w:tc>
          <w:tcPr>
            <w:tcW w:w="0" w:type="auto"/>
          </w:tcPr>
          <w:p w14:paraId="5BA7BAA3" w14:textId="77777777" w:rsidR="008459C2" w:rsidRDefault="00000000">
            <w:pPr>
              <w:pStyle w:val="Compact"/>
            </w:pPr>
            <w:r>
              <w:t>Alluvial case-study panels, Figures A–D (persistent cascade; inner cascade turning counter; national-ladder artefact; literal exodus)</w:t>
            </w:r>
          </w:p>
        </w:tc>
        <w:tc>
          <w:tcPr>
            <w:tcW w:w="0" w:type="auto"/>
          </w:tcPr>
          <w:p w14:paraId="4CAFF4B4" w14:textId="77777777" w:rsidR="008459C2" w:rsidRDefault="00000000">
            <w:pPr>
              <w:pStyle w:val="Compact"/>
            </w:pPr>
            <w:r>
              <w:t>EDA 11 (refined EDA 7)</w:t>
            </w:r>
          </w:p>
        </w:tc>
      </w:tr>
      <w:tr w:rsidR="008459C2" w14:paraId="70789F71" w14:textId="77777777">
        <w:tc>
          <w:tcPr>
            <w:tcW w:w="0" w:type="auto"/>
          </w:tcPr>
          <w:p w14:paraId="0A15F086" w14:textId="77777777" w:rsidR="008459C2" w:rsidRDefault="00000000">
            <w:pPr>
              <w:pStyle w:val="Compact"/>
            </w:pPr>
            <w:r>
              <w:t>Table 4.4 / threshold evidence</w:t>
            </w:r>
          </w:p>
        </w:tc>
        <w:tc>
          <w:tcPr>
            <w:tcW w:w="0" w:type="auto"/>
          </w:tcPr>
          <w:p w14:paraId="06B903B3" w14:textId="77777777" w:rsidR="008459C2" w:rsidRDefault="00000000">
            <w:pPr>
              <w:pStyle w:val="Compact"/>
            </w:pPr>
            <w:r>
              <w:t>Inflow-share empirical-gap figure; external-arm sensitivity-band figure; leaf-count table</w:t>
            </w:r>
          </w:p>
        </w:tc>
        <w:tc>
          <w:tcPr>
            <w:tcW w:w="0" w:type="auto"/>
          </w:tcPr>
          <w:p w14:paraId="02CF944A" w14:textId="77777777" w:rsidR="008459C2" w:rsidRDefault="00000000">
            <w:pPr>
              <w:pStyle w:val="Compact"/>
            </w:pPr>
            <w:r>
              <w:t>EDA 9b</w:t>
            </w:r>
          </w:p>
        </w:tc>
      </w:tr>
      <w:tr w:rsidR="008459C2" w14:paraId="44F1EE7B" w14:textId="77777777">
        <w:tc>
          <w:tcPr>
            <w:tcW w:w="0" w:type="auto"/>
          </w:tcPr>
          <w:p w14:paraId="5E89939C" w14:textId="77777777" w:rsidR="008459C2" w:rsidRDefault="00000000">
            <w:pPr>
              <w:pStyle w:val="Compact"/>
            </w:pPr>
            <w:r>
              <w:t>Mechanism leaf maps</w:t>
            </w:r>
          </w:p>
        </w:tc>
        <w:tc>
          <w:tcPr>
            <w:tcW w:w="0" w:type="auto"/>
          </w:tcPr>
          <w:p w14:paraId="5EF0A51B" w14:textId="77777777" w:rsidR="008459C2" w:rsidRDefault="00000000">
            <w:pPr>
              <w:pStyle w:val="Compact"/>
            </w:pPr>
            <w:r>
              <w:t>Five-class temporal side-by-side maps (mechanism names on map, narrative labels in caption)</w:t>
            </w:r>
          </w:p>
        </w:tc>
        <w:tc>
          <w:tcPr>
            <w:tcW w:w="0" w:type="auto"/>
          </w:tcPr>
          <w:p w14:paraId="50FAEA0E" w14:textId="77777777" w:rsidR="008459C2" w:rsidRDefault="00000000">
            <w:pPr>
              <w:pStyle w:val="Compact"/>
            </w:pPr>
            <w:r>
              <w:t>EDA 10 (refined EDA 8)</w:t>
            </w:r>
          </w:p>
        </w:tc>
      </w:tr>
      <w:tr w:rsidR="008459C2" w14:paraId="55804574" w14:textId="77777777">
        <w:tc>
          <w:tcPr>
            <w:tcW w:w="0" w:type="auto"/>
          </w:tcPr>
          <w:p w14:paraId="1056C4E5" w14:textId="77777777" w:rsidR="008459C2" w:rsidRDefault="00000000">
            <w:pPr>
              <w:pStyle w:val="Compact"/>
            </w:pPr>
            <w:r>
              <w:t>Leaf-level enrichment</w:t>
            </w:r>
          </w:p>
        </w:tc>
        <w:tc>
          <w:tcPr>
            <w:tcW w:w="0" w:type="auto"/>
          </w:tcPr>
          <w:p w14:paraId="6BCC415B" w14:textId="77777777" w:rsidR="008459C2" w:rsidRDefault="00000000">
            <w:pPr>
              <w:pStyle w:val="Compact"/>
            </w:pPr>
            <w:r>
              <w:t>Lift dot plot; mechanism map vs Yee Class-3 subtypes (2011 concurrent · 2021 persistence)</w:t>
            </w:r>
          </w:p>
        </w:tc>
        <w:tc>
          <w:tcPr>
            <w:tcW w:w="0" w:type="auto"/>
          </w:tcPr>
          <w:p w14:paraId="15F43ACB" w14:textId="77777777" w:rsidR="008459C2" w:rsidRDefault="00000000">
            <w:pPr>
              <w:pStyle w:val="Compact"/>
            </w:pPr>
            <w:r>
              <w:t>EDA 12 v3</w:t>
            </w:r>
          </w:p>
        </w:tc>
      </w:tr>
      <w:tr w:rsidR="008459C2" w14:paraId="1B0D92DD" w14:textId="77777777">
        <w:tc>
          <w:tcPr>
            <w:tcW w:w="0" w:type="auto"/>
          </w:tcPr>
          <w:p w14:paraId="34F54676" w14:textId="77777777" w:rsidR="008459C2" w:rsidRDefault="00000000">
            <w:pPr>
              <w:pStyle w:val="Compact"/>
            </w:pPr>
            <w:r>
              <w:t>Definition sensitivity</w:t>
            </w:r>
          </w:p>
        </w:tc>
        <w:tc>
          <w:tcPr>
            <w:tcW w:w="0" w:type="auto"/>
          </w:tcPr>
          <w:p w14:paraId="409CF61B" w14:textId="77777777" w:rsidR="008459C2" w:rsidRDefault="00000000">
            <w:pPr>
              <w:pStyle w:val="Compact"/>
            </w:pPr>
            <w:r>
              <w:t>Same-decile broadening summary (strict / asymmetric / symmetric)</w:t>
            </w:r>
          </w:p>
        </w:tc>
        <w:tc>
          <w:tcPr>
            <w:tcW w:w="0" w:type="auto"/>
          </w:tcPr>
          <w:p w14:paraId="609A5075" w14:textId="77777777" w:rsidR="008459C2" w:rsidRDefault="00000000">
            <w:pPr>
              <w:pStyle w:val="Compact"/>
            </w:pPr>
            <w:r>
              <w:t>EDA 3b</w:t>
            </w:r>
          </w:p>
        </w:tc>
      </w:tr>
      <w:bookmarkEnd w:id="0"/>
      <w:bookmarkEnd w:id="33"/>
    </w:tbl>
    <w:p w14:paraId="72C7F383" w14:textId="77777777" w:rsidR="00136AD3" w:rsidRDefault="00136AD3"/>
    <w:sectPr w:rsidR="00136AD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3FCC2" w14:textId="77777777" w:rsidR="00136AD3" w:rsidRDefault="00136AD3">
      <w:pPr>
        <w:spacing w:after="0"/>
      </w:pPr>
      <w:r>
        <w:separator/>
      </w:r>
    </w:p>
  </w:endnote>
  <w:endnote w:type="continuationSeparator" w:id="0">
    <w:p w14:paraId="43D286E4" w14:textId="77777777" w:rsidR="00136AD3" w:rsidRDefault="00136A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893EC" w14:textId="77777777" w:rsidR="00136AD3" w:rsidRDefault="00136AD3">
      <w:r>
        <w:separator/>
      </w:r>
    </w:p>
  </w:footnote>
  <w:footnote w:type="continuationSeparator" w:id="0">
    <w:p w14:paraId="0A356695" w14:textId="77777777" w:rsidR="00136AD3" w:rsidRDefault="00136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5696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6352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59C2"/>
    <w:rsid w:val="00136AD3"/>
    <w:rsid w:val="002D6558"/>
    <w:rsid w:val="008459C2"/>
    <w:rsid w:val="008D7C3C"/>
    <w:rsid w:val="00BC745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E91473"/>
  <w15:docId w15:val="{B84B8641-7500-AD43-B8D4-6A68E11E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9991</Words>
  <Characters>56949</Characters>
  <Application>Microsoft Office Word</Application>
  <DocSecurity>0</DocSecurity>
  <Lines>474</Lines>
  <Paragraphs>133</Paragraphs>
  <ScaleCrop>false</ScaleCrop>
  <Company/>
  <LinksUpToDate>false</LinksUpToDate>
  <CharactersWithSpaces>66807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Olivia Xing</cp:lastModifiedBy>
  <cp:revision>3</cp:revision>
  <dcterms:created xsi:type="dcterms:W3CDTF">2026-07-12T12:03:00Z</dcterms:created>
  <dcterms:modified xsi:type="dcterms:W3CDTF">2026-07-14T16:42:00Z</dcterms:modified>
</cp:coreProperties>
</file>