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rPr>
        <w:t xml:space="preserve">5. Discussion</w:t>
      </w:r>
    </w:p>
    <w:p>
      <w:pPr>
        <w:spacing w:after="200" w:line="320"/>
        <w:jc w:val="both"/>
      </w:pPr>
      <w:r>
        <w:t xml:space="preserve">This chapter interprets the two-layered result established in Chapter 4 — a pooled null between the flow typology and attribute-defined gentrification that resolves into structured alignment at mechanism resolution — in three directions: what it implies for how neighbourhood restructuring is theorised, what it implies for how gentrification is measured, and how it recasts London's 2011–2021 migration decade. It then gives fuller treatment to the limitations compressed in Section 3.12 and identifies the questions the present design cannot close.</w:t>
      </w:r>
    </w:p>
    <w:p>
      <w:pPr>
        <w:pStyle w:val="Heading2"/>
        <w:spacing w:after="160" w:before="300"/>
      </w:pPr>
      <w:r>
        <w:rPr>
          <w:b/>
          <w:bCs/>
        </w:rPr>
        <w:t xml:space="preserve">5.1 Two Lenses, Two Objects</w:t>
      </w:r>
    </w:p>
    <w:p>
      <w:pPr>
        <w:spacing w:after="200" w:line="320"/>
        <w:jc w:val="both"/>
      </w:pPr>
      <w:r>
        <w:t xml:space="preserve">The premise motivating this study — that gentrification should be legible as a cascade of moves, so that following the flows would amount to finding gentrification — is not supported at the resolution at which it is usually stated. The interpretive question is what kind of null this is. It is not evidence that either instrument is broken: the deprivation-outcome check of Section 4.3 shows that both lenses track something real about neighbourhood trajectories, and the flow typology's ordering against subsequent deprivation change is stable across two very different census contexts. The pooled null is better read as confirmation that the conceptual distinction posited in Chapter 2 is an empirical fact rather than a definitional nicety: attribute methods measure changes in who lives in a place, while the flow framework measures how the urban hierarchy is reshuffled through it, and in London over this decade these two objects came apart.</w:t>
      </w:r>
    </w:p>
    <w:p>
      <w:pPr>
        <w:spacing w:after="200" w:line="320"/>
        <w:jc w:val="both"/>
      </w:pPr>
      <w:r>
        <w:t xml:space="preserve">The direction of the divergence is itself informative. Attribute-defined gentrifying areas improved more without a cascade signature (+0.043) than with one (+0.017), which implies that attribute-detected ascent proceeds substantially through channels invisible to a decile-crossing flow lens: in-situ compositional change, tenure churn within deciles, and replacement dynamics that do not register as hierarchy-crossing relocation chains. This aggregate, whole-city result is consistent with the individual-level literature that finds the downward-move hypothesis weak or mixed (Ding et al., 2016; Freeman et al., 2024), and it supplies the city-scale counterpart those studies lack. The ecological-inference limitation does double duty here: because the deprivation position of an origin area is a noisy proxy for the mover's own position (Easton et al., 2020), divergence between the lenses is precisely what should be expected if compositional change is carried by movers whose characteristics area-of-origin does not index. The decoupling is therefore over-determined — conceptually predicted, mechanically plausible, and empirically observed — and it cautions against the common practice of treating flow asymmetries and attribute change as interchangeable evidence of the same process.</w:t>
      </w:r>
    </w:p>
    <w:p>
      <w:pPr>
        <w:pStyle w:val="Heading2"/>
        <w:spacing w:after="160" w:before="300"/>
      </w:pPr>
      <w:r>
        <w:rPr>
          <w:b/>
          <w:bCs/>
        </w:rPr>
        <w:t xml:space="preserve">5.2 Finding Mechanisms Rather Than Outcomes</w:t>
      </w:r>
    </w:p>
    <w:p>
      <w:pPr>
        <w:spacing w:after="200" w:line="320"/>
        <w:jc w:val="both"/>
      </w:pPr>
      <w:r>
        <w:t xml:space="preserve">The mechanism-resolution results show that the decoupling resolves rather than dissolves, and this is the study's principal contribution to the theorisation of neighbourhood restructuring. The tradition the study set out to test, most explicitly Marcuse's (1985) account of displacement as a chained, relational process, is rich in theorised mechanisms but has rarely been given distinct empirical signatures in migration data; the mechanism tree supplies signatures for the restructuring modes that tradition implies, while remaining agnostic about the voluntariness of any individual move. Mainstream gentrification aligns with the inflow-driven cascade in the concurrent test: where attribute change is actively underway, the arrival arm of the cascade is legible in the flows, consistent with restructuring pressure operating while transition is in progress. Super-gentrification aligns with the internal-outflow cascade in both censuses — the strongest and the only strengthening alignment — indicating that in already-wealthy areas, where the arrival arm is structurally closed, it is the outflow arm that carries the signature: downward-directed departures remain legible in the flows even after compositional ascent has saturated. The exodus class, by contrast, is gentrification-depleted under every definition tested; the decade's outward movement is not gentrification wearing another name.</w:t>
      </w:r>
    </w:p>
    <w:p>
      <w:pPr>
        <w:spacing w:after="200" w:line="320"/>
        <w:jc w:val="both"/>
      </w:pPr>
      <w:r>
        <w:t xml:space="preserve">Two disciplines on this reading were built into the design and bear repeating. The narrative labels are interpretations layered on the tree, not properties of it; and the super-gentrification alignment inherits the structural ceiling on the inflow arm, so the claim is limited to the presence of an outflow signature in top-decile areas, not to its generating process. Within those limits, the methodological implication for gentrification measurement is concrete: the flow lens is a complement, not a substitute. Pooled flow typologies should not be used as gentrification proxies — the pooled null is unambiguous on this — but mechanism-resolved flow classes can decompose an attribute label, distinguishing arrival-led transition from outflow-led churn and both from boundary exodus. Attribute classifications identify where change has occurred; the flow mechanisms identify through which arm of the hierarchy it moved.</w:t>
      </w:r>
    </w:p>
    <w:p>
      <w:pPr>
        <w:pStyle w:val="Heading2"/>
        <w:spacing w:after="160" w:before="300"/>
      </w:pPr>
      <w:r>
        <w:rPr>
          <w:b/>
          <w:bCs/>
        </w:rPr>
        <w:t xml:space="preserve">5.3 The Escalator, the Perturbation and the Exodus</w:t>
      </w:r>
    </w:p>
    <w:p>
      <w:pPr>
        <w:spacing w:after="200" w:line="320"/>
        <w:jc w:val="both"/>
      </w:pPr>
      <w:r>
        <w:t xml:space="preserve">Beneath the comparative result sits a system-level finding that reframes how residential restructuring should be theorised for London. Counter-cascade flows dominate the large majority of neighbourhoods in both censuses, and increasingly so: the prevailing current of hierarchy-crossing movement within London runs upward, consistent with Fielding's (1992) characterisation of the South East as an escalator region. Against this current, the cascade is a minority, spatially concentrated, and contracting perturbation, persisting across both censuses in only a handful of inner cores. This inverts the framing implicit in cascade accounts of gentrification — the gentrification-consistent flow structure is not the regime of London's migration system but a local exception to it — and it aligns with Marcuse's (1985) relational conception of restructuring as embedded within, and running against, a broader urban system. The validation results sharpen the point uncomfortably: what deprivation-trajectory signal the framework carries lives in the counter direction, among neighbourhoods absorbing arrivals from more deprived areas while their own residents move up and out. If flow structure identifies anywhere at risk, it is the destinations of downward-directed moves, not the canonical sites of gentrification pressure — a redirection of analytical and policy attention from the transitioning neighbourhood itself towards the areas at the receiving end of downward relocation chains.</w:t>
      </w:r>
    </w:p>
    <w:p>
      <w:pPr>
        <w:spacing w:after="200" w:line="320"/>
        <w:jc w:val="both"/>
      </w:pPr>
      <w:r>
        <w:t xml:space="preserve">The decade's dominant boundary phenomenon, the exodus, carries the largest unresolved question. External inflows fell 17.8% while outflows rose 51.3%, and the external-majority mechanism leaf grew fourfold; but the 2021 Census is a single lockdown-era observation, and the design cannot distinguish a durable structural shift from a transient pandemic artefact. The framework's contribution is to specify what each outcome would look like: if the exodus was transient, the external-majority leaf should contract back towards its 2011 baseline of 19 MSOAs at the next observation; if durable — sustained by remote working and affordability-driven out-movement — its outer-London geography should persist and the counter-shift it powered should consolidate. ONS mid-year internal-migration series offer an interim arbiter well before 2031, and this is the most tractable extension of the present work.</w:t>
      </w:r>
    </w:p>
    <w:p>
      <w:pPr>
        <w:pStyle w:val="Heading2"/>
        <w:spacing w:after="160" w:before="300"/>
      </w:pPr>
      <w:r>
        <w:rPr>
          <w:b/>
          <w:bCs/>
        </w:rPr>
        <w:t xml:space="preserve">5.4 Limitations Revisited</w:t>
      </w:r>
    </w:p>
    <w:p>
      <w:pPr>
        <w:spacing w:after="200" w:line="320"/>
        <w:jc w:val="both"/>
      </w:pPr>
      <w:r>
        <w:t xml:space="preserve">Three limitations condition every interpretation above, and each cuts in a specific direction. Ecological inference is simultaneously the framework's chief caveat and its leading explanation: it licenses the decoupling reading of Section 5.1, but it equally means the mechanism alignments of Section 5.2 could partly reflect the sorting of areas rather than the characteristics of movers, and no aggregate design can separate the two. For the same reason, the framework's claims stop at structural mobility asymmetries: nothing in the flow data identifies whether any move was voluntary, and the restructuring vocabulary used throughout is deliberate on this point. The lockdown census affects the two legs asymmetrically: the concurrent mainstream-gentrification alignment rests on the better-measured 2011 flows, while any 2021-specific magnitude should be read conservatively — which makes the super-gentrification alignment, observed in both censuses, the finding most robust to measurement degradation. The structural ceiling on the inflow arm means that part of that same alignment is built into the ladder's geometry; the claim survives because it was framed from the outset as signature-presence rather than process. The remaining considerations — the ageing 2010 baseline, the Modifiable Areal Unit Problem, the single-node representation of the external world, untested spatial autocorrelation, and the temporal mismatch between flow legs and outcome window — are bounded by the sensitivity analyses of Appendix D or acknowledged as design costs; jointly they confine the study's claims to consistency between flow signatures and trajectories rather than causal attribution.</w:t>
      </w:r>
    </w:p>
    <w:p>
      <w:pPr>
        <w:pStyle w:val="Heading2"/>
        <w:spacing w:after="160" w:before="300"/>
      </w:pPr>
      <w:r>
        <w:rPr>
          <w:b/>
          <w:bCs/>
        </w:rPr>
        <w:t xml:space="preserve">5.5 Directions for Future Research</w:t>
      </w:r>
    </w:p>
    <w:p>
      <w:pPr>
        <w:spacing w:after="200" w:line="320"/>
        <w:jc w:val="both"/>
      </w:pPr>
      <w:r>
        <w:t xml:space="preserve">Four extensions follow directly. Linked longitudinal microdata could test the area-origin proxy at the individual level — including, where consent-based surveys allow, the voluntariness of moves that aggregate data cannot observe — converting the ecological limitation into a measurable error rate. Post-2021 migration series can adjudicate the exodus-durability question on the terms specified above. Spatial econometric specifications would formalise the dependence that conventional tests ignore. And the framework travels: because the reclassification artefact arises wherever a city's internal ladder is compressed by a national one, replication in city-regions positioned differently on the national distribution would test whether the mechanism structure found here is London-specific or general. The conclusion of the study is accordingly not that the flow lens failed to find gentrification, but that it measures a different dimension of urban change — the reshuffling of population through the deprivation hierarchy — within which gentrification's mechanisms, rather than its outcomes, become visible.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2"/>
      <w:szCs w:val="32"/>
    </w:rPr>
  </w:style>
  <w:style w:type="paragraph" w:styleId="Heading2">
    <w:name w:val="Heading 2"/>
    <w:basedOn w:val="Normal"/>
    <w:next w:val="Normal"/>
    <w:qFormat/>
    <w:rPr>
      <w:rFonts w:ascii="Calibri" w:cs="Calibri" w:eastAsia="Calibri" w:hAnsi="Calibri"/>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2026-07-15T14:51:01.434Z</dcterms:created>
  <dcterms:modified xsi:type="dcterms:W3CDTF">2026-07-15T14:51:01.454Z</dcterms:modified>
</cp:coreProperties>
</file>

<file path=docProps/custom.xml><?xml version="1.0" encoding="utf-8"?>
<Properties xmlns="http://schemas.openxmlformats.org/officeDocument/2006/custom-properties" xmlns:vt="http://schemas.openxmlformats.org/officeDocument/2006/docPropsVTypes"/>
</file>