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thodology"/>
    <w:p>
      <w:pPr>
        <w:pStyle w:val="Heading1"/>
      </w:pPr>
      <w:r>
        <w:t xml:space="preserve">3. Methodology</w:t>
      </w:r>
    </w:p>
    <w:bookmarkStart w:id="20" w:name="research-design"/>
    <w:p>
      <w:pPr>
        <w:pStyle w:val="Heading2"/>
      </w:pPr>
      <w:r>
        <w:t xml:space="preserve">3.1 Research Design</w:t>
      </w:r>
    </w:p>
    <w:p>
      <w:pPr>
        <w:pStyle w:val="FirstParagraph"/>
      </w:pPr>
      <w:r>
        <w:t xml:space="preserve">This study develops a flow-centred framework for identifying residential restructuring in London through directional migration asymmetries across the urban deprivation hierarchy between 2011 and 2021, and uses it to test a widely assumed equivalence: that gentrification can be read directly from cascading migration flows, in which affluent residents move in and existing residents are pushed towards more deprived areas. Rather than operationalising gentrification through upgrading indicators, the study conceptualises displacement pressure as a relational mobility structure — the co-occurrence of upward-directed inflows and downward-directed outflows between differently positioned neighbourhoods — and treats its correspondence with attribute-defined gentrification as an empirical question rather than a presumption.</w:t>
      </w:r>
    </w:p>
    <w:p>
      <w:pPr>
        <w:pStyle w:val="BodyText"/>
      </w:pPr>
      <w:r>
        <w:t xml:space="preserve">The framework proceeds in five stages: a fixed deprivation hierarchy is constructed from IMD 2010 scores; Census origin–destination flows are decomposed into four elementary hierarchy-crossing flows, from which parallel cascade and counter-cascade indicator suites are built; MSOAs are classified into flow-regime types; a three-frame reference design separates the effect of changing the decile ladder from the effect of adding flows that cross London’s boundary; and the resulting typology is evaluated against independent measures of neighbourhood change — IMD percentile change between 2010 and 2019 and the attribute-based classification of Yee and Dennett (2022), with an occupational-ascent benchmark in Appendix F. A central design principle is the separation of measurement from outcome: flow indicators are derived entirely from migration asymmetries scored against the 2010 baseline hierarchy, while the IMD 2019 release is reserved exclusively for the outcome side, so the validation is non-circular by construction. Equally, the study does not claim that downward movement constitutes forced displacement: the deprivation position of an origin area is only a proxy for the position of the mover, and the framework identifies structural restructuring pressure at neighbourhood scale rather than observing displacement events.</w:t>
      </w:r>
    </w:p>
    <w:bookmarkEnd w:id="20"/>
    <w:bookmarkStart w:id="21" w:name="study-area-and-temporal-scope"/>
    <w:p>
      <w:pPr>
        <w:pStyle w:val="Heading2"/>
      </w:pPr>
      <w:r>
        <w:t xml:space="preserve">3.2 Study Area and Temporal Scope</w:t>
      </w:r>
    </w:p>
    <w:p>
      <w:pPr>
        <w:pStyle w:val="FirstParagraph"/>
      </w:pPr>
      <w:r>
        <w:t xml:space="preserve">The study area comprises Greater London: the 32 London boroughs and the City of London. The unit of analysis is the Middle Layer Super Output Area (MSOA), a census geography of approximately 7,200 residents (ONS, 2011), granular enough to capture localised migration dynamics while containing statistically meaningful volumes. All datasets are harmonised to 2011 MSOA boundaries: only one-to-one correspondences between 2011 and 2021 MSOAs are retained, with a single documented exception — two adjacent Camden MSOAs merged in 2021 are analysed as one best-fit zone. The final analytical dataset comprises 982 temporally consistent MSOA-level zones.</w:t>
      </w:r>
    </w:p>
    <w:bookmarkEnd w:id="21"/>
    <w:bookmarkStart w:id="22" w:name="data-sources"/>
    <w:p>
      <w:pPr>
        <w:pStyle w:val="Heading2"/>
      </w:pPr>
      <w:r>
        <w:t xml:space="preserve">3.3 Data Sources</w:t>
      </w:r>
    </w:p>
    <w:p>
      <w:pPr>
        <w:pStyle w:val="FirstParagraph"/>
      </w:pPr>
      <w:r>
        <w:t xml:space="preserve">The primary source is the Census origin–destination migration dataset, recording residential moves in the year preceding each Census: Table RM097 (via NOMIS) for 2021, and, because the 2011 counterpart (MF01EW) is not publicly available at MSOA scale, safeguarded OA-level flows accessed through WICID and aggregated to 2011 MSOA boundaries. Within-MSOA moves are excluded as local churn; after filtering, the two periods contain broadly comparable volumes of London-internal migration (~852,000 person-moves in 2011, ~766,000 in 2021). The migration data carry no information on movers’ socio-economic status; directionality is inferred from the relative deprivation positions of origin and destination neighbourhoods.</w:t>
      </w:r>
    </w:p>
    <w:p>
      <w:pPr>
        <w:pStyle w:val="BodyText"/>
      </w:pPr>
      <w:r>
        <w:t xml:space="preserve">Neighbourhood deprivation is measured with the English Index of Multiple Deprivation, using the 2010 and 2019 releases as the closest temporal matches to the two censuses; the releases play strictly separated roles, with IMD 2010 constructing the fixed baseline hierarchy (Section 3.5) and IMD 2019 reserved for validation. Because no official MSOA-level IMD product exists, both are aggregated from LSOA scale using population-weighted means of cardinal scores and re-ranked to produce valid ordinal positions, mirroring MHCLG’s rank-of-average-score approach (McLennan et al., 2019).</w:t>
      </w:r>
    </w:p>
    <w:p>
      <w:pPr>
        <w:pStyle w:val="BodyText"/>
      </w:pPr>
      <w:r>
        <w:t xml:space="preserve">Two further datasets support the comparative stage: the LSOA-level neighbourhood trajectory classification of Yee and Dennett (2022), which identifies gentrifying, declining and stable neighbourhoods over 2001–2011 and serves as the attribute-based benchmark (Section 3.11); and Census occupation tables (KS608EW, TS063), from which the occupational-ascent measure in Appendix F is constructed.</w:t>
      </w:r>
    </w:p>
    <w:bookmarkEnd w:id="22"/>
    <w:bookmarkStart w:id="23" w:name="X4e9d6be94b68353401b6b740fc4494e8ef636d0"/>
    <w:p>
      <w:pPr>
        <w:pStyle w:val="Heading2"/>
      </w:pPr>
      <w:r>
        <w:t xml:space="preserve">3.4 Spatial Harmonisation and Data Processing</w:t>
      </w:r>
    </w:p>
    <w:p>
      <w:pPr>
        <w:pStyle w:val="FirstParagraph"/>
      </w:pPr>
      <w:r>
        <w:t xml:space="preserve">All migration datasets are harmonised to the 2011 MSOA geography using official ONS lookup and correspondence tables. Rather than silently dropping records, the pipeline classifies every origin and destination code into one of six mutually exclusive categories and applies a single positive whitelist rule identically to both census years: a flow is retained if and only if both endpoints harmonise to a London analysis MSOA with an available deprivation decile and origin and destination differ. Each step reports the rows and persons removed, producing a reproducible exclusion waterfall; genuinely unmappable records are negligible (~0.05% of 2011 migrants), and robustness tests confirm the hierarchy is insensitive to weighting and baseline choices. The full pipeline and exclusion accounting are documented in Appendix A.</w:t>
      </w:r>
    </w:p>
    <w:bookmarkEnd w:id="23"/>
    <w:bookmarkStart w:id="24" w:name="Xa74e9dcaa21c5c9a9ce3fba6357eb433c0ba071"/>
    <w:p>
      <w:pPr>
        <w:pStyle w:val="Heading2"/>
      </w:pPr>
      <w:r>
        <w:t xml:space="preserve">3.5 Neighbourhood Classification: The Deprivation Hierarchy</w:t>
      </w:r>
    </w:p>
    <w:p>
      <w:pPr>
        <w:pStyle w:val="FirstParagraph"/>
      </w:pPr>
      <w:r>
        <w:t xml:space="preserve">Longitudinal migration analysis requires a temporally consistent classification, since changing boundaries or indices confound genuine dynamics with statistical reclassification (Blake et al., 2000; Norman et al., 2003). Following Patias et al. (2022), each of the 982 zones is assigned a deprivation decile from its 2010 IMD score — Decile 1 the most deprived 10% — and these positions are held fixed for both census years. The fixed baseline serves two purposes: holding the ladder still attributes any difference between the 2011 and 2021 flow patterns to how people moved rather than to re-ranking beneath them, and it keeps the 2019 IMD entirely on the outcome side, making the validation non-circular by construction. The cost — an increasingly stale baseline by 2021 — is bounded by a sensitivity analysis re-deriving deciles from the 2019 release (Section 3.12).</w:t>
      </w:r>
    </w:p>
    <w:p>
      <w:pPr>
        <w:pStyle w:val="BodyText"/>
      </w:pPr>
      <w:r>
        <w:t xml:space="preserve">Two versions of the hierarchy are constructed. The London-relative ladder ranks the 982 zones against each other and serves as the primary classification. The national ladder ranks all English MSOAs (~6,800) on the same scores and is required for the reference-frame analysis (Section 3.9). The two are almost perfectly rank-concordant for London (ρ ≈ 0.99), but because London is relatively deprived on the IMD, roughly 69% of London MSOAs fall below national Decile 6: the national ladder compresses London’s internal variation, and this compression is precisely the reclassification effect the frame design isolates. Deciles are interpreted, following Marcuse (1985), as positions within a single urban hierarchy through which decline and gentrification are interconnected, rather than as descriptive categories.</w:t>
      </w:r>
    </w:p>
    <w:bookmarkEnd w:id="24"/>
    <w:bookmarkStart w:id="25" w:name="Xc4e0bbe40437d50dcb3cba8ae69d9cc512acedf"/>
    <w:p>
      <w:pPr>
        <w:pStyle w:val="Heading2"/>
      </w:pPr>
      <w:r>
        <w:t xml:space="preserve">3.6 Flow Classification: Four Elementary Flows</w:t>
      </w:r>
    </w:p>
    <w:p>
      <w:pPr>
        <w:pStyle w:val="FirstParagraph"/>
      </w:pPr>
      <w:r>
        <w:t xml:space="preserve">A hierarchy-crossing move is any flow between neighbourhoods in different deprivation deciles of the fixed 2010 classification. From the perspective of a focal MSOA, every such move belongs to exactly one of four elementary flows:</w:t>
      </w:r>
      <w:r>
        <w:t xml:space="preserve"> </w:t>
      </w:r>
      <w:r>
        <w:rPr>
          <w:bCs/>
          <w:b/>
        </w:rPr>
        <w:t xml:space="preserve">Inflow_Wealthier</w:t>
      </w:r>
      <w:r>
        <w:t xml:space="preserve"> </w:t>
      </w:r>
      <w:r>
        <w:t xml:space="preserve">(arrivals from less deprived deciles),</w:t>
      </w:r>
      <w:r>
        <w:t xml:space="preserve"> </w:t>
      </w:r>
      <w:r>
        <w:rPr>
          <w:bCs/>
          <w:b/>
        </w:rPr>
        <w:t xml:space="preserve">Outflow_Poorer</w:t>
      </w:r>
      <w:r>
        <w:t xml:space="preserve"> </w:t>
      </w:r>
      <w:r>
        <w:t xml:space="preserve">(departures to more deprived deciles),</w:t>
      </w:r>
      <w:r>
        <w:t xml:space="preserve"> </w:t>
      </w:r>
      <w:r>
        <w:rPr>
          <w:bCs/>
          <w:b/>
        </w:rPr>
        <w:t xml:space="preserve">Outflow_Wealthier</w:t>
      </w:r>
      <w:r>
        <w:t xml:space="preserve"> </w:t>
      </w:r>
      <w:r>
        <w:t xml:space="preserve">(departures to less deprived deciles), and</w:t>
      </w:r>
      <w:r>
        <w:t xml:space="preserve"> </w:t>
      </w:r>
      <w:r>
        <w:rPr>
          <w:bCs/>
          <w:b/>
        </w:rPr>
        <w:t xml:space="preserve">Inflow_Poorer</w:t>
      </w:r>
      <w:r>
        <w:t xml:space="preserve"> </w:t>
      </w:r>
      <w:r>
        <w:t xml:space="preserve">(arrivals from more deprived deciles). The first pair constitutes the</w:t>
      </w:r>
      <w:r>
        <w:t xml:space="preserve"> </w:t>
      </w:r>
      <w:r>
        <w:rPr>
          <w:bCs/>
          <w:b/>
        </w:rPr>
        <w:t xml:space="preserve">cascade direction</w:t>
      </w:r>
      <w:r>
        <w:t xml:space="preserve"> </w:t>
      </w:r>
      <w:r>
        <w:t xml:space="preserve">— the joint signature of wealthier in-migration and poorer-directed out-migration that classic accounts of gentrification-induced displacement predict. The second pair constitutes the</w:t>
      </w:r>
      <w:r>
        <w:t xml:space="preserve"> </w:t>
      </w:r>
      <w:r>
        <w:rPr>
          <w:bCs/>
          <w:b/>
        </w:rPr>
        <w:t xml:space="preserve">counter-cascade direction</w:t>
      </w:r>
      <w:r>
        <w:t xml:space="preserve">. Treating the two symmetrically is a deliberate design choice: measuring only the cascade direction would place every neighbourhood on a single gentrification-pressure scale, whereas measuring both allows the framework to establish which direction actually dominates, and thereby to test rather than presume the cascade reading.</w:t>
      </w:r>
    </w:p>
    <w:p>
      <w:pPr>
        <w:pStyle w:val="BodyText"/>
      </w:pPr>
      <w:r>
        <w:t xml:space="preserve">Lateral flows — moves between same-decile neighbourhoods — do not cross the hierarchy and are excluded from the directional metrics, though they remain in the total volumes used for normalisation; directional labels describe positions of</w:t>
      </w:r>
      <w:r>
        <w:t xml:space="preserve"> </w:t>
      </w:r>
      <w:r>
        <w:rPr>
          <w:iCs/>
          <w:i/>
        </w:rPr>
        <w:t xml:space="preserve">areas</w:t>
      </w:r>
      <w:r>
        <w:t xml:space="preserve">, not attributes of individual movers. The exclusion of same-decile moves from the cascade definition is defended by a dedicated sensitivity analysis rather than asserted: broadening only the cascade arm triples the Cascade-led count as a pure scale artefact of the dominance ratio, while broadening both arms symmetrically erases the Lateral class. The strict definition is retained on conceptual grounds — same-decile moves are lateral by construction, so folding them into the cascade is a category change, not a parameter tweak — with the full comparison in Appendix D.</w:t>
      </w:r>
    </w:p>
    <w:bookmarkEnd w:id="25"/>
    <w:bookmarkStart w:id="26" w:name="metric-construction"/>
    <w:p>
      <w:pPr>
        <w:pStyle w:val="Heading2"/>
      </w:pPr>
      <w:r>
        <w:t xml:space="preserve">3.7 Metric Construction</w:t>
      </w:r>
    </w:p>
    <w:p>
      <w:pPr>
        <w:pStyle w:val="FirstParagraph"/>
      </w:pPr>
      <w:r>
        <w:t xml:space="preserve">Two parallel suites of four indicators are constructed from the elementary flows, computed separately for each census period under the fixed hierarchy, so the 2011 and 2021 values are independent cross-sectional measurements under a consistent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Formula</w:t>
            </w:r>
          </w:p>
        </w:tc>
        <w:tc>
          <w:tcPr/>
          <w:p>
            <w:pPr>
              <w:pStyle w:val="Compact"/>
              <w:jc w:val="left"/>
            </w:pPr>
            <w:r>
              <w:rPr>
                <w:bCs/>
                <w:b/>
              </w:rPr>
              <w:t xml:space="preserve">Dimension</w:t>
            </w:r>
          </w:p>
        </w:tc>
      </w:tr>
      <w:tr>
        <w:tc>
          <w:tcPr/>
          <w:p>
            <w:pPr>
              <w:pStyle w:val="Compact"/>
              <w:jc w:val="left"/>
            </w:pPr>
            <w:r>
              <w:t xml:space="preserve">Net_Cascade</w:t>
            </w:r>
          </w:p>
        </w:tc>
        <w:tc>
          <w:tcPr/>
          <w:p>
            <w:pPr>
              <w:pStyle w:val="Compact"/>
              <w:jc w:val="left"/>
            </w:pPr>
            <w:r>
              <w:t xml:space="preserve">Inflow_Wealthier − Outflow_Poorer</w:t>
            </w:r>
          </w:p>
        </w:tc>
        <w:tc>
          <w:tcPr/>
          <w:p>
            <w:pPr>
              <w:pStyle w:val="Compact"/>
              <w:jc w:val="left"/>
            </w:pPr>
            <w:r>
              <w:t xml:space="preserve">Directional balance (cascade)</w:t>
            </w:r>
          </w:p>
        </w:tc>
      </w:tr>
      <w:tr>
        <w:tc>
          <w:tcPr/>
          <w:p>
            <w:pPr>
              <w:pStyle w:val="Compact"/>
              <w:jc w:val="left"/>
            </w:pPr>
            <w:r>
              <w:t xml:space="preserve">CFI_Churn</w:t>
            </w:r>
          </w:p>
        </w:tc>
        <w:tc>
          <w:tcPr/>
          <w:p>
            <w:pPr>
              <w:pStyle w:val="Compact"/>
              <w:jc w:val="left"/>
            </w:pPr>
            <w:r>
              <w:t xml:space="preserve">Inflow_Wealthier + Outflow_Poorer</w:t>
            </w:r>
          </w:p>
        </w:tc>
        <w:tc>
          <w:tcPr/>
          <w:p>
            <w:pPr>
              <w:pStyle w:val="Compact"/>
              <w:jc w:val="left"/>
            </w:pPr>
            <w:r>
              <w:t xml:space="preserve">Cascade intensity</w:t>
            </w:r>
          </w:p>
        </w:tc>
      </w:tr>
      <w:tr>
        <w:tc>
          <w:tcPr/>
          <w:p>
            <w:pPr>
              <w:pStyle w:val="Compact"/>
              <w:jc w:val="left"/>
            </w:pPr>
            <w:r>
              <w:t xml:space="preserve">CFI_Rate</w:t>
            </w:r>
          </w:p>
        </w:tc>
        <w:tc>
          <w:tcPr/>
          <w:p>
            <w:pPr>
              <w:pStyle w:val="Compact"/>
              <w:jc w:val="left"/>
            </w:pPr>
            <w:r>
              <w:t xml:space="preserve">(Inflow_Wealthier × Outflow_Poorer) / Total_Migration</w:t>
            </w:r>
          </w:p>
        </w:tc>
        <w:tc>
          <w:tcPr/>
          <w:p>
            <w:pPr>
              <w:pStyle w:val="Compact"/>
              <w:jc w:val="left"/>
            </w:pPr>
            <w:r>
              <w:t xml:space="preserve">Cascade co-occurrence</w:t>
            </w:r>
          </w:p>
        </w:tc>
      </w:tr>
      <w:tr>
        <w:tc>
          <w:tcPr/>
          <w:p>
            <w:pPr>
              <w:pStyle w:val="Compact"/>
              <w:jc w:val="left"/>
            </w:pPr>
            <w:r>
              <w:t xml:space="preserve">Pct_Inflow_Wealthier</w:t>
            </w:r>
          </w:p>
        </w:tc>
        <w:tc>
          <w:tcPr/>
          <w:p>
            <w:pPr>
              <w:pStyle w:val="Compact"/>
              <w:jc w:val="left"/>
            </w:pPr>
            <w:r>
              <w:t xml:space="preserve">Inflow_Wealthier / Total_Inflow × 100</w:t>
            </w:r>
          </w:p>
        </w:tc>
        <w:tc>
          <w:tcPr/>
          <w:p>
            <w:pPr>
              <w:pStyle w:val="Compact"/>
              <w:jc w:val="left"/>
            </w:pPr>
            <w:r>
              <w:t xml:space="preserve">Inflow composition</w:t>
            </w:r>
          </w:p>
        </w:tc>
      </w:tr>
      <w:tr>
        <w:tc>
          <w:tcPr/>
          <w:p>
            <w:pPr>
              <w:pStyle w:val="Compact"/>
              <w:jc w:val="left"/>
            </w:pPr>
            <w:r>
              <w:t xml:space="preserve">Net_Counter</w:t>
            </w:r>
          </w:p>
        </w:tc>
        <w:tc>
          <w:tcPr/>
          <w:p>
            <w:pPr>
              <w:pStyle w:val="Compact"/>
              <w:jc w:val="left"/>
            </w:pPr>
            <w:r>
              <w:t xml:space="preserve">Outflow_Wealthier − Inflow_Poorer</w:t>
            </w:r>
          </w:p>
        </w:tc>
        <w:tc>
          <w:tcPr/>
          <w:p>
            <w:pPr>
              <w:pStyle w:val="Compact"/>
              <w:jc w:val="left"/>
            </w:pPr>
            <w:r>
              <w:t xml:space="preserve">Directional balance (counter)</w:t>
            </w:r>
          </w:p>
        </w:tc>
      </w:tr>
      <w:tr>
        <w:tc>
          <w:tcPr/>
          <w:p>
            <w:pPr>
              <w:pStyle w:val="Compact"/>
              <w:jc w:val="left"/>
            </w:pPr>
            <w:r>
              <w:t xml:space="preserve">Counter_Churn</w:t>
            </w:r>
          </w:p>
        </w:tc>
        <w:tc>
          <w:tcPr/>
          <w:p>
            <w:pPr>
              <w:pStyle w:val="Compact"/>
              <w:jc w:val="left"/>
            </w:pPr>
            <w:r>
              <w:t xml:space="preserve">Outflow_Wealthier + Inflow_Poorer</w:t>
            </w:r>
          </w:p>
        </w:tc>
        <w:tc>
          <w:tcPr/>
          <w:p>
            <w:pPr>
              <w:pStyle w:val="Compact"/>
              <w:jc w:val="left"/>
            </w:pPr>
            <w:r>
              <w:t xml:space="preserve">Counter-cascade intensity</w:t>
            </w:r>
          </w:p>
        </w:tc>
      </w:tr>
      <w:tr>
        <w:tc>
          <w:tcPr/>
          <w:p>
            <w:pPr>
              <w:pStyle w:val="Compact"/>
              <w:jc w:val="left"/>
            </w:pPr>
            <w:r>
              <w:t xml:space="preserve">Counter_Rate</w:t>
            </w:r>
          </w:p>
        </w:tc>
        <w:tc>
          <w:tcPr/>
          <w:p>
            <w:pPr>
              <w:pStyle w:val="Compact"/>
              <w:jc w:val="left"/>
            </w:pPr>
            <w:r>
              <w:t xml:space="preserve">(Outflow_Wealthier × Inflow_Poorer) / Total_Migration</w:t>
            </w:r>
          </w:p>
        </w:tc>
        <w:tc>
          <w:tcPr/>
          <w:p>
            <w:pPr>
              <w:pStyle w:val="Compact"/>
              <w:jc w:val="left"/>
            </w:pPr>
            <w:r>
              <w:t xml:space="preserve">Counter co-occurrence</w:t>
            </w:r>
          </w:p>
        </w:tc>
      </w:tr>
      <w:tr>
        <w:tc>
          <w:tcPr/>
          <w:p>
            <w:pPr>
              <w:pStyle w:val="Compact"/>
              <w:jc w:val="left"/>
            </w:pPr>
            <w:r>
              <w:t xml:space="preserve">Pct_Outflow_Wealthier</w:t>
            </w:r>
          </w:p>
        </w:tc>
        <w:tc>
          <w:tcPr/>
          <w:p>
            <w:pPr>
              <w:pStyle w:val="Compact"/>
              <w:jc w:val="left"/>
            </w:pPr>
            <w:r>
              <w:t xml:space="preserve">Outflow_Wealthier / Total_Outflow × 100</w:t>
            </w:r>
          </w:p>
        </w:tc>
        <w:tc>
          <w:tcPr/>
          <w:p>
            <w:pPr>
              <w:pStyle w:val="Compact"/>
              <w:jc w:val="left"/>
            </w:pPr>
            <w:r>
              <w:t xml:space="preserve">Outflow composition</w:t>
            </w:r>
          </w:p>
        </w:tc>
      </w:tr>
    </w:tbl>
    <w:p>
      <w:pPr>
        <w:pStyle w:val="BodyText"/>
      </w:pPr>
      <w:r>
        <w:rPr>
          <w:iCs/>
          <w:i/>
        </w:rPr>
        <w:t xml:space="preserve">Table 3.1. The cascade and counter-cascade indicator suites, computed per MSOA and census period.</w:t>
      </w:r>
    </w:p>
    <w:p>
      <w:pPr>
        <w:pStyle w:val="BodyText"/>
      </w:pPr>
      <w:r>
        <w:t xml:space="preserve">The balance metrics are partially constrained by hierarchy position (the most deprived decile cannot export downward, and vice versa) and are interpreted comparatively; the churn metrics adapt the population churn measure of Dennett and Stillwell (2008) to hierarchy-crossing flows; the rate metrics use a multiplicative interaction analogous to spatial interaction models (Wilson, 1971). A systematic redundancy assessment (Appendix B) retained two derived metrics that carry information not expressed elsewhere:</w:t>
      </w:r>
      <w:r>
        <w:t xml:space="preserve"> </w:t>
      </w:r>
      <w:r>
        <w:rPr>
          <w:bCs/>
          <w:b/>
        </w:rPr>
        <w:t xml:space="preserve">Cascade Dominance</w:t>
      </w:r>
      <w:r>
        <w:t xml:space="preserve"> </w:t>
      </w:r>
      <w:r>
        <w:t xml:space="preserve">= CFI_Churn / (CFI_Churn + Counter_Churn), isolating</w:t>
      </w:r>
      <w:r>
        <w:t xml:space="preserve"> </w:t>
      </w:r>
      <w:r>
        <w:rPr>
          <w:iCs/>
          <w:i/>
        </w:rPr>
        <w:t xml:space="preserve">which</w:t>
      </w:r>
      <w:r>
        <w:t xml:space="preserve"> </w:t>
      </w:r>
      <w:r>
        <w:t xml:space="preserve">direction dominates a neighbourhood’s deprivation-crossing migration, and</w:t>
      </w:r>
      <w:r>
        <w:t xml:space="preserve"> </w:t>
      </w:r>
      <w:r>
        <w:rPr>
          <w:bCs/>
          <w:b/>
        </w:rPr>
        <w:t xml:space="preserve">Cross-Decile Share</w:t>
      </w:r>
      <w:r>
        <w:t xml:space="preserve"> </w:t>
      </w:r>
      <w:r>
        <w:t xml:space="preserve">= (CFI_Churn + Counter_Churn) / Total_Migration, isolating</w:t>
      </w:r>
      <w:r>
        <w:t xml:space="preserve"> </w:t>
      </w:r>
      <w:r>
        <w:rPr>
          <w:iCs/>
          <w:i/>
        </w:rPr>
        <w:t xml:space="preserve">how much</w:t>
      </w:r>
      <w:r>
        <w:t xml:space="preserve"> </w:t>
      </w:r>
      <w:r>
        <w:t xml:space="preserve">of its migration engages the hierarchy at all. A sign-concordance flag additionally identifies the roughly 10% of MSOAs whose net balances disagree, analysed as structurally distinctive cases in Appendix C.</w:t>
      </w:r>
    </w:p>
    <w:bookmarkEnd w:id="26"/>
    <w:bookmarkStart w:id="27" w:name="flow-regime-typology"/>
    <w:p>
      <w:pPr>
        <w:pStyle w:val="Heading2"/>
      </w:pPr>
      <w:r>
        <w:t xml:space="preserve">3.8 Flow-Regime Typology</w:t>
      </w:r>
    </w:p>
    <w:p>
      <w:pPr>
        <w:pStyle w:val="FirstParagraph"/>
      </w:pPr>
      <w:r>
        <w:t xml:space="preserve">The typology is defined on the two derived axes.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Type</w:t>
            </w:r>
          </w:p>
        </w:tc>
        <w:tc>
          <w:tcPr/>
          <w:p>
            <w:pPr>
              <w:pStyle w:val="Compact"/>
              <w:jc w:val="left"/>
            </w:pPr>
            <w:r>
              <w:rPr>
                <w:bCs/>
                <w:b/>
              </w:rPr>
              <w:t xml:space="preserve">Rule</w:t>
            </w:r>
          </w:p>
        </w:tc>
        <w:tc>
          <w:tcPr/>
          <w:p>
            <w:pPr>
              <w:pStyle w:val="Compact"/>
              <w:jc w:val="left"/>
            </w:pPr>
            <w:r>
              <w:rPr>
                <w:bCs/>
                <w:b/>
              </w:rPr>
              <w:t xml:space="preserve">Interpretation</w:t>
            </w:r>
          </w:p>
        </w:tc>
      </w:tr>
      <w:tr>
        <w:tc>
          <w:tcPr/>
          <w:p>
            <w:pPr>
              <w:pStyle w:val="Compact"/>
              <w:jc w:val="left"/>
            </w:pPr>
            <w:r>
              <w:t xml:space="preserve">Lateral</w:t>
            </w:r>
          </w:p>
        </w:tc>
        <w:tc>
          <w:tcPr/>
          <w:p>
            <w:pPr>
              <w:pStyle w:val="Compact"/>
              <w:jc w:val="left"/>
            </w:pPr>
            <w:r>
              <w:t xml:space="preserve">Cross-Decile Share below the 25th percentile</w:t>
            </w:r>
          </w:p>
        </w:tc>
        <w:tc>
          <w:tcPr/>
          <w:p>
            <w:pPr>
              <w:pStyle w:val="Compact"/>
              <w:jc w:val="left"/>
            </w:pPr>
            <w:r>
              <w:t xml:space="preserve">Migration rarely crosses decile boundaries</w:t>
            </w:r>
          </w:p>
        </w:tc>
      </w:tr>
      <w:tr>
        <w:tc>
          <w:tcPr/>
          <w:p>
            <w:pPr>
              <w:pStyle w:val="Compact"/>
              <w:jc w:val="left"/>
            </w:pPr>
            <w:r>
              <w:t xml:space="preserve">Cascade-led</w:t>
            </w:r>
          </w:p>
        </w:tc>
        <w:tc>
          <w:tcPr/>
          <w:p>
            <w:pPr>
              <w:pStyle w:val="Compact"/>
              <w:jc w:val="left"/>
            </w:pPr>
            <w:r>
              <w:t xml:space="preserve">Cascade Dominance &gt; 0.52</w:t>
            </w:r>
          </w:p>
        </w:tc>
        <w:tc>
          <w:tcPr/>
          <w:p>
            <w:pPr>
              <w:pStyle w:val="Compact"/>
              <w:jc w:val="left"/>
            </w:pPr>
            <w:r>
              <w:t xml:space="preserve">The flow signature classically equated with gentrification pressure</w:t>
            </w:r>
          </w:p>
        </w:tc>
      </w:tr>
      <w:tr>
        <w:tc>
          <w:tcPr/>
          <w:p>
            <w:pPr>
              <w:pStyle w:val="Compact"/>
              <w:jc w:val="left"/>
            </w:pPr>
            <w:r>
              <w:t xml:space="preserve">Counter-led</w:t>
            </w:r>
          </w:p>
        </w:tc>
        <w:tc>
          <w:tcPr/>
          <w:p>
            <w:pPr>
              <w:pStyle w:val="Compact"/>
              <w:jc w:val="left"/>
            </w:pPr>
            <w:r>
              <w:t xml:space="preserve">Cascade Dominance &lt; 0.48</w:t>
            </w:r>
          </w:p>
        </w:tc>
        <w:tc>
          <w:tcPr/>
          <w:p>
            <w:pPr>
              <w:pStyle w:val="Compact"/>
              <w:jc w:val="left"/>
            </w:pPr>
            <w:r>
              <w:t xml:space="preserve">Upward-directed departures and/or inflows from more deprived areas prevail</w:t>
            </w:r>
          </w:p>
        </w:tc>
      </w:tr>
      <w:tr>
        <w:tc>
          <w:tcPr/>
          <w:p>
            <w:pPr>
              <w:pStyle w:val="Compact"/>
              <w:jc w:val="left"/>
            </w:pPr>
            <w:r>
              <w:t xml:space="preserve">Symmetric</w:t>
            </w:r>
          </w:p>
        </w:tc>
        <w:tc>
          <w:tcPr/>
          <w:p>
            <w:pPr>
              <w:pStyle w:val="Compact"/>
              <w:jc w:val="left"/>
            </w:pPr>
            <w:r>
              <w:t xml:space="preserve">0.48 ≤ Cascade Dominance ≤ 0.52</w:t>
            </w:r>
          </w:p>
        </w:tc>
        <w:tc>
          <w:tcPr/>
          <w:p>
            <w:pPr>
              <w:pStyle w:val="Compact"/>
              <w:jc w:val="left"/>
            </w:pPr>
            <w:r>
              <w:t xml:space="preserve">Deprivation-crossing flows roughly balanced</w:t>
            </w:r>
          </w:p>
        </w:tc>
      </w:tr>
    </w:tbl>
    <w:p>
      <w:pPr>
        <w:pStyle w:val="BodyText"/>
      </w:pPr>
      <w:r>
        <w:rPr>
          <w:iCs/>
          <w:i/>
        </w:rPr>
        <w:t xml:space="preserve">Table 3.2. Flow-regime typology. The Lateral rule is applied first; the dominance rules classify the remainder.</w:t>
      </w:r>
    </w:p>
    <w:p>
      <w:pPr>
        <w:pStyle w:val="BodyText"/>
      </w:pPr>
      <w:r>
        <w:t xml:space="preserve">The symmetric band (±0.02 around the midline) and the 25th-percentile cutoff are the baseline specification; sensitivity analyses varying the bandwidth and comparing ratio- against difference-based dominance definitions confirm the typology is not threshold-dependent (Appendix D). Under different reference frames the Cross-Decile Share percentile is computed within each frame, and the 20 MSOAs with no recorded hierarchy-crossing flows in 2021 are assigned a distinct</w:t>
      </w:r>
      <w:r>
        <w:t xml:space="preserve"> </w:t>
      </w:r>
      <w:r>
        <w:rPr>
          <w:iCs/>
          <w:i/>
        </w:rPr>
        <w:t xml:space="preserve">Suppressed</w:t>
      </w:r>
      <w:r>
        <w:t xml:space="preserve"> </w:t>
      </w:r>
      <w:r>
        <w:t xml:space="preserve">label and excluded from the percentile computation. The typology is fundamentally flow-centred: neighbourhoods are classified by the direction and intensity of hierarchical migration, never by deprivation outcomes; whether Cascade-led status equates to gentrification is precisely what the validation stage examines.</w:t>
      </w:r>
    </w:p>
    <w:bookmarkEnd w:id="27"/>
    <w:bookmarkStart w:id="28" w:name="Xd025d33fc56da014a208bb620211ea554ac4134"/>
    <w:p>
      <w:pPr>
        <w:pStyle w:val="Heading2"/>
      </w:pPr>
      <w:r>
        <w:t xml:space="preserve">3.9 Reference-Frame Design: Isolating Boundary Effects</w:t>
      </w:r>
    </w:p>
    <w:p>
      <w:pPr>
        <w:pStyle w:val="FirstParagraph"/>
      </w:pPr>
      <w:r>
        <w:t xml:space="preserve">London-internal analysis makes two decisions at once: it ranks neighbourhoods against London rather than England, and it discards flows crossing London’s boundary. A naïve</w:t>
      </w:r>
      <w:r>
        <w:t xml:space="preserve"> </w:t>
      </w:r>
      <w:r>
        <w:t xml:space="preserve">“</w:t>
      </w:r>
      <w:r>
        <w:t xml:space="preserve">London versus national</w:t>
      </w:r>
      <w:r>
        <w:t xml:space="preserve">”</w:t>
      </w:r>
      <w:r>
        <w:t xml:space="preserve"> </w:t>
      </w:r>
      <w:r>
        <w:t xml:space="preserve">comparison confounds these mechanisms. All metrics and the typology are therefore computed under three frames: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Frame</w:t>
            </w:r>
          </w:p>
        </w:tc>
        <w:tc>
          <w:tcPr/>
          <w:p>
            <w:pPr>
              <w:pStyle w:val="Compact"/>
              <w:jc w:val="left"/>
            </w:pPr>
            <w:r>
              <w:rPr>
                <w:bCs/>
                <w:b/>
              </w:rPr>
              <w:t xml:space="preserve">Flows included</w:t>
            </w:r>
          </w:p>
        </w:tc>
        <w:tc>
          <w:tcPr/>
          <w:p>
            <w:pPr>
              <w:pStyle w:val="Compact"/>
              <w:jc w:val="left"/>
            </w:pPr>
            <w:r>
              <w:rPr>
                <w:bCs/>
                <w:b/>
              </w:rPr>
              <w:t xml:space="preserve">Decile ladder</w:t>
            </w:r>
          </w:p>
        </w:tc>
        <w:tc>
          <w:tcPr/>
          <w:p>
            <w:pPr>
              <w:pStyle w:val="Compact"/>
              <w:jc w:val="left"/>
            </w:pPr>
            <w:r>
              <w:rPr>
                <w:bCs/>
                <w:b/>
              </w:rPr>
              <w:t xml:space="preserve">Role</w:t>
            </w:r>
          </w:p>
        </w:tc>
      </w:tr>
      <w:tr>
        <w:tc>
          <w:tcPr/>
          <w:p>
            <w:pPr>
              <w:pStyle w:val="Compact"/>
              <w:jc w:val="left"/>
            </w:pPr>
            <w:r>
              <w:t xml:space="preserve">A</w:t>
            </w:r>
          </w:p>
        </w:tc>
        <w:tc>
          <w:tcPr/>
          <w:p>
            <w:pPr>
              <w:pStyle w:val="Compact"/>
              <w:jc w:val="left"/>
            </w:pPr>
            <w:r>
              <w:t xml:space="preserve">London-internal only</w:t>
            </w:r>
          </w:p>
        </w:tc>
        <w:tc>
          <w:tcPr/>
          <w:p>
            <w:pPr>
              <w:pStyle w:val="Compact"/>
              <w:jc w:val="left"/>
            </w:pPr>
            <w:r>
              <w:t xml:space="preserve">London-relative (982 zones)</w:t>
            </w:r>
          </w:p>
        </w:tc>
        <w:tc>
          <w:tcPr/>
          <w:p>
            <w:pPr>
              <w:pStyle w:val="Compact"/>
              <w:jc w:val="left"/>
            </w:pPr>
            <w:r>
              <w:t xml:space="preserve">Core analytical lens</w:t>
            </w:r>
          </w:p>
        </w:tc>
      </w:tr>
      <w:tr>
        <w:tc>
          <w:tcPr/>
          <w:p>
            <w:pPr>
              <w:pStyle w:val="Compact"/>
              <w:jc w:val="left"/>
            </w:pPr>
            <w:r>
              <w:t xml:space="preserve">B</w:t>
            </w:r>
          </w:p>
        </w:tc>
        <w:tc>
          <w:tcPr/>
          <w:p>
            <w:pPr>
              <w:pStyle w:val="Compact"/>
              <w:jc w:val="left"/>
            </w:pPr>
            <w:r>
              <w:t xml:space="preserve">London-internal only</w:t>
            </w:r>
          </w:p>
        </w:tc>
        <w:tc>
          <w:tcPr/>
          <w:p>
            <w:pPr>
              <w:pStyle w:val="Compact"/>
              <w:jc w:val="left"/>
            </w:pPr>
            <w:r>
              <w:t xml:space="preserve">National (~6,800 MSOAs)</w:t>
            </w:r>
          </w:p>
        </w:tc>
        <w:tc>
          <w:tcPr/>
          <w:p>
            <w:pPr>
              <w:pStyle w:val="Compact"/>
              <w:jc w:val="left"/>
            </w:pPr>
            <w:r>
              <w:t xml:space="preserve">Isolates the reclassification effect</w:t>
            </w:r>
          </w:p>
        </w:tc>
      </w:tr>
      <w:tr>
        <w:tc>
          <w:tcPr/>
          <w:p>
            <w:pPr>
              <w:pStyle w:val="Compact"/>
              <w:jc w:val="left"/>
            </w:pPr>
            <w:r>
              <w:t xml:space="preserve">C</w:t>
            </w:r>
          </w:p>
        </w:tc>
        <w:tc>
          <w:tcPr/>
          <w:p>
            <w:pPr>
              <w:pStyle w:val="Compact"/>
              <w:jc w:val="left"/>
            </w:pPr>
            <w:r>
              <w:t xml:space="preserve">London-internal + London-touching external</w:t>
            </w:r>
          </w:p>
        </w:tc>
        <w:tc>
          <w:tcPr/>
          <w:p>
            <w:pPr>
              <w:pStyle w:val="Compact"/>
              <w:jc w:val="left"/>
            </w:pPr>
            <w:r>
              <w:t xml:space="preserve">National</w:t>
            </w:r>
          </w:p>
        </w:tc>
        <w:tc>
          <w:tcPr/>
          <w:p>
            <w:pPr>
              <w:pStyle w:val="Compact"/>
              <w:jc w:val="left"/>
            </w:pPr>
            <w:r>
              <w:t xml:space="preserve">Adds the external-flow effect</w:t>
            </w:r>
          </w:p>
        </w:tc>
      </w:tr>
    </w:tbl>
    <w:p>
      <w:pPr>
        <w:pStyle w:val="BodyText"/>
      </w:pPr>
      <w:r>
        <w:rPr>
          <w:iCs/>
          <w:i/>
        </w:rPr>
        <w:t xml:space="preserve">Table 3.3. The three-frame design. Reclassification effect = B − A; external-flow effect = C − B; total = C − A.</w:t>
      </w:r>
    </w:p>
    <w:p>
      <w:pPr>
        <w:pStyle w:val="BodyText"/>
      </w:pPr>
      <w:r>
        <w:t xml:space="preserve">Frame B holds the flow set fixed while switching the ladder, so any A–B difference is pure reclassification; Frame C holds the ladder fixed while adding boundary-crossing flows, so any B–C difference is purely external, and every typology switch between frames is attributable to one mechanism or the other. For Frame C, all non-London areas are collapsed into a single synthetic external node assigned the population-weighted mean national decile of non-London MSOAs — Decile 6 — a simplification validated by a flow-weighted diagnostic (mean partner deciles ≈ 6.4 and 6.5 in both census years). Because roughly 69% of London MSOAs sit below D6, most external inflows register in the cascade direction and most external outflows in the counter direction, which is why the frame decomposition is essential for interpreting boundary-crossing flows. Frame A remains the core lens, in which moving up within London retains its substantive meaning; the external node is a flow partner, not a unit of analysis, and results are reported for the 982 London zones only.</w:t>
      </w:r>
    </w:p>
    <w:bookmarkEnd w:id="28"/>
    <w:bookmarkStart w:id="29" w:name="the-time-symmetric-mechanism-tree"/>
    <w:p>
      <w:pPr>
        <w:pStyle w:val="Heading2"/>
      </w:pPr>
      <w:r>
        <w:t xml:space="preserve">3.10 The Time-Symmetric Mechanism Tree</w:t>
      </w:r>
    </w:p>
    <w:p>
      <w:pPr>
        <w:pStyle w:val="FirstParagraph"/>
      </w:pPr>
      <w:r>
        <w:t xml:space="preserve">The Frame C cascade-led class mixes distinct generating processes, and the comparative design requires them separated. The decomposition is performed by a time-symmetric mechanism tree: a per-year classification whose every leaf is a measurable flow property and which contains no reference to the census year it is applied in — repairing a definitional asymmetry in an earlier iteration, in which a genuine-cascade profile was derived from the 2011 comparison and an exodus profile from the 2021 anomaly.</w:t>
      </w:r>
    </w:p>
    <w:p>
      <w:pPr>
        <w:pStyle w:val="BodyText"/>
      </w:pPr>
      <w:r>
        <w:t xml:space="preserve">Each Frame C cascade-led MSOA is first split on its</w:t>
      </w:r>
      <w:r>
        <w:t xml:space="preserve"> </w:t>
      </w:r>
      <w:r>
        <w:rPr>
          <w:bCs/>
          <w:b/>
        </w:rPr>
        <w:t xml:space="preserve">cascade inflow share</w:t>
      </w:r>
      <w:r>
        <w:t xml:space="preserve"> </w:t>
      </w:r>
      <w:r>
        <w:t xml:space="preserve">(the proportion of its cascade churn contributed by wealthier arrivals): MSOAs at or above 0.25 are</w:t>
      </w:r>
      <w:r>
        <w:t xml:space="preserve"> </w:t>
      </w:r>
      <w:r>
        <w:rPr>
          <w:iCs/>
          <w:i/>
        </w:rPr>
        <w:t xml:space="preserve">inflow-led</w:t>
      </w:r>
      <w:r>
        <w:t xml:space="preserve">, subdivided into</w:t>
      </w:r>
      <w:r>
        <w:t xml:space="preserve"> </w:t>
      </w:r>
      <w:r>
        <w:rPr>
          <w:bCs/>
          <w:b/>
        </w:rPr>
        <w:t xml:space="preserve">inflow-driven</w:t>
      </w:r>
      <w:r>
        <w:t xml:space="preserve"> </w:t>
      </w:r>
      <w:r>
        <w:t xml:space="preserve">(also Cascade-led under Frame A, i.e. frame-robust) and a</w:t>
      </w:r>
      <w:r>
        <w:t xml:space="preserve"> </w:t>
      </w:r>
      <w:r>
        <w:rPr>
          <w:bCs/>
          <w:b/>
        </w:rPr>
        <w:t xml:space="preserve">frame-sensitive</w:t>
      </w:r>
      <w:r>
        <w:t xml:space="preserve"> </w:t>
      </w:r>
      <w:r>
        <w:t xml:space="preserve">residual; MSOAs below 0.25 are</w:t>
      </w:r>
      <w:r>
        <w:t xml:space="preserve"> </w:t>
      </w:r>
      <w:r>
        <w:rPr>
          <w:iCs/>
          <w:i/>
        </w:rPr>
        <w:t xml:space="preserve">outflow-dominated</w:t>
      </w:r>
      <w:r>
        <w:t xml:space="preserve">, subdivided by the</w:t>
      </w:r>
      <w:r>
        <w:t xml:space="preserve"> </w:t>
      </w:r>
      <w:r>
        <w:rPr>
          <w:bCs/>
          <w:b/>
        </w:rPr>
        <w:t xml:space="preserve">external arm share</w:t>
      </w:r>
      <w:r>
        <w:t xml:space="preserve"> </w:t>
      </w:r>
      <w:r>
        <w:t xml:space="preserve">(the proportion of the poorer-directed outflow arm going to the external node) into</w:t>
      </w:r>
      <w:r>
        <w:t xml:space="preserve"> </w:t>
      </w:r>
      <w:r>
        <w:rPr>
          <w:bCs/>
          <w:b/>
        </w:rPr>
        <w:t xml:space="preserve">external-majority</w:t>
      </w:r>
      <w:r>
        <w:t xml:space="preserve"> </w:t>
      </w:r>
      <w:r>
        <w:t xml:space="preserve">(≥ 0.5) and</w:t>
      </w:r>
      <w:r>
        <w:t xml:space="preserve"> </w:t>
      </w:r>
      <w:r>
        <w:rPr>
          <w:bCs/>
          <w:b/>
        </w:rPr>
        <w:t xml:space="preserve">internal-majority</w:t>
      </w:r>
      <w:r>
        <w:t xml:space="preserve"> </w:t>
      </w:r>
      <w:r>
        <w:t xml:space="preserve">leaves. The external arm share is defined only for MSOAs above national Decile 6, since the external node only counts as poorer from above; the exclusion is verified to be immaterial. Narrative labels are interpretations layered on top of the tree rather than categories within it: a</w:t>
      </w:r>
      <w:r>
        <w:t xml:space="preserve"> </w:t>
      </w:r>
      <w:r>
        <w:rPr>
          <w:iCs/>
          <w:i/>
        </w:rPr>
        <w:t xml:space="preserve">genuine cascade</w:t>
      </w:r>
      <w:r>
        <w:t xml:space="preserve"> </w:t>
      </w:r>
      <w:r>
        <w:t xml:space="preserve">is an MSOA occupying the inflow-driven leaf in both census years, and the</w:t>
      </w:r>
      <w:r>
        <w:t xml:space="preserve"> </w:t>
      </w:r>
      <w:r>
        <w:rPr>
          <w:iCs/>
          <w:i/>
        </w:rPr>
        <w:t xml:space="preserve">exodus</w:t>
      </w:r>
      <w:r>
        <w:t xml:space="preserve"> </w:t>
      </w:r>
      <w:r>
        <w:t xml:space="preserve">reading attaches to the 2021 external-majority class, licensed by the observed shift in London’s external migration exchange, with the 2011 members of that leaf as the pre-shift baseline.</w:t>
      </w:r>
    </w:p>
    <w:p>
      <w:pPr>
        <w:pStyle w:val="BodyText"/>
      </w:pPr>
      <w:r>
        <w:t xml:space="preserve">The two thresholds are justified in deliberately different ways, each labelled for what it is. The inflow-share cut of 0.25 is located by the data: the inflow-share distribution among frame-robust cascade-led MSOAs is bimodal, separated by an interval that is empty in both censuses independently, so any threshold inside the shared gap yields an identical classification — whereas a midline cut of 0.5 would be wrong in principle, since under the chain-displacement mechanism (Marcuse, 1985) the outflow arm is expected to be comparable to or larger than the inflow arm. The external-arm cut of 0.5 has no empirical gap and is declared as a majority convention — the unique value at which the class label is literally true — defended by a ±0.05 sensitivity band under which any qualitative finding the threshold feeds must survive every cut. The tree separates a genuine gentrification-cascade profile (inflow-led, frame-robust, persistent) from two outflow-dominated profiles a coarser analysis would conflate — a national-ladder artefact and a literal exodus — and its leaf structure feeds directly into the mechanism-resolved benchmark comparison of Section 3.11.</w:t>
      </w:r>
    </w:p>
    <w:bookmarkEnd w:id="29"/>
    <w:bookmarkStart w:id="34" w:name="validation-and-comparative-design"/>
    <w:p>
      <w:pPr>
        <w:pStyle w:val="Heading2"/>
      </w:pPr>
      <w:r>
        <w:t xml:space="preserve">3.11 Validation and Comparative Design</w:t>
      </w:r>
    </w:p>
    <w:p>
      <w:pPr>
        <w:pStyle w:val="FirstParagraph"/>
      </w:pPr>
      <w:r>
        <w:t xml:space="preserve">If the cascade signature genuinely captures gentrification, it should align with independent measures of neighbourhood ascent; systematic divergence would indicate that the flow lens measures a distinct process. Both outcomes are informative under the study’s design.</w:t>
      </w:r>
    </w:p>
    <w:bookmarkStart w:id="30" w:name="X9d2074da84814200c78cea6fdc70b649be6c22c"/>
    <w:p>
      <w:pPr>
        <w:pStyle w:val="Heading3"/>
      </w:pPr>
      <w:r>
        <w:t xml:space="preserve">3.11.1 The deprivation-change outcome and statistical strategy</w:t>
      </w:r>
    </w:p>
    <w:p>
      <w:pPr>
        <w:pStyle w:val="FirstParagraph"/>
      </w:pPr>
      <w:r>
        <w:t xml:space="preserve">The principal outcome is</w:t>
      </w:r>
      <w:r>
        <w:t xml:space="preserve"> </w:t>
      </w:r>
      <w:r>
        <w:rPr>
          <w:bCs/>
          <w:b/>
        </w:rPr>
        <w:t xml:space="preserve">IMD Percentile Change</w:t>
      </w:r>
      <w:r>
        <w:t xml:space="preserve">: the change in an MSOA’s national deprivation percentile between IMD 2010 and IMD 2019, with percentiles used to ensure comparability across releases. Since the 2019 release is never used in metric construction, the validation is non-circular by design. Given the skewed distributions of migration-derived metrics, rank-based methods are used throughout: Spearman correlations between each metric and the outcome; partial correlations controlling for baseline decile, to assess which metrics carry information beyond hierarchy position; Kruskal–Wallis tests comparing outcome distributions across the four regimes, in each period and frame; and prior structural checks confirming the expected decile profiles (inverted-U for churn, monotonic for balance metrics).</w:t>
      </w:r>
    </w:p>
    <w:bookmarkEnd w:id="30"/>
    <w:bookmarkStart w:id="31" w:name="X293db0e2f8c094646f913b2b09ba3b89a80b1e8"/>
    <w:p>
      <w:pPr>
        <w:pStyle w:val="Heading3"/>
      </w:pPr>
      <w:r>
        <w:t xml:space="preserve">3.11.2 Comparison with an attribute-based gentrification classification</w:t>
      </w:r>
    </w:p>
    <w:p>
      <w:pPr>
        <w:pStyle w:val="FirstParagraph"/>
      </w:pPr>
      <w:r>
        <w:t xml:space="preserve">The external benchmark is the classification of Yee and Dennett (2022). Their LSOA labels are aggregated to MSOAs by a modal rule — an MSOA is GEN only if GEN is the most common label among its LSOAs — with a looser any-GEN-LSOA aggregation as a sensitivity check. The temporal role of each census leg is fixed in advance: because the labels are built from 2001–2011 attribute change, the 2011 flow leg constitutes a</w:t>
      </w:r>
      <w:r>
        <w:t xml:space="preserve"> </w:t>
      </w:r>
      <w:r>
        <w:rPr>
          <w:bCs/>
          <w:b/>
        </w:rPr>
        <w:t xml:space="preserve">concurrent validation</w:t>
      </w:r>
      <w:r>
        <w:t xml:space="preserve"> </w:t>
      </w:r>
      <w:r>
        <w:t xml:space="preserve">and the 2021 leg a</w:t>
      </w:r>
      <w:r>
        <w:t xml:space="preserve"> </w:t>
      </w:r>
      <w:r>
        <w:rPr>
          <w:bCs/>
          <w:b/>
        </w:rPr>
        <w:t xml:space="preserve">decade-later persistence test</w:t>
      </w:r>
      <w:r>
        <w:t xml:space="preserve">; the 2021 leg is never interpreted as validating 2021 flows against 2011-era labels.</w:t>
      </w:r>
    </w:p>
    <w:p>
      <w:pPr>
        <w:pStyle w:val="BodyText"/>
      </w:pPr>
      <w:r>
        <w:t xml:space="preserve">Correspondence is quantified at two resolutions. At the pooled resolution, the four-way typology is cross-tabulated against the attribute classes, with Cramér’s V, the Adjusted Rand Index, and lift ratios; because whole-class statistics are dominated by the benchmark’s large Stable base (~71% of MSOAs) and are not meaningful at mechanism-level sample sizes, V and ARI are reported once and then retired in favour of enrichment statistics. At the mechanism resolution, each leaf of the tree (with the reference regimes and the genuine-persistent set) is tested for enrichment of attribute-defined gentrification: the lift ratio P(GEN | group) / P(GEN), tested with Fisher’s exact test — exact at any sample size — with Benjamini–Hochberg correction across the family of leaf tests, under both aggregations and both census legs. The benchmark’s Class-3 gentrification subtypes (super-gentrification, mainstream, marginal) are additionally carried to MSOA scale as any-LSOA flags, since Class-3 labels never win a plurality at that scale, and each subtype is tested against each leaf — asking whether distinct flow mechanisms align with distinct, theoretically recognised variants of gentrification. Finally, a two-way convergence test cross-classifies MSOAs by GEN and Cascade-led status and compares mean IMD Percentile Change across the four cells, testing whether a cascade signature reinforces, is orthogonal to, or attenuates the trajectory associated with attribute-defined gentrification.</w:t>
      </w:r>
    </w:p>
    <w:bookmarkEnd w:id="31"/>
    <w:bookmarkStart w:id="32" w:name="secondary-benchmark-and-case-diagnostics"/>
    <w:p>
      <w:pPr>
        <w:pStyle w:val="Heading3"/>
      </w:pPr>
      <w:r>
        <w:t xml:space="preserve">3.11.3 Secondary benchmark and case diagnostics</w:t>
      </w:r>
    </w:p>
    <w:p>
      <w:pPr>
        <w:pStyle w:val="FirstParagraph"/>
      </w:pPr>
      <w:r>
        <w:t xml:space="preserve">A second, occupational benchmark — the 2011–2021 change in the share of employed residents in SOC major groups 1–3 — is compared with the typology under all three frames; because occupational upgrading was near-universal across London, the measure has compressed variance, and the full analysis is reported in Appendix F. Exemplar MSOAs from each mechanism leaf are additionally examined through alluvial decompositions of their full flow profiles across frames and census years, annotated with the leaf-splitting statistics; a worked contrast appears in the Results chapter and the full roster in Appendix G.</w:t>
      </w:r>
    </w:p>
    <w:bookmarkEnd w:id="32"/>
    <w:bookmarkStart w:id="33" w:name="interpretive-status-of-the-comparisons"/>
    <w:p>
      <w:pPr>
        <w:pStyle w:val="Heading3"/>
      </w:pPr>
      <w:r>
        <w:t xml:space="preserve">3.11.4 Interpretive status of the comparisons</w:t>
      </w:r>
    </w:p>
    <w:p>
      <w:pPr>
        <w:pStyle w:val="FirstParagraph"/>
      </w:pPr>
      <w:r>
        <w:t xml:space="preserve">The comparisons are interpretive as well as statistical. Overlap identifies where migration-based restructuring corresponds with attribute-measured change; divergences are treated not as classification failure but as substantive findings about the difference between measuring who lives in a place and measuring how the hierarchy is reshuffled through it. The comparisons contextualise the empirical meaning of the flow indicators rather than establishing equivalence between frameworks.</w:t>
      </w:r>
    </w:p>
    <w:bookmarkEnd w:id="33"/>
    <w:bookmarkEnd w:id="34"/>
    <w:bookmarkStart w:id="35" w:name="Xe868e990fb8e549312b402472969d0ba86ee898"/>
    <w:p>
      <w:pPr>
        <w:pStyle w:val="Heading2"/>
      </w:pPr>
      <w:r>
        <w:t xml:space="preserve">3.12 Methodological Considerations and Limitations</w:t>
      </w:r>
    </w:p>
    <w:p>
      <w:pPr>
        <w:pStyle w:val="FirstParagraph"/>
      </w:pPr>
      <w:r>
        <w:t xml:space="preserve">Three limitations are central to interpretation. First, ecological inference: the deprivation position of an origin area is a noisy proxy for the socio-economic position of the mover (Easton et al., 2020) — not only a caveat but a candidate explanation for divergence between flow-based and attribute-based measures. The framework identifies structural mobility asymmetries, not displacement events or gentrifier characteristics; and because the directional metrics exclude intra-decile relocations, it is insensitive to horizontal displacement and likely underestimates the total scale of displacement-related mobility. Second, the 2021 Census was collected under lockdown, which matters through two channels that must be kept distinct: substantively, pandemic-era relocation is part of the 2021 signal and is analysed as such through the frame decomposition; metrologically, lockdown-period collection and disclosure control degrade the 2021 flow estimates, so relative spatial patterning is prioritised over absolute cross-year magnitudes, and the design cannot distinguish a durable structural shift from a transient pandemic artefact from a single post-pandemic observation. Third, the inflow-led branch of the mechanism tree is structurally closed to the highest deciles, whose median wealthier-inflow share falls to zero at national Decile 10: alignments between top-decile neighbourhood types and the outflow-dominated leaves are part substance and part construction, so claims for such areas are limited to whether the displacement signature is present, not to causal direction, and case-level audit remains the appropriate check where a small named set anchors a substantive claim (Heathrow-adjacent employment churn being the concrete instance).</w:t>
      </w:r>
    </w:p>
    <w:p>
      <w:pPr>
        <w:pStyle w:val="BodyText"/>
      </w:pPr>
      <w:r>
        <w:t xml:space="preserve">Further considerations are handled by design and bounded by sensitivity analysis: the ageing 2010 baseline (necessary for non-circularity, bounded by a 2019-baseline re-derivation); the Modifiable Areal Unit Problem (Openshaw and Taylor, 1979) and the single-node representation of non-London areas; threshold sensitivity across the typology and tree (Appendix D); spatial autocorrelation, which conventional tests do not account for (Anselin, 1988; Zhu, 2023); and the temporal mismatch between the flow legs and the outcome window, in consequence of which the analysis evaluates consistency between flow signatures and trajectories rather than establishing causal relationships.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2026-07-14T23:19:35Z</dcterms:created>
  <dcterms:modified xsi:type="dcterms:W3CDTF">2026-07-14T23:19:35Z</dcterms:modified>
</cp:coreProperties>
</file>

<file path=docProps/custom.xml><?xml version="1.0" encoding="utf-8"?>
<Properties xmlns="http://schemas.openxmlformats.org/officeDocument/2006/custom-properties" xmlns:vt="http://schemas.openxmlformats.org/officeDocument/2006/docPropsVTypes"/>
</file>