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results"/>
    <w:p>
      <w:pPr>
        <w:pStyle w:val="Heading1"/>
      </w:pPr>
      <w:r>
        <w:t xml:space="preserve">4. Results</w:t>
      </w:r>
    </w:p>
    <w:p>
      <w:pPr>
        <w:pStyle w:val="FirstParagraph"/>
      </w:pPr>
      <w:r>
        <w:t xml:space="preserve">This chapter reports the empirical findings in the order established by the analytical pipeline of Chapter 3, building towards the study’s central test: whether the cascade flow signature recovers attribute-defined gentrification. Section 4.1 establishes the structural setting; Section 4.2 presents the flow-regime typology; Section 4.3 evaluates it against the independent deprivation-change outcome; Section 4.4 applies the three-frame design, identifies the pandemic-era exodus, and reports the mechanism-tree decomposition; Section 4.5 — the centrepiece — confronts the flow classification with the attribute benchmarks at two resolutions; Section 4.6 presents a worked case contrast, and Section 4.7 synthesises. Unless stated otherwise, results are reported under Frame A (London-internal flows on the London-relative ladder) for the 982 harmonised MSOA-level zones, with the 20 MSOAs recording no hierarchy-crossing flows in 2021 carried under the distinct</w:t>
      </w:r>
      <w:r>
        <w:t xml:space="preserve"> </w:t>
      </w:r>
      <w:r>
        <w:rPr>
          <w:iCs/>
          <w:i/>
        </w:rPr>
        <w:t xml:space="preserve">Suppressed</w:t>
      </w:r>
      <w:r>
        <w:t xml:space="preserve"> </w:t>
      </w:r>
      <w:r>
        <w:t xml:space="preserve">label. Rank-based statistics are used throughout, and significance is reported alongside effect sizes rather than in place of them.</w:t>
      </w:r>
    </w:p>
    <w:bookmarkStart w:id="20" w:name="X7cc1e0cbb57c325816b443d60698a8e1e6a193f"/>
    <w:p>
      <w:pPr>
        <w:pStyle w:val="Heading2"/>
      </w:pPr>
      <w:r>
        <w:t xml:space="preserve">4.1 Structural Setting: A Stable Hierarchy and a Strengthening Counter-Current</w:t>
      </w:r>
    </w:p>
    <w:p>
      <w:pPr>
        <w:pStyle w:val="FirstParagraph"/>
      </w:pPr>
      <w:r>
        <w:t xml:space="preserve">The indicator suites behave as designed; the full distributional, correlation, and redundancy analysis is reported in Appendix B, and three of its properties condition everything that follows. First, the four elementary flows organise into two highly correlated pairs defined by the deprivation position of the migration partner rather than the direction of movement — wealthier-connected at ρ ≈ 0.96, poorer-connected at ρ ≈ 0.93 — so most MSOAs operate as transit nodes within the hierarchy rather than one-way valves: hierarchy position drives both directions of deprivation-crossing flow simultaneously, vindicating the symmetric design of Section 3.6 before any typology is constructed. Second, the redundancy assessment retained two near-orthogonal derived axes, Cascade Dominance and Cross-Decile Share, which carry the typology. Third, roughly 90% of MSOAs are sign-concordant across the two net balances; the divergent minority forms a legible, partly persistent exporter-inside/receiver-outside geography, analysed in Appendix C. The decile profiles satisfy the theoretically expected structure in both censuses — monotonic for balance and composition metrics, inverted-U for intensity — and are almost perfectly rank-stable across the decade (cross-year profile correlations at or near ρ = 1, Figure 4.4), despite the 2021 Census being collected under lockdown. This stability licenses reading</w:t>
      </w:r>
      <w:r>
        <w:t xml:space="preserve"> </w:t>
      </w:r>
      <w:r>
        <w:rPr>
          <w:iCs/>
          <w:i/>
        </w:rPr>
        <w:t xml:space="preserve">changes</w:t>
      </w:r>
      <w:r>
        <w:t xml:space="preserve"> </w:t>
      </w:r>
      <w:r>
        <w:t xml:space="preserve">in directional balance as genuine behavioural shifts rather than artefacts of a moving baseline.</w:t>
      </w:r>
    </w:p>
    <w:p>
      <w:pPr>
        <w:pStyle w:val="BodyText"/>
      </w:pPr>
      <w:r>
        <w:t xml:space="preserve">Against this stable positional geometry, the directional balance of London’s migration system moved unambiguously in one direction. In 2011, 67.6% of MSOAs sat below the 0.50 dominance midline — their deprivation-crossing migration was dominated by the counter-cascade direction; by 2021 this share had risen to 80.9%. Mean Cascade Dominance fell from 0.48 to 0.46 (paired t = −10.17, p &lt; 0.01), and the system-wide ratio of counter-cascade to cascade churn rose from 1.06 to 1.13 (Figure 4.5). The decile gradient of dominance runs contrary to a naïve gentrification expectation: cascade dominance and churn are highest in the deprived-to-middle band (D1–D6), while the wealthiest decile sits furthest below the midline (mean dominance 0.424 in 2021), disproportionately exporting residents down the hierarchy rather than receiving from it. The cascade signature that classic displacement accounts treat as</w:t>
      </w:r>
      <w:r>
        <w:t xml:space="preserve"> </w:t>
      </w:r>
      <w:r>
        <w:rPr>
          <w:iCs/>
          <w:i/>
        </w:rPr>
        <w:t xml:space="preserve">the</w:t>
      </w:r>
      <w:r>
        <w:t xml:space="preserve"> </w:t>
      </w:r>
      <w:r>
        <w:t xml:space="preserve">footprint of gentrification is therefore, in London, a minority pattern operating against a prevailing counter-current — and that counter-current strengthened between 2011 and 2021.</w:t>
      </w:r>
    </w:p>
    <w:bookmarkEnd w:id="20"/>
    <w:bookmarkStart w:id="21" w:name="the-flow-regime-typology"/>
    <w:p>
      <w:pPr>
        <w:pStyle w:val="Heading2"/>
      </w:pPr>
      <w:r>
        <w:t xml:space="preserve">4.2 The Flow-Regime Typology</w:t>
      </w:r>
    </w:p>
    <w:p>
      <w:pPr>
        <w:pStyle w:val="FirstParagraph"/>
      </w:pPr>
      <w:r>
        <w:t xml:space="preserve">Applying the classification rules of Section 3.8 to the two derived axes produces the distribution in Table 4.1. The joint metric space is itself informative (Figure 4.8): rather than discrete clusters, MSOAs form a dense continuous cloud, and in 2021, 90.7% of MSOAs recorded at least 72% of their migration crossing a decile boundary. Socio-economic restructuring through migration is the norm in London, not the exception; what distinguishes neighbourhoods is the</w:t>
      </w:r>
      <w:r>
        <w:t xml:space="preserve"> </w:t>
      </w:r>
      <w:r>
        <w:rPr>
          <w:iCs/>
          <w:i/>
        </w:rPr>
        <w:t xml:space="preserve">direction</w:t>
      </w:r>
      <w:r>
        <w:t xml:space="preserve"> </w:t>
      </w:r>
      <w:r>
        <w:t xml:space="preserve">in which it tilts, and for most the tilt is modest and leans counter-cascade. The headline movement restates Section 4.1 in categorical form: Cascade-led MSOAs — the regime carrying the flow signature classically equated with gentrification pressure — fell by 41% over the decade, while Counter-led MSOAs grew to become the largest category by a wide margin. The typology is robust to its specification choices: the ratio- and difference-based dominance definitions agree on 92.1% of assignments, the ratio specification separates direction from intensity and validates better, and broadening the cascade definition to include same-decile outflows changes the category rather than the parameter; the full sensitivity analyses are reported in Appendix D.</w:t>
      </w:r>
    </w:p>
    <w:p>
      <w:pPr>
        <w:pStyle w:val="BodyText"/>
      </w:pPr>
      <w:r>
        <w:t xml:space="preserve">Table 4.1. Flow-regime typology counts, Frame A (London-internal flows, London-relative ladder).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2011</w:t>
            </w:r>
          </w:p>
        </w:tc>
        <w:tc>
          <w:tcPr/>
          <w:p>
            <w:pPr>
              <w:pStyle w:val="Compact"/>
              <w:jc w:val="left"/>
            </w:pPr>
            <w:r>
              <w:t xml:space="preserve">2021</w:t>
            </w:r>
          </w:p>
        </w:tc>
        <w:tc>
          <w:tcPr/>
          <w:p>
            <w:pPr>
              <w:pStyle w:val="Compact"/>
              <w:jc w:val="left"/>
            </w:pPr>
            <w:r>
              <w:t xml:space="preserve">Change</w:t>
            </w:r>
          </w:p>
        </w:tc>
      </w:tr>
      <w:tr>
        <w:tc>
          <w:tcPr/>
          <w:p>
            <w:pPr>
              <w:pStyle w:val="Compact"/>
              <w:jc w:val="left"/>
            </w:pPr>
            <w:r>
              <w:t xml:space="preserve">Cascade-led</w:t>
            </w:r>
          </w:p>
        </w:tc>
        <w:tc>
          <w:tcPr/>
          <w:p>
            <w:pPr>
              <w:pStyle w:val="Compact"/>
              <w:jc w:val="left"/>
            </w:pPr>
            <w:r>
              <w:t xml:space="preserve">129</w:t>
            </w:r>
          </w:p>
        </w:tc>
        <w:tc>
          <w:tcPr/>
          <w:p>
            <w:pPr>
              <w:pStyle w:val="Compact"/>
              <w:jc w:val="left"/>
            </w:pPr>
            <w:r>
              <w:t xml:space="preserve">76</w:t>
            </w:r>
          </w:p>
        </w:tc>
        <w:tc>
          <w:tcPr/>
          <w:p>
            <w:pPr>
              <w:pStyle w:val="Compact"/>
              <w:jc w:val="left"/>
            </w:pPr>
            <w:r>
              <w:t xml:space="preserve">−53 (−41%)</w:t>
            </w:r>
          </w:p>
        </w:tc>
      </w:tr>
      <w:tr>
        <w:tc>
          <w:tcPr/>
          <w:p>
            <w:pPr>
              <w:pStyle w:val="Compact"/>
              <w:jc w:val="left"/>
            </w:pPr>
            <w:r>
              <w:t xml:space="preserve">Counter-led</w:t>
            </w:r>
          </w:p>
        </w:tc>
        <w:tc>
          <w:tcPr/>
          <w:p>
            <w:pPr>
              <w:pStyle w:val="Compact"/>
              <w:jc w:val="left"/>
            </w:pPr>
            <w:r>
              <w:t xml:space="preserve">339</w:t>
            </w:r>
          </w:p>
        </w:tc>
        <w:tc>
          <w:tcPr/>
          <w:p>
            <w:pPr>
              <w:pStyle w:val="Compact"/>
              <w:jc w:val="left"/>
            </w:pPr>
            <w:r>
              <w:t xml:space="preserve">416</w:t>
            </w:r>
          </w:p>
        </w:tc>
        <w:tc>
          <w:tcPr/>
          <w:p>
            <w:pPr>
              <w:pStyle w:val="Compact"/>
              <w:jc w:val="left"/>
            </w:pPr>
            <w:r>
              <w:t xml:space="preserve">+77 (+23%)</w:t>
            </w:r>
          </w:p>
        </w:tc>
      </w:tr>
      <w:tr>
        <w:tc>
          <w:tcPr/>
          <w:p>
            <w:pPr>
              <w:pStyle w:val="Compact"/>
              <w:jc w:val="left"/>
            </w:pPr>
            <w:r>
              <w:t xml:space="preserve">Symmetric</w:t>
            </w:r>
          </w:p>
        </w:tc>
        <w:tc>
          <w:tcPr/>
          <w:p>
            <w:pPr>
              <w:pStyle w:val="Compact"/>
              <w:jc w:val="left"/>
            </w:pPr>
            <w:r>
              <w:t xml:space="preserve">268</w:t>
            </w:r>
          </w:p>
        </w:tc>
        <w:tc>
          <w:tcPr/>
          <w:p>
            <w:pPr>
              <w:pStyle w:val="Compact"/>
              <w:jc w:val="left"/>
            </w:pPr>
            <w:r>
              <w:t xml:space="preserve">224</w:t>
            </w:r>
          </w:p>
        </w:tc>
        <w:tc>
          <w:tcPr/>
          <w:p>
            <w:pPr>
              <w:pStyle w:val="Compact"/>
              <w:jc w:val="left"/>
            </w:pPr>
            <w:r>
              <w:t xml:space="preserve">−44</w:t>
            </w:r>
          </w:p>
        </w:tc>
      </w:tr>
      <w:tr>
        <w:tc>
          <w:tcPr/>
          <w:p>
            <w:pPr>
              <w:pStyle w:val="Compact"/>
              <w:jc w:val="left"/>
            </w:pPr>
            <w:r>
              <w:t xml:space="preserve">Lateral</w:t>
            </w:r>
          </w:p>
        </w:tc>
        <w:tc>
          <w:tcPr/>
          <w:p>
            <w:pPr>
              <w:pStyle w:val="Compact"/>
              <w:jc w:val="left"/>
            </w:pPr>
            <w:r>
              <w:t xml:space="preserve">246</w:t>
            </w:r>
          </w:p>
        </w:tc>
        <w:tc>
          <w:tcPr/>
          <w:p>
            <w:pPr>
              <w:pStyle w:val="Compact"/>
              <w:jc w:val="left"/>
            </w:pPr>
            <w:r>
              <w:t xml:space="preserve">246</w:t>
            </w:r>
          </w:p>
        </w:tc>
        <w:tc>
          <w:tcPr/>
          <w:p>
            <w:pPr>
              <w:pStyle w:val="Compact"/>
              <w:jc w:val="left"/>
            </w:pPr>
            <w:r>
              <w:t xml:space="preserve">0</w:t>
            </w:r>
          </w:p>
        </w:tc>
      </w:tr>
      <w:tr>
        <w:tc>
          <w:tcPr/>
          <w:p>
            <w:pPr>
              <w:pStyle w:val="Compact"/>
              <w:jc w:val="left"/>
            </w:pPr>
            <w:r>
              <w:t xml:space="preserve">Suppressed</w:t>
            </w:r>
          </w:p>
        </w:tc>
        <w:tc>
          <w:tcPr/>
          <w:p>
            <w:pPr>
              <w:pStyle w:val="Compact"/>
              <w:jc w:val="left"/>
            </w:pPr>
            <w:r>
              <w:t xml:space="preserve">0</w:t>
            </w:r>
          </w:p>
        </w:tc>
        <w:tc>
          <w:tcPr/>
          <w:p>
            <w:pPr>
              <w:pStyle w:val="Compact"/>
              <w:jc w:val="left"/>
            </w:pPr>
            <w:r>
              <w:t xml:space="preserve">20</w:t>
            </w:r>
          </w:p>
        </w:tc>
        <w:tc>
          <w:tcPr/>
          <w:p>
            <w:pPr>
              <w:pStyle w:val="Compact"/>
              <w:jc w:val="left"/>
            </w:pPr>
            <w:r>
              <w:t xml:space="preserve">+20</w:t>
            </w:r>
          </w:p>
        </w:tc>
      </w:tr>
      <w:tr>
        <w:tc>
          <w:tcPr/>
          <w:p>
            <w:pPr>
              <w:pStyle w:val="Compact"/>
              <w:jc w:val="left"/>
            </w:pPr>
            <w:r>
              <w:t xml:space="preserve">Total</w:t>
            </w:r>
          </w:p>
        </w:tc>
        <w:tc>
          <w:tcPr/>
          <w:p>
            <w:pPr>
              <w:pStyle w:val="Compact"/>
              <w:jc w:val="left"/>
            </w:pPr>
            <w:r>
              <w:t xml:space="preserve">982</w:t>
            </w:r>
          </w:p>
        </w:tc>
        <w:tc>
          <w:tcPr/>
          <w:p>
            <w:pPr>
              <w:pStyle w:val="Compact"/>
              <w:jc w:val="left"/>
            </w:pPr>
            <w:r>
              <w:t xml:space="preserve">982</w:t>
            </w:r>
          </w:p>
        </w:tc>
        <w:tc>
          <w:tcPr/>
          <w:p>
            <w:pPr>
              <w:pStyle w:val="Compact"/>
            </w:pPr>
          </w:p>
        </w:tc>
      </w:tr>
    </w:tbl>
    <w:p>
      <w:pPr>
        <w:pStyle w:val="BodyText"/>
      </w:pPr>
      <w:r>
        <w:t xml:space="preserve">Spatially (Figure 4.12), Cascade-led MSOAs cluster in 2011 in inner South and West London — the recognisable gentrification belt of the 2010s — while Counter-led MSOAs dominate the outer ring; by 2021 the cascade belt has visibly thinned and fragmented while the counter-led zone has expanded across outer East and North London. The transition analysis (Figure 4.13) shows 61% of MSOAs retaining their type across the decade, so the typology captures a structurally persistent property, and its instability is patterned: Cascade-led exits concentrate exactly where the regime had been strongest. One scope condition is stated plainly: the typology is most analytically powerful in inner London and least stable in the volatile, low-volume outer ring. Why does one side of a symmetric metric systematically dominate? At</w:t>
      </w:r>
      <w:r>
        <w:t xml:space="preserve"> </w:t>
      </w:r>
      <w:r>
        <w:rPr>
          <w:iCs/>
          <w:i/>
        </w:rPr>
        <w:t xml:space="preserve">every</w:t>
      </w:r>
      <w:r>
        <w:t xml:space="preserve"> </w:t>
      </w:r>
      <w:r>
        <w:t xml:space="preserve">decile, the share of outflows directed to wealthier areas exceeds the share of inflows arriving from wealthier ones: movers within London systematically travel up the deprivation ladder, consistent with Fielding’s (1992) escalator-region characterisation of the South East. Against this prevailing upward current the cascade operates as a localised perturbation whose extent contracted over the decade; whether that reflects saturation of inner-London gentrification, pandemic suppression of relocation chains, or both, cannot be resolved from the 2021 observation alone.</w:t>
      </w:r>
    </w:p>
    <w:bookmarkEnd w:id="21"/>
    <w:bookmarkStart w:id="22" w:name="validation-against-deprivation-change"/>
    <w:p>
      <w:pPr>
        <w:pStyle w:val="Heading2"/>
      </w:pPr>
      <w:r>
        <w:t xml:space="preserve">4.3 Validation Against Deprivation Change</w:t>
      </w:r>
    </w:p>
    <w:p>
      <w:pPr>
        <w:pStyle w:val="FirstParagraph"/>
      </w:pPr>
      <w:r>
        <w:t xml:space="preserve">The flow metrics track the independent outcome — IMD percentile change between 2010 and 2019 — only weakly, and not in the direction the cascade hypothesis predicts (Figure 4.14). The strongest raw associations belong to the intensity metrics, CFI Churn and Counter Churn, at approximately ρ = +0.25 to +0.28: neighbourhoods with more hierarchy-crossing turnover, in either direction, tended to move up the national deprivation ranking. Cascade Dominance — the metric that isolates</w:t>
      </w:r>
      <w:r>
        <w:t xml:space="preserve"> </w:t>
      </w:r>
      <w:r>
        <w:rPr>
          <w:iCs/>
          <w:i/>
        </w:rPr>
        <w:t xml:space="preserve">direction</w:t>
      </w:r>
      <w:r>
        <w:t xml:space="preserve"> </w:t>
      </w:r>
      <w:r>
        <w:t xml:space="preserve">— correlates with the outcome at only ρ = +0.049 in 2011 and +0.093 in 2021, and partial correlations controlling for baseline decile leave this pattern essentially intact in both census periods.</w:t>
      </w:r>
    </w:p>
    <w:p>
      <w:pPr>
        <w:pStyle w:val="BodyText"/>
      </w:pPr>
      <w:r>
        <w:t xml:space="preserve">The typological tests sharpen the same verdict. Kruskal–Wallis tests comparing IMD percentile change across the four regimes are significant in both periods (2011: H = 34.5, p = 1.4 × 10⁻⁷; 2021: H = 28.9, p = 2.4 × 10⁻⁶), with an identical ordering in both years — Counter-led most negative, Cascade-led near zero, Symmetric slightly positive, Lateral most positive (Figure 4.15). But the effect is small (ε² ≈ 0.03), every group median lies within ±0.02 of zero, and the specific contrast the cascade hypothesis requires — Cascade-led neighbourhoods ascending relative to Counter-led ones — does not hold: a one-sided Mann–Whitney test yields p ≈ 0.26, with a median difference of only +0.013. The component driving the significant omnibus statistic is the Counter-led group sitting lowest (median −0.020); the Cascade-led group is flat, noisy, and small (n = 76 in 2021). To the extent that the flow framework carries any deprivation-trajectory signal, that signal lives in the counter direction and in flow</w:t>
      </w:r>
      <w:r>
        <w:t xml:space="preserve"> </w:t>
      </w:r>
      <w:r>
        <w:rPr>
          <w:iCs/>
          <w:i/>
        </w:rPr>
        <w:t xml:space="preserve">intensity</w:t>
      </w:r>
      <w:r>
        <w:t xml:space="preserve">, not in the cascade direction: neighbourhoods dominated by upward-directed departures are the group whose relative position subsequently deteriorates, while the neighbourhoods carrying the canonical gentrification-pressure signature show no distinctive ascent. The typology measures something real and temporally durable about neighbourhood trajectories — but that something is not the attribute-defined gentrification gradient, a decoupling Section 4.5 tests directly against external benchmarks.</w:t>
      </w:r>
    </w:p>
    <w:bookmarkEnd w:id="22"/>
    <w:bookmarkStart w:id="23" w:name="X074f124e227cf658a8aa8510ec469cf35728d50"/>
    <w:p>
      <w:pPr>
        <w:pStyle w:val="Heading2"/>
      </w:pPr>
      <w:r>
        <w:t xml:space="preserve">4.4 Reference Frames, the Exodus, and the Mechanism Tree</w:t>
      </w:r>
    </w:p>
    <w:p>
      <w:pPr>
        <w:pStyle w:val="FirstParagraph"/>
      </w:pPr>
      <w:r>
        <w:t xml:space="preserve">The results so far treat London as a closed system ranked against itself. Two facts condition what happens when those decisions are relaxed under the three-frame design: 69.1% of London MSOAs (679 of 982) fall below national Decile 6, and the synthetic external node is fixed at D6 (validated by the flow-weighted diagnostic, ≈ 6.4–6.5 in both years). For most London MSOAs, therefore, external inflows register in the cascade direction and external outflows in the counter direction. The reclassification effect (Frame A → B) turns out to be real but minor and temporally stable — cross-decile churn falls by roughly 16–21% on the compressed national ladder, per-MSOA dominance effects sit tightly around zero in both years — so it cannot explain the temporal dynamics; the full frame-by-frame decomposition and typology tables are in Appendix E.</w:t>
      </w:r>
    </w:p>
    <w:p>
      <w:pPr>
        <w:pStyle w:val="BodyText"/>
      </w:pPr>
      <w:r>
        <w:t xml:space="preserve">The external-flow effect (Frame B → C) is a different matter, and it is here that the single most striking temporal result of the study emerges. Between the two census years, external inflows to London fell by 17.8% while external outflows rose by 51.3%: London’s exchange with the rest of England and Wales shifted from a broadly two-way circulation towards a strongly asymmetric net export of residents, negative at every decile by 2021 (Figure 4.16). Because most London MSOAs sit below the external node’s decile, this exodus registers overwhelmingly as counter-cascade churn (rising from 181,420 to 257,393 person-moves). The three-way decomposition (Figure 4.17) attributes the decade’s counter-shift precisely: London-to-outside moves contribute +85,737, internal reshuffling a secondary +22,326, and inbound flows actually decline (−9,764). External flows account for approximately 73% of the mean dominance shift in 2011 and 111% in 2021; counter dominance holds under all three frames in both periods, so no frame choice overturns the counter-led characterisation of the system.</w:t>
      </w:r>
    </w:p>
    <w:p>
      <w:pPr>
        <w:pStyle w:val="BodyText"/>
      </w:pPr>
      <w:r>
        <w:t xml:space="preserve">The composition of the national-frame cascade-dominant tail inverts across the decade in a way that motivates the mechanism decomposition (Figure 4.20). In 2011 the cascade extremes are predominantly inner London — Camden, Southwark, Islington, Tower Hamlets, Lewisham — with cascade inflow shares of 40–93%: a genuinely inflow-led signal of affluent in-migration. In 2021 the same tail refills with high-decile outer boroughs — Kingston, Harrow, Richmond, Barnet, Sutton — whose cascade inflow shares collapse to 1–35%: for these areas the cascade arm is almost entirely poorer-directed</w:t>
      </w:r>
      <w:r>
        <w:t xml:space="preserve"> </w:t>
      </w:r>
      <w:r>
        <w:rPr>
          <w:iCs/>
          <w:i/>
        </w:rPr>
        <w:t xml:space="preserve">outflow</w:t>
      </w:r>
      <w:r>
        <w:t xml:space="preserve">, in the national frame predominantly directed at the external node. The 2021 tail records a change in</w:t>
      </w:r>
      <w:r>
        <w:t xml:space="preserve"> </w:t>
      </w:r>
      <w:r>
        <w:rPr>
          <w:iCs/>
          <w:i/>
        </w:rPr>
        <w:t xml:space="preserve">which process dominates the metric</w:t>
      </w:r>
      <w:r>
        <w:t xml:space="preserve">, not gentrification relocating from inner to outer London.</w:t>
      </w:r>
    </w:p>
    <w:p>
      <w:pPr>
        <w:pStyle w:val="BodyText"/>
      </w:pPr>
      <w:r>
        <w:t xml:space="preserve">To classify these processes symmetrically across census years, the Frame C cascade-led class is decomposed by the time-symmetric mechanism tree of Section 3.10. Each cascade-led MSOA is first split on its</w:t>
      </w:r>
      <w:r>
        <w:t xml:space="preserve"> </w:t>
      </w:r>
      <w:r>
        <w:rPr>
          <w:bCs/>
          <w:b/>
        </w:rPr>
        <w:t xml:space="preserve">cascade inflow share</w:t>
      </w:r>
      <w:r>
        <w:t xml:space="preserve">: MSOAs at or above 0.25 are</w:t>
      </w:r>
      <w:r>
        <w:t xml:space="preserve"> </w:t>
      </w:r>
      <w:r>
        <w:rPr>
          <w:iCs/>
          <w:i/>
        </w:rPr>
        <w:t xml:space="preserve">inflow-led</w:t>
      </w:r>
      <w:r>
        <w:t xml:space="preserve">, subdivided into</w:t>
      </w:r>
      <w:r>
        <w:t xml:space="preserve"> </w:t>
      </w:r>
      <w:r>
        <w:rPr>
          <w:bCs/>
          <w:b/>
        </w:rPr>
        <w:t xml:space="preserve">inflow-driven</w:t>
      </w:r>
      <w:r>
        <w:t xml:space="preserve"> </w:t>
      </w:r>
      <w:r>
        <w:t xml:space="preserve">(also Cascade-led under Frame A, i.e. frame-robust) and a</w:t>
      </w:r>
      <w:r>
        <w:t xml:space="preserve"> </w:t>
      </w:r>
      <w:r>
        <w:rPr>
          <w:bCs/>
          <w:b/>
        </w:rPr>
        <w:t xml:space="preserve">frame-sensitive</w:t>
      </w:r>
      <w:r>
        <w:t xml:space="preserve"> </w:t>
      </w:r>
      <w:r>
        <w:t xml:space="preserve">residual; MSOAs below 0.25 are</w:t>
      </w:r>
      <w:r>
        <w:t xml:space="preserve"> </w:t>
      </w:r>
      <w:r>
        <w:rPr>
          <w:iCs/>
          <w:i/>
        </w:rPr>
        <w:t xml:space="preserve">outflow-dominated</w:t>
      </w:r>
      <w:r>
        <w:t xml:space="preserve">, subdivided by the</w:t>
      </w:r>
      <w:r>
        <w:t xml:space="preserve"> </w:t>
      </w:r>
      <w:r>
        <w:rPr>
          <w:bCs/>
          <w:b/>
        </w:rPr>
        <w:t xml:space="preserve">external arm share</w:t>
      </w:r>
      <w:r>
        <w:t xml:space="preserve"> </w:t>
      </w:r>
      <w:r>
        <w:t xml:space="preserve">into</w:t>
      </w:r>
      <w:r>
        <w:t xml:space="preserve"> </w:t>
      </w:r>
      <w:r>
        <w:rPr>
          <w:bCs/>
          <w:b/>
        </w:rPr>
        <w:t xml:space="preserve">outflow: external-majority</w:t>
      </w:r>
      <w:r>
        <w:t xml:space="preserve"> </w:t>
      </w:r>
      <w:r>
        <w:t xml:space="preserve">(≥ 0.5) and</w:t>
      </w:r>
      <w:r>
        <w:t xml:space="preserve"> </w:t>
      </w:r>
      <w:r>
        <w:rPr>
          <w:bCs/>
          <w:b/>
        </w:rPr>
        <w:t xml:space="preserve">outflow: internal-majority</w:t>
      </w:r>
      <w:r>
        <w:t xml:space="preserve"> </w:t>
      </w:r>
      <w:r>
        <w:t xml:space="preserve">leaves. Narrative labels are cross-year interpretations layered on top:</w:t>
      </w:r>
      <w:r>
        <w:t xml:space="preserve"> </w:t>
      </w:r>
      <w:r>
        <w:rPr>
          <w:iCs/>
          <w:i/>
        </w:rPr>
        <w:t xml:space="preserve">genuine cascade</w:t>
      </w:r>
      <w:r>
        <w:t xml:space="preserve"> </w:t>
      </w:r>
      <w:r>
        <w:t xml:space="preserve">denotes membership of the inflow-driven leaf in both years, and</w:t>
      </w:r>
      <w:r>
        <w:t xml:space="preserve"> </w:t>
      </w:r>
      <w:r>
        <w:rPr>
          <w:iCs/>
          <w:i/>
        </w:rPr>
        <w:t xml:space="preserve">exodus</w:t>
      </w:r>
      <w:r>
        <w:t xml:space="preserve"> </w:t>
      </w:r>
      <w:r>
        <w:t xml:space="preserve">denotes the 2021 external-majority class read against its 2011 baseline. The inflow-share cut sits inside an empirical gap that is empty in both censuses independently, so its exact value carries no analytical weight; the external-arm cut is a declared majority convention defended by a ±0.05 sensitivity band, under which the class grows between the censuses at every cut (×2.7 to ×5.8) and its fully outer-London geography holds throughout — the class boundary moves, the phenomenon does not (Section 3.10; Appendix D).</w:t>
      </w:r>
    </w:p>
    <w:p>
      <w:pPr>
        <w:pStyle w:val="BodyText"/>
      </w:pPr>
      <w:r>
        <w:t xml:space="preserve">Table 4.2 reports the leaf counts, and the asymmetry that motivated the tree is now an empirical finding rather than a definitional flaw. The inflow-driven leaf collapses from 56 MSOAs in 2011 to 13 in 2021, while the external-majority leaf grows fourfold, from 19 to 78, located entirely in outer London — read together with the external-flow shift above, this licenses the exodus interpretation of the 2021 class while treating its 2011 members as the pre-pandemic baseline. The internal-majority leaf (90 MSOAs in 2021) is dominated by the national-ladder artefact: from national Decile 8, most of London counts as poorer, so a downward-outflow cascade can be manufactured by the ladder without any resident crossing the city boundary. Eight MSOAs occupy the inflow-driven leaf in both censuses and constitute the genuine-persistent set analysed below.</w:t>
      </w:r>
    </w:p>
    <w:p>
      <w:pPr>
        <w:pStyle w:val="BodyText"/>
      </w:pPr>
      <w:r>
        <w:t xml:space="preserve">Table 4.2. Mechanism-leaf counts within the Frame C Cascade-led class.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Leaf</w:t>
            </w:r>
          </w:p>
        </w:tc>
        <w:tc>
          <w:tcPr/>
          <w:p>
            <w:pPr>
              <w:pStyle w:val="Compact"/>
              <w:jc w:val="left"/>
            </w:pPr>
            <w:r>
              <w:t xml:space="preserve">Rule (per year)</w:t>
            </w:r>
          </w:p>
        </w:tc>
        <w:tc>
          <w:tcPr/>
          <w:p>
            <w:pPr>
              <w:pStyle w:val="Compact"/>
              <w:jc w:val="left"/>
            </w:pPr>
            <w:r>
              <w:t xml:space="preserve">2011</w:t>
            </w:r>
          </w:p>
        </w:tc>
        <w:tc>
          <w:tcPr/>
          <w:p>
            <w:pPr>
              <w:pStyle w:val="Compact"/>
              <w:jc w:val="left"/>
            </w:pPr>
            <w:r>
              <w:t xml:space="preserve">2021</w:t>
            </w:r>
          </w:p>
        </w:tc>
      </w:tr>
      <w:tr>
        <w:tc>
          <w:tcPr/>
          <w:p>
            <w:pPr>
              <w:pStyle w:val="Compact"/>
              <w:jc w:val="left"/>
            </w:pPr>
            <w:r>
              <w:t xml:space="preserve">Inflow-driven</w:t>
            </w:r>
          </w:p>
        </w:tc>
        <w:tc>
          <w:tcPr/>
          <w:p>
            <w:pPr>
              <w:pStyle w:val="Compact"/>
              <w:jc w:val="left"/>
            </w:pPr>
            <w:r>
              <w:t xml:space="preserve">inflow share ≥ 0.25 and Frame A Cascade-led</w:t>
            </w:r>
          </w:p>
        </w:tc>
        <w:tc>
          <w:tcPr/>
          <w:p>
            <w:pPr>
              <w:pStyle w:val="Compact"/>
              <w:jc w:val="left"/>
            </w:pPr>
            <w:r>
              <w:t xml:space="preserve">56</w:t>
            </w:r>
          </w:p>
        </w:tc>
        <w:tc>
          <w:tcPr/>
          <w:p>
            <w:pPr>
              <w:pStyle w:val="Compact"/>
              <w:jc w:val="left"/>
            </w:pPr>
            <w:r>
              <w:t xml:space="preserve">13</w:t>
            </w:r>
          </w:p>
        </w:tc>
      </w:tr>
      <w:tr>
        <w:tc>
          <w:tcPr/>
          <w:p>
            <w:pPr>
              <w:pStyle w:val="Compact"/>
              <w:jc w:val="left"/>
            </w:pPr>
            <w:r>
              <w:t xml:space="preserve">Frame-sensitive inflow</w:t>
            </w:r>
          </w:p>
        </w:tc>
        <w:tc>
          <w:tcPr/>
          <w:p>
            <w:pPr>
              <w:pStyle w:val="Compact"/>
              <w:jc w:val="left"/>
            </w:pPr>
            <w:r>
              <w:t xml:space="preserve">inflow share ≥ 0.25, not frame-robust</w:t>
            </w:r>
          </w:p>
        </w:tc>
        <w:tc>
          <w:tcPr/>
          <w:p>
            <w:pPr>
              <w:pStyle w:val="Compact"/>
              <w:jc w:val="left"/>
            </w:pPr>
            <w:r>
              <w:t xml:space="preserve">‡</w:t>
            </w:r>
          </w:p>
        </w:tc>
        <w:tc>
          <w:tcPr/>
          <w:p>
            <w:pPr>
              <w:pStyle w:val="Compact"/>
              <w:jc w:val="left"/>
            </w:pPr>
            <w:r>
              <w:t xml:space="preserve">14</w:t>
            </w:r>
          </w:p>
        </w:tc>
      </w:tr>
      <w:tr>
        <w:tc>
          <w:tcPr/>
          <w:p>
            <w:pPr>
              <w:pStyle w:val="Compact"/>
              <w:jc w:val="left"/>
            </w:pPr>
            <w:r>
              <w:t xml:space="preserve">Outflow: external-majority</w:t>
            </w:r>
          </w:p>
        </w:tc>
        <w:tc>
          <w:tcPr/>
          <w:p>
            <w:pPr>
              <w:pStyle w:val="Compact"/>
              <w:jc w:val="left"/>
            </w:pPr>
            <w:r>
              <w:t xml:space="preserve">inflow share &lt; 0.25, external arm ≥ 0.5</w:t>
            </w:r>
          </w:p>
        </w:tc>
        <w:tc>
          <w:tcPr/>
          <w:p>
            <w:pPr>
              <w:pStyle w:val="Compact"/>
              <w:jc w:val="left"/>
            </w:pPr>
            <w:r>
              <w:t xml:space="preserve">19</w:t>
            </w:r>
          </w:p>
        </w:tc>
        <w:tc>
          <w:tcPr/>
          <w:p>
            <w:pPr>
              <w:pStyle w:val="Compact"/>
              <w:jc w:val="left"/>
            </w:pPr>
            <w:r>
              <w:t xml:space="preserve">78</w:t>
            </w:r>
          </w:p>
        </w:tc>
      </w:tr>
      <w:tr>
        <w:tc>
          <w:tcPr/>
          <w:p>
            <w:pPr>
              <w:pStyle w:val="Compact"/>
              <w:jc w:val="left"/>
            </w:pPr>
            <w:r>
              <w:t xml:space="preserve">Outflow: internal-majority</w:t>
            </w:r>
          </w:p>
        </w:tc>
        <w:tc>
          <w:tcPr/>
          <w:p>
            <w:pPr>
              <w:pStyle w:val="Compact"/>
              <w:jc w:val="left"/>
            </w:pPr>
            <w:r>
              <w:t xml:space="preserve">inflow share &lt; 0.25, external arm &lt; 0.5</w:t>
            </w:r>
          </w:p>
        </w:tc>
        <w:tc>
          <w:tcPr/>
          <w:p>
            <w:pPr>
              <w:pStyle w:val="Compact"/>
              <w:jc w:val="left"/>
            </w:pPr>
            <w:r>
              <w:t xml:space="preserve">‡</w:t>
            </w:r>
          </w:p>
        </w:tc>
        <w:tc>
          <w:tcPr/>
          <w:p>
            <w:pPr>
              <w:pStyle w:val="Compact"/>
              <w:jc w:val="left"/>
            </w:pPr>
            <w:r>
              <w:t xml:space="preserve">90</w:t>
            </w:r>
          </w:p>
        </w:tc>
      </w:tr>
      <w:tr>
        <w:tc>
          <w:tcPr/>
          <w:p>
            <w:pPr>
              <w:pStyle w:val="Compact"/>
              <w:jc w:val="left"/>
            </w:pPr>
            <w:r>
              <w:t xml:space="preserve">Total Cascade-led (Frame C)</w:t>
            </w:r>
          </w:p>
        </w:tc>
        <w:tc>
          <w:tcPr/>
          <w:p>
            <w:pPr>
              <w:pStyle w:val="Compact"/>
            </w:pPr>
          </w:p>
        </w:tc>
        <w:tc>
          <w:tcPr/>
          <w:p>
            <w:pPr>
              <w:pStyle w:val="Compact"/>
              <w:jc w:val="left"/>
            </w:pPr>
            <w:r>
              <w:t xml:space="preserve">213</w:t>
            </w:r>
          </w:p>
        </w:tc>
        <w:tc>
          <w:tcPr/>
          <w:p>
            <w:pPr>
              <w:pStyle w:val="Compact"/>
              <w:jc w:val="left"/>
            </w:pPr>
            <w:r>
              <w:t xml:space="preserve">195</w:t>
            </w:r>
          </w:p>
        </w:tc>
      </w:tr>
    </w:tbl>
    <w:p>
      <w:pPr>
        <w:pStyle w:val="BodyText"/>
      </w:pPr>
      <w:r>
        <w:t xml:space="preserve">‡ The two 2011 outflow/residual leaf counts (which sum to 138) should be transcribed from the EDA 9 leaf-count table at assembly.</w:t>
      </w:r>
    </w:p>
    <w:bookmarkEnd w:id="23"/>
    <w:bookmarkStart w:id="30" w:name="Xf3e6b4cbb353b7fd2d7ec5ab184d925b4a02fc7"/>
    <w:p>
      <w:pPr>
        <w:pStyle w:val="Heading2"/>
      </w:pPr>
      <w:r>
        <w:t xml:space="preserve">4.5 Comparative Validation Against Attribute Benchmarks</w:t>
      </w:r>
    </w:p>
    <w:p>
      <w:pPr>
        <w:pStyle w:val="FirstParagraph"/>
      </w:pPr>
      <w:r>
        <w:t xml:space="preserve">The framework’s central question — does a flow lens recover what attribute-based methods call gentrification? — is answered in this section, and the answer is resolution-dependent. At the resolution of the pooled four-way typology it is no: the flow typology and attribute-defined gentrification are close to independent. At the resolution of the mechanism leaves, however, the two lenses see the same city in a structured way: the flow mechanisms separate Yee and Dennett’s gentrification subtypes, aligning mainstream gentrification with the inflow-led cascade and super-gentrification with the internal-outflow cascade, while identifying the exodus class as anti-gentrification under every definition tested. Throughout, the two census legs answer different questions: because the benchmark labels are built from 2001–2011 attribute change, the 2011 flow leg constitutes a</w:t>
      </w:r>
      <w:r>
        <w:t xml:space="preserve"> </w:t>
      </w:r>
      <w:r>
        <w:rPr>
          <w:bCs/>
          <w:b/>
        </w:rPr>
        <w:t xml:space="preserve">concurrent validation</w:t>
      </w:r>
      <w:r>
        <w:t xml:space="preserve"> </w:t>
      </w:r>
      <w:r>
        <w:t xml:space="preserve">and the 2021 leg a</w:t>
      </w:r>
      <w:r>
        <w:t xml:space="preserve"> </w:t>
      </w:r>
      <w:r>
        <w:rPr>
          <w:bCs/>
          <w:b/>
        </w:rPr>
        <w:t xml:space="preserve">decade-later persistence test</w:t>
      </w:r>
      <w:r>
        <w:t xml:space="preserve">; the 2021 rows are never read as validating 2021 flows against 2011-era labels.</w:t>
      </w:r>
    </w:p>
    <w:bookmarkStart w:id="24" w:name="the-pooled-comparison"/>
    <w:p>
      <w:pPr>
        <w:pStyle w:val="Heading3"/>
      </w:pPr>
      <w:r>
        <w:t xml:space="preserve">4.5.1 The pooled comparison</w:t>
      </w:r>
    </w:p>
    <w:p>
      <w:pPr>
        <w:pStyle w:val="FirstParagraph"/>
      </w:pPr>
      <w:r>
        <w:t xml:space="preserve">Aggregating the Yee and Dennett (2022) LSOA labels to MSOA scale under the modal rule yields 41 gentrifying (GEN) MSOAs; the looser any-GEN-LSOA rule yields 207 and serves as a sensitivity check. Cross-tabulating the attribute classes against the flow typology on the concurrent leg produces association statistics close to floor under both frames — Cramér’s V ≈ 0.10–0.11, Adjusted Rand Index ≈ 0.005–0.02, partition agreement no better than chance — dominated by the fact that 78–92% of MSOAs in every flow regime carry the attribute label</w:t>
      </w:r>
      <w:r>
        <w:t xml:space="preserve"> </w:t>
      </w:r>
      <w:r>
        <w:rPr>
          <w:iCs/>
          <w:i/>
        </w:rPr>
        <w:t xml:space="preserve">Stable</w:t>
      </w:r>
      <w:r>
        <w:t xml:space="preserve">. Within that near-independence, the one clean directional signal runs as the cascade hypothesis predicts: modal-GEN MSOAs are over-represented in the Cascade-led regime (lift ≈ 1.8) and essentially absent from Counter-led (lift ≈ 0.09). Because the pooled test dilutes leaf-specific signal and V and ARI are not meaningful at leaf-level sample sizes, both are reported once and retired in favour of the enrichment statistics of Section 3.11: lift ratios with Fisher’s exact test and Benjamini–Hochberg correction.</w:t>
      </w:r>
    </w:p>
    <w:bookmarkEnd w:id="24"/>
    <w:bookmarkStart w:id="25" w:name="Xa7254cfccdbce0197cfbaa750e9541601592e0a"/>
    <w:p>
      <w:pPr>
        <w:pStyle w:val="Heading3"/>
      </w:pPr>
      <w:r>
        <w:t xml:space="preserve">4.5.2 Leaf-level enrichment: the pooled null is a pooling artefact</w:t>
      </w:r>
    </w:p>
    <w:p>
      <w:pPr>
        <w:pStyle w:val="FirstParagraph"/>
      </w:pPr>
      <w:r>
        <w:t xml:space="preserve">Re-testing at the resolution of the mechanism leaves overturns the bare-null reading — but rejects the pre-registered expectation in an informative way. The inflow-driven leaf shows no modal-GEN enrichment in either year (lift 0.86 concurrent, 0.00 persistence) and only a modest loose-GEN signal in the concurrent test (lift 1.52, p = 0.043, not surviving correction) that does not persist. The strong, correction-robust signal sits instead in the</w:t>
      </w:r>
      <w:r>
        <w:t xml:space="preserve"> </w:t>
      </w:r>
      <w:r>
        <w:rPr>
          <w:bCs/>
          <w:b/>
        </w:rPr>
        <w:t xml:space="preserve">outflow: internal-majority</w:t>
      </w:r>
      <w:r>
        <w:t xml:space="preserve"> </w:t>
      </w:r>
      <w:r>
        <w:t xml:space="preserve">leaf: modal-GEN lift 3.55 (p = 4.9 × 10⁻⁵) in the concurrent test and 3.19 (p = 1.0 × 10⁻⁴) in the persistence test — the only cell significant in both years under the strict aggregation. The external-majority leaf — the 2021 exodus class — is GEN-</w:t>
      </w:r>
      <w:r>
        <w:rPr>
          <w:iCs/>
          <w:i/>
        </w:rPr>
        <w:t xml:space="preserve">depleted</w:t>
      </w:r>
      <w:r>
        <w:t xml:space="preserve"> </w:t>
      </w:r>
      <w:r>
        <w:t xml:space="preserve">(loose lift 0.43, p = 0.0055), external corroboration that the exodus is not gentrification relocating outward; Counter-led remains significantly GEN-depleted in both years under both aggregations. The genuine-persistent set of eight MSOAs contains no modal-GEN members and two loose-GEN members; at n = 8 the test has no power.</w:t>
      </w:r>
    </w:p>
    <w:bookmarkEnd w:id="25"/>
    <w:bookmarkStart w:id="26" w:name="X7f690aab69d71e4ee384b3e529d0807731e4da7"/>
    <w:p>
      <w:pPr>
        <w:pStyle w:val="Heading3"/>
      </w:pPr>
      <w:r>
        <w:t xml:space="preserve">4.5.3 The subtype decomposition: flow mechanisms separate gentrification subtypes</w:t>
      </w:r>
    </w:p>
    <w:p>
      <w:pPr>
        <w:pStyle w:val="FirstParagraph"/>
      </w:pPr>
      <w:r>
        <w:t xml:space="preserve">Why would attribute-gentrifying MSOAs sit in the</w:t>
      </w:r>
      <w:r>
        <w:t xml:space="preserve"> </w:t>
      </w:r>
      <w:r>
        <w:rPr>
          <w:iCs/>
          <w:i/>
        </w:rPr>
        <w:t xml:space="preserve">outflow</w:t>
      </w:r>
      <w:r>
        <w:t xml:space="preserve"> </w:t>
      </w:r>
      <w:r>
        <w:t xml:space="preserve">branch of the tree? The decomposition by Yee and Dennett’s Class-3 gentrification subtypes answers this and carries the section’s central positive finding. Because Class-3 labels never win a plurality at MSOA scale, the subtype tests use any-LSOA flags (94 MSOAs contain at least one super-gentrification LSOA, 39 a mainstream-gentrification LSOA, 101 a marginal-gentrification LSOA).</w:t>
      </w:r>
      <w:r>
        <w:t xml:space="preserve"> </w:t>
      </w:r>
      <w:r>
        <w:rPr>
          <w:bCs/>
          <w:b/>
        </w:rPr>
        <w:t xml:space="preserve">Super-gentrification</w:t>
      </w:r>
      <w:r>
        <w:t xml:space="preserve"> </w:t>
      </w:r>
      <w:r>
        <w:t xml:space="preserve">(Butler and Lees, 2006), concentrated in Kensington &amp; Chelsea, Westminster and Camden at median national deciles of D6 and above, aligns with the</w:t>
      </w:r>
      <w:r>
        <w:t xml:space="preserve"> </w:t>
      </w:r>
      <w:r>
        <w:rPr>
          <w:iCs/>
          <w:i/>
        </w:rPr>
        <w:t xml:space="preserve">internal-majority outflow</w:t>
      </w:r>
      <w:r>
        <w:t xml:space="preserve"> </w:t>
      </w:r>
      <w:r>
        <w:t xml:space="preserve">cascade: lift 2.32 (q &lt; 0.01) in the concurrent test, strengthening to 3.37 (q &lt; 10⁻⁹) in the persistence test — the dominant alignment in the whole analysis and the only one that strengthens over the decade.</w:t>
      </w:r>
      <w:r>
        <w:t xml:space="preserve"> </w:t>
      </w:r>
      <w:r>
        <w:rPr>
          <w:bCs/>
          <w:b/>
        </w:rPr>
        <w:t xml:space="preserve">Mainstream gentrification</w:t>
      </w:r>
      <w:r>
        <w:t xml:space="preserve">, concentrated in Tower Hamlets, Hackney and Southwark at a median national decile of D3, aligns with the</w:t>
      </w:r>
      <w:r>
        <w:t xml:space="preserve"> </w:t>
      </w:r>
      <w:r>
        <w:rPr>
          <w:iCs/>
          <w:i/>
        </w:rPr>
        <w:t xml:space="preserve">inflow-driven</w:t>
      </w:r>
      <w:r>
        <w:t xml:space="preserve"> </w:t>
      </w:r>
      <w:r>
        <w:t xml:space="preserve">cascade in the concurrent test only (lift 2.25, p = 0.065, suggestive but underpowered) and does not persist.</w:t>
      </w:r>
      <w:r>
        <w:t xml:space="preserve"> </w:t>
      </w:r>
      <w:r>
        <w:rPr>
          <w:bCs/>
          <w:b/>
        </w:rPr>
        <w:t xml:space="preserve">Marginal gentrification</w:t>
      </w:r>
      <w:r>
        <w:t xml:space="preserve"> </w:t>
      </w:r>
      <w:r>
        <w:t xml:space="preserve">is enriched in no leaf and significantly depleted in the external-majority class (p = 0.018).</w:t>
      </w:r>
    </w:p>
    <w:p>
      <w:pPr>
        <w:pStyle w:val="BodyText"/>
      </w:pPr>
      <w:r>
        <w:t xml:space="preserve">One structural caveat conditions the super-gentrification result: the median wealthier-inflow share falls monotonically to zero at national Decile 10, so areas near the top of the ladder</w:t>
      </w:r>
      <w:r>
        <w:t xml:space="preserve"> </w:t>
      </w:r>
      <w:r>
        <w:rPr>
          <w:iCs/>
          <w:i/>
        </w:rPr>
        <w:t xml:space="preserve">cannot</w:t>
      </w:r>
      <w:r>
        <w:t xml:space="preserve"> </w:t>
      </w:r>
      <w:r>
        <w:t xml:space="preserve">be inflow-led and the inflow-driven leaf is structurally closed to prime London. The defensible claim is therefore that for top-decile areas the displacement arm is the only observable cascade signature — and Yee’s super-gentrified areas show exactly that signature, strongly and in both censuses — not that super-gentrification causes internal outflow. Two diagnostics support the reading: the internal-outflow ∩ GEN cluster is a geographically coherent Kensington &amp; Chelsea–Westminster core with solid modal-label confidence, and restricting the tests to inner London sharpens both signals (inflow-driven × any-GEN concurrent lift 1.94, p = 0.002; inner internal-outflow × modal-GEN lift ≈ 20, p = 3 × 10⁻¹³), empirically warranting the inner-London scope condition on the flow-detected cascade.</w:t>
      </w:r>
    </w:p>
    <w:bookmarkEnd w:id="26"/>
    <w:bookmarkStart w:id="27" w:name="X4d18c74f48949f956fe7c3dce6959cc1982f648"/>
    <w:p>
      <w:pPr>
        <w:pStyle w:val="Heading3"/>
      </w:pPr>
      <w:r>
        <w:t xml:space="preserve">4.5.4 The two-way convergence test: cascade does not reinforce gentrification</w:t>
      </w:r>
    </w:p>
    <w:p>
      <w:pPr>
        <w:pStyle w:val="FirstParagraph"/>
      </w:pPr>
      <w:r>
        <w:t xml:space="preserve">The decisive evidence comes from the outcome side. Cross-classifying MSOAs by GEN status and Cascade-led status and comparing mean IMD percentile change across the four cells yields the study’s most consequential negative result: GEN MSOAs</w:t>
      </w:r>
      <w:r>
        <w:t xml:space="preserve"> </w:t>
      </w:r>
      <w:r>
        <w:rPr>
          <w:iCs/>
          <w:i/>
        </w:rPr>
        <w:t xml:space="preserve">without</w:t>
      </w:r>
      <w:r>
        <w:t xml:space="preserve"> </w:t>
      </w:r>
      <w:r>
        <w:t xml:space="preserve">a cascade signature improve by +0.043 on average, while GEN MSOAs</w:t>
      </w:r>
      <w:r>
        <w:t xml:space="preserve"> </w:t>
      </w:r>
      <w:r>
        <w:rPr>
          <w:iCs/>
          <w:i/>
        </w:rPr>
        <w:t xml:space="preserve">with</w:t>
      </w:r>
      <w:r>
        <w:t xml:space="preserve"> </w:t>
      </w:r>
      <w:r>
        <w:t xml:space="preserve">one improve by only +0.017, with a negative interaction. The cascade signature does not amplify the deprivation-trajectory improvement associated with attribute-defined gentrification; if anything it attenuates it. Yee’s labels are directionally valid against the outcome (GEN +0.042, declining −0.047), whereas the Cascade-led regime is flat in both periods (+0.009, −0.006), and both classifications are weak absolute predictors (ε² ≈ 0.04). Cascade flows therefore cannot be treated as a proxy for IMD-defined gentrification — the widely assumed empirical chain fails at whole-city scale in these data — but the failure is informative rather than degenerate, because each lens validates against</w:t>
      </w:r>
      <w:r>
        <w:t xml:space="preserve"> </w:t>
      </w:r>
      <w:r>
        <w:rPr>
          <w:iCs/>
          <w:i/>
        </w:rPr>
        <w:t xml:space="preserve">something</w:t>
      </w:r>
      <w:r>
        <w:t xml:space="preserve">: the attribute lens against neighbourhood ascent, the flow lens against counter-side descent, consistent with the position that they measure different objects.</w:t>
      </w:r>
    </w:p>
    <w:bookmarkEnd w:id="27"/>
    <w:bookmarkStart w:id="28" w:name="where-the-two-lenses-agree"/>
    <w:p>
      <w:pPr>
        <w:pStyle w:val="Heading3"/>
      </w:pPr>
      <w:r>
        <w:t xml:space="preserve">4.5.5 Where the two lenses agree</w:t>
      </w:r>
    </w:p>
    <w:p>
      <w:pPr>
        <w:pStyle w:val="FirstParagraph"/>
      </w:pPr>
      <w:r>
        <w:t xml:space="preserve">Mapping the divergence categories (Figure 4.21) locates the limited convergence precisely: MSOAs that are simultaneously Yee-GEN and Cascade-led (n = 15 in the 2011 modal cross-classification under Frame C, against 26 GEN-only and 198 Cascade-only) concentrate in inner London, in the recognisable 2001–2011 gentrification belt; outside that time-and-place window the classifications diverge. A pointed illustration concerns the study’s most robust flow cases: the genuine-persistent set of eight MSOAs (Camden 024 and 026, Hillingdon 015 and 016, Islington 022, Southwark 002 and 009, Tower Hamlets 010) is Yee-modal</w:t>
      </w:r>
      <w:r>
        <w:t xml:space="preserve"> </w:t>
      </w:r>
      <w:r>
        <w:rPr>
          <w:iCs/>
          <w:i/>
        </w:rPr>
        <w:t xml:space="preserve">Stable</w:t>
      </w:r>
      <w:r>
        <w:t xml:space="preserve"> </w:t>
      </w:r>
      <w:r>
        <w:t xml:space="preserve">in every case, with only Camden 026 and Southwark 002 containing any GEN LSOA at all. The flow method’s most persistent cascade signals are places the attribute method does not label gentrifying: the two instruments detect different populations even at their respective cores. The two Hillingdon members remain flagged for a manual audit, since Heathrow-related employment churn is a plausible mechanical generator of the signature.</w:t>
      </w:r>
    </w:p>
    <w:bookmarkEnd w:id="28"/>
    <w:bookmarkStart w:id="29" w:name="Xe27a9b37218602e68b388690889780a13d97690"/>
    <w:p>
      <w:pPr>
        <w:pStyle w:val="Heading3"/>
      </w:pPr>
      <w:r>
        <w:t xml:space="preserve">4.5.6 The occupational benchmark and the triangulated verdict</w:t>
      </w:r>
    </w:p>
    <w:p>
      <w:pPr>
        <w:pStyle w:val="FirstParagraph"/>
      </w:pPr>
      <w:r>
        <w:t xml:space="preserve">The second attribute benchmark yields the same verdict by a different route: occupational ascent was positive in approximately 96% of London MSOAs — a near-universality that itself demonstrates why a compositional attribute measure cannot isolate displacement-driven gentrification from a city-wide professionalisation trend — and it is statistically independent of the flow typology under all three frames (ρ ≈ +0.02 with Cascade Dominance under Frame C; full analysis in Appendix F). Triangulating across the outcome index and the two attribute benchmarks, the verdict is two-layered. At pooled resolution the cascade signal is decoupled from attribute-defined gentrification in association, in outcome convergence, and in space, with the single exception of inner London on the concurrent leg. At mechanism resolution the decoupling resolves into structure: mainstream gentrification is the inflow-led cascade, concurrently and in inner London only; super-gentrification is the internal displacement cascade, in both censuses; and the exodus and counter-led classes are anti-gentrification under every definition tested.</w:t>
      </w:r>
    </w:p>
    <w:bookmarkEnd w:id="29"/>
    <w:bookmarkEnd w:id="30"/>
    <w:bookmarkStart w:id="31" w:name="X30aebdc9c4e7f9d549097e8124f009f534075ae"/>
    <w:p>
      <w:pPr>
        <w:pStyle w:val="Heading2"/>
      </w:pPr>
      <w:r>
        <w:t xml:space="preserve">4.6 Case Contrast: The Ladder Artefact and the Literal Exodus</w:t>
      </w:r>
    </w:p>
    <w:p>
      <w:pPr>
        <w:pStyle w:val="FirstParagraph"/>
      </w:pPr>
      <w:r>
        <w:t xml:space="preserve">A single worked contrast, drawn from the full case-study roster in Appendix G, demonstrates that the mechanism leaves measure genuinely different processes. Harrow 008 and Harrow 029 enter the 2021 national-frame cascade tail with cascade inflow shares of only 0.01–0.04, but their external arm shares are 0.43 and 0.41: the majority of their poorer-directed outflow stays</w:t>
      </w:r>
      <w:r>
        <w:t xml:space="preserve"> </w:t>
      </w:r>
      <w:r>
        <w:rPr>
          <w:iCs/>
          <w:i/>
        </w:rPr>
        <w:t xml:space="preserve">within</w:t>
      </w:r>
      <w:r>
        <w:t xml:space="preserve"> </w:t>
      </w:r>
      <w:r>
        <w:t xml:space="preserve">London, and from national Decile 8 — where 69% of London counts as poorer — their cascade reading is manufactured by the national ladder rather than by departure from the city. Croydon 044 and Kingston upon Thames 019 show the same bare thread of affluent inflow (shares 0.03 and 0.04) but external arm shares of 0.72 and 0.69: the majority of the outflow arm crosses the London boundary. Kingston 019 was already external-majority in 2011, a member of the 19-strong pre-pandemic baseline, while Croydon 044 emerged into the class by 2021. Same near-zero affluent inflow, opposite destination of the outflow arm: the contrast is the visual proof that</w:t>
      </w:r>
      <w:r>
        <w:t xml:space="preserve"> </w:t>
      </w:r>
      <w:r>
        <w:t xml:space="preserve">“</w:t>
      </w:r>
      <w:r>
        <w:t xml:space="preserve">exodus</w:t>
      </w:r>
      <w:r>
        <w:t xml:space="preserve">”</w:t>
      </w:r>
      <w:r>
        <w:t xml:space="preserve"> </w:t>
      </w:r>
      <w:r>
        <w:t xml:space="preserve">is a measured mechanism rather than a relabelling of outflow — and, combined with the GEN-depletion of the class (Section 4.5.2), that it is not gentrification relocating outward. At the other end of the tree, the persistent cascade is rare: eight MSOAs in the whole system, exemplified by Camden 026 and Tower Hamlets 010, whose alluvial profiles show the canonical structure — wide wealthier-inflow ribbons paired with poorer-directed outflows, stable across frames and years — every one attribute-labelled Stable. The remaining profiles, including the dominant</w:t>
      </w:r>
      <w:r>
        <w:t xml:space="preserve"> </w:t>
      </w:r>
      <w:r>
        <w:rPr>
          <w:iCs/>
          <w:i/>
        </w:rPr>
        <w:t xml:space="preserve">inner cascade turning counter</w:t>
      </w:r>
      <w:r>
        <w:t xml:space="preserve"> </w:t>
      </w:r>
      <w:r>
        <w:t xml:space="preserve">transition driving the aggregate counter-shift within London, are in Appendix G.</w:t>
      </w:r>
    </w:p>
    <w:bookmarkEnd w:id="31"/>
    <w:bookmarkStart w:id="32" w:name="synthesis-of-results"/>
    <w:p>
      <w:pPr>
        <w:pStyle w:val="Heading2"/>
      </w:pPr>
      <w:r>
        <w:t xml:space="preserve">4.7 Synthesis of Results</w:t>
      </w:r>
    </w:p>
    <w:p>
      <w:pPr>
        <w:pStyle w:val="FirstParagraph"/>
      </w:pPr>
      <w:r>
        <w:t xml:space="preserve">Read as a single argument, the chapter’s results proceed in four steps. First, the cascade signature is a minority and contracting pattern: counter-cascade flows dominate the large majority of MSOAs in both censuses (67.6% rising to 80.9% below the dominance midline), and Cascade-led MSOAs fell from 129 to 76 under the core frame, contracting most sharply where the regime had been strongest.</w:t>
      </w:r>
    </w:p>
    <w:p>
      <w:pPr>
        <w:pStyle w:val="BodyText"/>
      </w:pPr>
      <w:r>
        <w:t xml:space="preserve">Second, flow</w:t>
      </w:r>
      <w:r>
        <w:t xml:space="preserve"> </w:t>
      </w:r>
      <w:r>
        <w:rPr>
          <w:iCs/>
          <w:i/>
        </w:rPr>
        <w:t xml:space="preserve">direction</w:t>
      </w:r>
      <w:r>
        <w:t xml:space="preserve"> </w:t>
      </w:r>
      <w:r>
        <w:t xml:space="preserve">carries almost no deprivation-trajectory signal: the regime effect on IMD percentile change is small (ε² ≈ 0.03), the Cascade-versus-Counter contrast central to the displacement narrative is not significant (p ≈ 0.26), and what signal exists is carried by Counter-led decline and by flow intensity (ρ ≈ 0.28) rather than direction (ρ ≤ 0.09).</w:t>
      </w:r>
    </w:p>
    <w:p>
      <w:pPr>
        <w:pStyle w:val="BodyText"/>
      </w:pPr>
      <w:r>
        <w:t xml:space="preserve">Third, external flows, not reclassification, drive the decade’s counter-shift (73% of the mean dominance shift in 2011, 111% in 2021), powered by an exodus in which external inflows fell 17.8% while outflows rose 51.3%; the mechanism tree resolves the national-frame cascade class into a genuine, inflow-driven cascade that collapses from 56 to 13 MSOAs, a literal exodus that grows fourfold from 19 to 78, and a national-ladder artefact.</w:t>
      </w:r>
    </w:p>
    <w:p>
      <w:pPr>
        <w:pStyle w:val="BodyText"/>
      </w:pPr>
      <w:r>
        <w:t xml:space="preserve">Fourth, and centrally, the cascade signal is decoupled from attribute-defined gentrification at pooled resolution — negligible association (Cramér’s V ≈ 0.10–0.11), independence from near-universal occupational ascent (ρ ≈ +0.02), and gentrifying areas improving</w:t>
      </w:r>
      <w:r>
        <w:t xml:space="preserve"> </w:t>
      </w:r>
      <w:r>
        <w:rPr>
          <w:iCs/>
          <w:i/>
        </w:rPr>
        <w:t xml:space="preserve">more</w:t>
      </w:r>
      <w:r>
        <w:t xml:space="preserve"> </w:t>
      </w:r>
      <w:r>
        <w:t xml:space="preserve">without a cascade signature (+0.043) than with one (+0.017) — but the decoupling resolves into structure at mechanism resolution: mainstream gentrification aligns with the inflow-driven cascade in the concurrent test, super-gentrification aligns with the internal-outflow cascade in both tests (lift 3.4, q &lt; 10⁻⁹ in 2021, the only strengthening alignment in the analysis), and the exodus class is GEN-depleted under every definition. The flow method’s eight genuinely persistent cascade cases are all attribute-labelled Stable.</w:t>
      </w:r>
    </w:p>
    <w:p>
      <w:pPr>
        <w:pStyle w:val="BodyText"/>
      </w:pPr>
      <w:r>
        <w:t xml:space="preserve">Read against the framework of Chapter 2, these results resolve the study’s motivating question in the negative and in doing so reposition the instrument: following the flows does not amount to finding gentrification, but it does amount to finding its mechanisms. The flow lens measures a different dimension of urban change — the reshuffling of population through the deprivation hierarchy — whose dominant London expression over 2011–2021 was a structural upward-mobility current, punctured locally by a small, persistent, inflow-led cascade in a handful of inner cores and overwhelmed at the decade’s end by an outward exodus whose durability the present data cannot determine. Yet the two lenses are not blind to one another: where the attribute method distinguishes mainstream from super-gentrification, the flow method independently distinguishes an arrival-led from a displacement-led cascade, and matches them. The implications for the theorisation of displacement, and for the interpretation of attribute-based gentrification measures, are taken up in the following chapter.</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2026-07-14T23:19:35Z</dcterms:created>
  <dcterms:modified xsi:type="dcterms:W3CDTF">2026-07-14T23:19:35Z</dcterms:modified>
</cp:coreProperties>
</file>

<file path=docProps/custom.xml><?xml version="1.0" encoding="utf-8"?>
<Properties xmlns="http://schemas.openxmlformats.org/officeDocument/2006/custom-properties" xmlns:vt="http://schemas.openxmlformats.org/officeDocument/2006/docPropsVTypes"/>
</file>