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853f0c89bf7fb015de971a9a7a0498a97e7176"/>
    <w:p>
      <w:pPr>
        <w:pStyle w:val="Heading1"/>
      </w:pPr>
      <w:r>
        <w:t xml:space="preserve">Trimming Guidance: Methodology v12 → v13 and Results v2 → v3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15 July 2026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Reference map for the compression of the Methodology and Results chapters around a single narrative spine, with a whole-dissertation word budget. Companion files:</w:t>
      </w:r>
      <w:r>
        <w:t xml:space="preserve"> </w:t>
      </w:r>
      <w:r>
        <w:rPr>
          <w:rStyle w:val="VerbatimChar"/>
        </w:rPr>
        <w:t xml:space="preserve">Methodology_v13_TRIMMED.docx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Results_Chapter_v3_TRIMMED.docx</w:t>
      </w:r>
      <w:r>
        <w:t xml:space="preserve">.</w:t>
      </w:r>
    </w:p>
    <w:bookmarkStart w:id="20" w:name="the-spine"/>
    <w:p>
      <w:pPr>
        <w:pStyle w:val="Heading2"/>
      </w:pPr>
      <w:r>
        <w:t xml:space="preserve">1. The spine</w:t>
      </w:r>
    </w:p>
    <w:p>
      <w:pPr>
        <w:pStyle w:val="FirstParagraph"/>
      </w:pPr>
      <w:r>
        <w:t xml:space="preserve">Everything retained in the main text serves one story: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Following the flows does not find gentrification — it finds gentrification’s mechanisms.</w:t>
      </w:r>
      <w:r>
        <w:rPr>
          <w:bCs/>
          <w:b/>
        </w:rPr>
        <w:t xml:space="preserve">”</w:t>
      </w:r>
      <w:r>
        <w:t xml:space="preserve"> </w:t>
      </w:r>
      <w:r>
        <w:t xml:space="preserve">The pooled comparison with Yee and Dennett is null, but at mechanism resolution the lenses lock together: mainstream gentrification ↔ inflow-led cascade (concurrent, inner London); super-gentrification ↔ internal-outflow cascade (both censuses, lift 3.4, q &lt; 10⁻⁹ — the strongest and only strengthening alignment); exodus class GEN-depleted under every definition.</w:t>
      </w:r>
    </w:p>
    <w:p>
      <w:pPr>
        <w:pStyle w:val="FirstParagraph"/>
      </w:pPr>
      <w:r>
        <w:t xml:space="preserve">Everything demoted was either instrument validation, robustness scaffolding, or an interesting side-story (net exporters/receivers, occupational ascent, three of the four case profiles). Nothing was deleted from the record — demoted material goes to appendices assembled from the EDA notebooks.</w:t>
      </w:r>
    </w:p>
    <w:bookmarkEnd w:id="20"/>
    <w:bookmarkStart w:id="21" w:name="X342abe0daaedaecf785579b3ba57d6c02c06079"/>
    <w:p>
      <w:pPr>
        <w:pStyle w:val="Heading2"/>
      </w:pPr>
      <w:r>
        <w:t xml:space="preserve">2. Whole-dissertation word budget (12,000 limit)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Literature review (with Conceptual Framework folded in as closing section)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write / rework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v13 delivered ≈ 3,200 body</w:t>
            </w:r>
            <w:r>
              <w:t xml:space="preserve"> </w:t>
            </w:r>
            <w:r>
              <w:t xml:space="preserve">(see 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~3,850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delivered ≈ 3,950 body</w:t>
            </w:r>
            <w:r>
              <w:t xml:space="preserve"> </w:t>
            </w:r>
            <w:r>
              <w:t xml:space="preserve">(see 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11,950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Abstract typically sits outside the count.</w:t>
      </w:r>
      <w:r>
        <w:t xml:space="preserve"> </w:t>
      </w:r>
      <w:r>
        <w:rPr>
          <w:bCs/>
          <w:b/>
        </w:rPr>
        <w:t xml:space="preserve">Check your programme’s counting rules</w:t>
      </w:r>
      <w:r>
        <w:t xml:space="preserve">: if tables, captions and in-text references are excluded, both delivered chapters are already at or under target; if included, see §6 for the next cuts to make.</w:t>
      </w:r>
    </w:p>
    <w:bookmarkEnd w:id="21"/>
    <w:bookmarkStart w:id="22" w:name="results-chapter-map-v2-v3"/>
    <w:p>
      <w:pPr>
        <w:pStyle w:val="Heading2"/>
      </w:pPr>
      <w:r>
        <w:t xml:space="preserve">3. Results chapter map (v2 → v3)</w:t>
      </w:r>
    </w:p>
    <w:p>
      <w:pPr>
        <w:pStyle w:val="FirstParagraph"/>
      </w:pPr>
      <w:r>
        <w:t xml:space="preserve">Old body ≈ 9,500 words → new ≈ 3,950. New section numbers in brackets.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to announce the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 intro]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Metric landscape (4.1.1–4.1.3)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B</w:t>
            </w:r>
            <w:r>
              <w:t xml:space="preserve">; three-sentence summary retained (flow pairs ρ 0.96/0.93; two surviving axes; sign concordance)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4.2.1 Decile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to two sentences (monotonic / inverted-U, rank-stable ρ ≈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4.2.2 Counter-dominance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Kept, trimmed</w:t>
            </w:r>
            <w:r>
              <w:t xml:space="preserve"> </w:t>
            </w:r>
            <w:r>
              <w:t xml:space="preserve">(67.6→80.9%; 0.48→0.46; ratio 1.06→1.13; D10 = 0.424)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4.2.3 Net exporters/receivers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C</w:t>
            </w:r>
            <w:r>
              <w:t xml:space="preserve">; one clause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4.3.1 Typology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</w:t>
            </w:r>
            <w:r>
              <w:t xml:space="preserve"> </w:t>
            </w:r>
            <w:r>
              <w:t xml:space="preserve">with Table 4.1 (unchanged counts 129→76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4.3.2 Threshold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D</w:t>
            </w:r>
            <w:r>
              <w:t xml:space="preserve">; one summary sentence (92.1% agreement; same-decile broadening = category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4.3.3 Spatial pattern &amp;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~40%; kept maps, 61% persistence, escalator-region reading, scope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4.4.1–4.4.3 IMD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one section; kept ρ ≈ 0.25–0.28 vs ≤ 0.09, H-tests, ε² ≈ 0.03, Cascade-vs-Counter p ≈ 0.26,</w:t>
            </w:r>
            <w:r>
              <w:t xml:space="preserve"> </w:t>
            </w:r>
            <w:r>
              <w:t xml:space="preserve">“</w:t>
            </w:r>
            <w:r>
              <w:t xml:space="preserve">signal lives in the counter direction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intro + 4.5.1 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to one paragraph; detail to</w:t>
            </w:r>
            <w:r>
              <w:t xml:space="preserve"> </w:t>
            </w:r>
            <w:r>
              <w:rPr>
                <w:bCs/>
                <w:b/>
              </w:rPr>
              <w:t xml:space="preserve">Appendix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4.5.2 The exodus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Kept, trimmed</w:t>
            </w:r>
            <w:r>
              <w:t xml:space="preserve"> </w:t>
            </w:r>
            <w:r>
              <w:t xml:space="preserve">(−17.8% / +51.3%; 181,420→257,393; +85,737 vs +22,326)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4.5.3 Dominance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sentence (73% / 111%); detail to</w:t>
            </w:r>
            <w:r>
              <w:t xml:space="preserve"> </w:t>
            </w:r>
            <w:r>
              <w:rPr>
                <w:bCs/>
                <w:b/>
              </w:rPr>
              <w:t xml:space="preserve">Appendix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4.5.4 Typology under three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E</w:t>
            </w:r>
            <w:r>
              <w:t xml:space="preserve"> </w:t>
            </w:r>
            <w:r>
              <w:t xml:space="preserve">incl. old Table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4.5.5 Extreme MSOAs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 to one paragraph: 2011 inner inflow-led (40–93%) vs 2021 outer outflow-led (1–35%) tail 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4.5.6 Mechanism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 ≈ 55%</w:t>
            </w:r>
            <w:r>
              <w:t xml:space="preserve">; tree structure, narrative-labels-on-top point, threshold status compressed (full defence now lives in Methodology 3.10 + Appendix D); Table 4.4 → Table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 intro + 4.6.1 pooled 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 ~45%; kept 41/207 aggregations, V ≈ 0.10, ARI ≈ 0.005, lifts 1.8 / 0.09, V-and-ARI 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[4.5, 4.5.1]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4.6.2 Leaf-level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</w:t>
            </w:r>
            <w:r>
              <w:t xml:space="preserve"> </w:t>
            </w:r>
            <w:r>
              <w:t xml:space="preserve">(lifts 0.86/0.00; 3.55 and 3.19; exodus depletion 0.43)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4.6.3 Subtype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 essentially intact</w:t>
            </w:r>
            <w:r>
              <w:t xml:space="preserve"> </w:t>
            </w:r>
            <w:r>
              <w:t xml:space="preserve">— the headline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4.6.4 Two-way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Kept, trimmed (+0.043 vs +0.017 preserved)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4.6.5 Where lenses 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Kept, trimmed; eight named persistent MSOAs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4.6.6 Occupational ascent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F</w:t>
            </w:r>
            <w:r>
              <w:t xml:space="preserve">; two sentences retained (96% positive, ρ ≈ +0.02); triangulated-verdict paragraph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 Case studies (four profiles)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worked contrast retained</w:t>
            </w:r>
            <w:r>
              <w:t xml:space="preserve"> </w:t>
            </w:r>
            <w:r>
              <w:t xml:space="preserve">(Harrow ladder-artefact vs Croydon/Kingston literal exodus) + one sentence on the persistent-cascade pair; full roster incl. </w:t>
            </w:r>
            <w:r>
              <w:rPr>
                <w:iCs/>
                <w:i/>
              </w:rPr>
              <w:t xml:space="preserve">inner cascade turning counter</w:t>
            </w:r>
            <w:r>
              <w:t xml:space="preserve"> </w:t>
            </w:r>
            <w:r>
              <w:t xml:space="preserve">profile and Hillingdon/Heathrow audit caveat to</w:t>
            </w:r>
            <w:r>
              <w:t xml:space="preserve"> </w:t>
            </w:r>
            <w:r>
              <w:rPr>
                <w:bCs/>
                <w:b/>
              </w:rPr>
              <w:t xml:space="preserve">Appendix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 Synthesis (five findings)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Rewritten as a four-step argument</w:t>
            </w:r>
            <w:r>
              <w:t xml:space="preserve"> </w:t>
            </w:r>
            <w:r>
              <w:t xml:space="preserve">ending on the spine; old findings 1 and 3 become supporting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Figure/table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captions or</w:t>
            </w:r>
            <w:r>
              <w:t xml:space="preserve"> </w:t>
            </w:r>
            <w:r>
              <w:rPr>
                <w:bCs/>
                <w:b/>
              </w:rPr>
              <w:t xml:space="preserve">Appendix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Renumbering note:</w:t>
      </w:r>
      <w:r>
        <w:t xml:space="preserve"> </w:t>
      </w:r>
      <w:r>
        <w:t xml:space="preserve">figure references in v3 keep the v2 numbers (Figure 4.4, 4.5, 4.8, 4.12–4.17, 4.20, 4.21) so you can trace them; renumber at assembly. Old Table 4.2 → new Table 4.1; old Table 4.4 → new Table 4.2. The ‡ placeholder (two 2011 leaf counts summing to 138, from the EDA 9 leaf-count table) still needs transcribing.</w:t>
      </w:r>
    </w:p>
    <w:bookmarkEnd w:id="22"/>
    <w:bookmarkStart w:id="23" w:name="methodology-chapter-map-v12-v13"/>
    <w:p>
      <w:pPr>
        <w:pStyle w:val="Heading2"/>
      </w:pPr>
      <w:r>
        <w:t xml:space="preserve">4. Methodology chapter map (v12 → v13)</w:t>
      </w:r>
    </w:p>
    <w:p>
      <w:pPr>
        <w:pStyle w:val="FirstParagraph"/>
      </w:pPr>
      <w:r>
        <w:t xml:space="preserve">Old body ≈ 6,930 words → new ≈ 3,200. Key structural change:</w:t>
      </w:r>
      <w:r>
        <w:t xml:space="preserve"> </w:t>
      </w:r>
      <w:r>
        <w:rPr>
          <w:bCs/>
          <w:b/>
        </w:rPr>
        <w:t xml:space="preserve">the mechanism tree is promoted out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3.10.5 Case-Study Diagnostics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into its own Section 3.10</w:t>
      </w:r>
      <w:r>
        <w:t xml:space="preserve">, so both chapters now build toward the same centrepiece.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Research design (4 paras)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to 2 paras; five stages, non-circularity, area-origin proxy all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Study area &amp;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 ~50%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3.3.1–3.3.3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to three paragraphs, subheads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3.4.1–3.4.2 Harmonisation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A</w:t>
            </w:r>
            <w:r>
              <w:t xml:space="preserve">; one summary paragraph (whitelist rule, exclusion waterfall, 0.05%)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Deprivation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~50%; fixed-2010 non-circularity logic and two-ladder construction (ρ ≈ 0.99, 69% below D6)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 Four elementary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~55%; definitions, cascade/counter pairing, symmetric-design rationale kept; same-decile sensitivity summarised, full comparison to</w:t>
            </w:r>
            <w:r>
              <w:t xml:space="preserve"> </w:t>
            </w:r>
            <w:r>
              <w:rPr>
                <w:bCs/>
                <w:b/>
              </w:rPr>
              <w:t xml:space="preserve">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 Metric construction (+2 subsections)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~55%; Table 3.1 kept; redundancy assessment to</w:t>
            </w:r>
            <w:r>
              <w:t xml:space="preserve"> </w:t>
            </w:r>
            <w:r>
              <w:rPr>
                <w:bCs/>
                <w:b/>
              </w:rPr>
              <w:t xml:space="preserve">Appendix B</w:t>
            </w:r>
            <w:r>
              <w:t xml:space="preserve">; Cascade Dominance and Cross-Decile Share defined in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 Flow-regime typology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Kept, trimmed; Table 3.2 kept; Suppressed-label rule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 Frames + external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~45%; Table 3.3 kept; external-node validation (6.4/6.5)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3.10.5 mechanism tree 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Promoted to Section 3.10</w:t>
            </w:r>
            <w:r>
              <w:t xml:space="preserve">, trimmed ~25%; both threshold justifications retained with their different epistemic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 intro + 3.10.1 IMD outcome + 3.10.2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and 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[3.11, 3.11.1]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3.10.3 Yee comparison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Kept ≈ 75%</w:t>
            </w:r>
            <w:r>
              <w:t xml:space="preserve"> </w:t>
            </w:r>
            <w:r>
              <w:t xml:space="preserve">— the spine’s method; concurrent/persistence leg design, enrichment statistics, subtype flags, two-way test all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[3.11.2]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3.10.4 Occupational ascent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F</w:t>
            </w:r>
            <w:r>
              <w:t xml:space="preserve">; one sentence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3.10.5 case-protocol 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sentences (alluvial decompositions, exemplars)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3.10.6 Interpretive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Kept, lightly trimmed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[3.11.4]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 Limitations (9 headed subsections)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Restructured into two prose paragraphs</w:t>
            </w:r>
            <w:r>
              <w:t xml:space="preserve">: three central limitations in full (ecological inference; COVID’s two channels; structural ceiling on the inflow arm incl. Heathrow point); six others in one summary sentence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[3.12]</w:t>
            </w:r>
          </w:p>
        </w:tc>
      </w:tr>
    </w:tbl>
    <w:bookmarkEnd w:id="23"/>
    <w:bookmarkStart w:id="24" w:name="suggested-appendix-inventory"/>
    <w:p>
      <w:pPr>
        <w:pStyle w:val="Heading2"/>
      </w:pPr>
      <w:r>
        <w:t xml:space="preserve">5. Suggested appendix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Harmonisation &amp; exclusion pipeline (old 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data_preprocess notebook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landscape, correlation architecture, redundancy assessment (old 4.1, Table 4.1; old 3.7 detail)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Decile structural checks; sign concordance; net exporters/receivers (old 4.2.1, 4.2.3)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&amp; specification robustness incl. same-decile broadening and tree sensitivity bands (old 4.3.2; old 3.6/3.8 detail)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3, 3b, 9b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Reference-frame decomposition detail; typology under three frames (old 4.5.1, 4.5.3, 4.5.4, Table 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Occupational-ascent analysis (old 4.6.6; old 3.10.4)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case-study roster: four profiles, alluvial figures, Hillingdon/Heathrow audit (old 4.7)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7,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and table source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</w:t>
            </w:r>
            <w:r>
              <w:t xml:space="preserve"> </w:t>
            </w:r>
            <w:r>
              <w:t xml:space="preserve">“</w:t>
            </w:r>
            <w:r>
              <w:t xml:space="preserve">Figure and table sources</w:t>
            </w:r>
            <w:r>
              <w:t xml:space="preserve">”</w:t>
            </w:r>
          </w:p>
        </w:tc>
      </w:tr>
    </w:tbl>
    <w:bookmarkEnd w:id="24"/>
    <w:bookmarkStart w:id="25" w:name="if-you-need-further-cuts"/>
    <w:p>
      <w:pPr>
        <w:pStyle w:val="Heading2"/>
      </w:pPr>
      <w:r>
        <w:t xml:space="preserve">6. If you need further cuts</w:t>
      </w:r>
    </w:p>
    <w:p>
      <w:pPr>
        <w:pStyle w:val="FirstParagraph"/>
      </w:pPr>
      <w:r>
        <w:t xml:space="preserve">Raw counts of the delivered drafts (including headings and table syntax): Methodology ≈ 3,460, Results ≈ 4,180. If your counting rules</w:t>
      </w:r>
      <w:r>
        <w:t xml:space="preserve"> </w:t>
      </w:r>
      <w:r>
        <w:rPr>
          <w:bCs/>
          <w:b/>
        </w:rPr>
        <w:t xml:space="preserve">exclude</w:t>
      </w:r>
      <w:r>
        <w:t xml:space="preserve"> </w:t>
      </w:r>
      <w:r>
        <w:t xml:space="preserve">tables and captions, you are effectively on budget. If they</w:t>
      </w:r>
      <w:r>
        <w:t xml:space="preserve"> </w:t>
      </w:r>
      <w:r>
        <w:rPr>
          <w:bCs/>
          <w:b/>
        </w:rPr>
        <w:t xml:space="preserve">include</w:t>
      </w:r>
      <w:r>
        <w:t xml:space="preserve"> </w:t>
      </w:r>
      <w:r>
        <w:t xml:space="preserve">them, the next cuts, in order of least damage:</w:t>
      </w:r>
    </w:p>
    <w:p>
      <w:pPr>
        <w:numPr>
          <w:ilvl w:val="0"/>
          <w:numId w:val="1001"/>
        </w:numPr>
        <w:pStyle w:val="Compact"/>
      </w:pPr>
      <w:r>
        <w:t xml:space="preserve">Results [4.1] first paragraph → halve the Appendix B summary (−80).</w:t>
      </w:r>
    </w:p>
    <w:p>
      <w:pPr>
        <w:numPr>
          <w:ilvl w:val="0"/>
          <w:numId w:val="1001"/>
        </w:numPr>
        <w:pStyle w:val="Compact"/>
      </w:pPr>
      <w:r>
        <w:t xml:space="preserve">Methodology [3.7] → drop the metric-explanation paragraph below Table 3.1, keeping only the two derived-metric definitions (−90).</w:t>
      </w:r>
    </w:p>
    <w:p>
      <w:pPr>
        <w:numPr>
          <w:ilvl w:val="0"/>
          <w:numId w:val="1001"/>
        </w:numPr>
        <w:pStyle w:val="Compact"/>
      </w:pPr>
      <w:r>
        <w:t xml:space="preserve">Results [4.4] tail-inversion paragraph → merge into the tree paragraph (−70).</w:t>
      </w:r>
    </w:p>
    <w:p>
      <w:pPr>
        <w:numPr>
          <w:ilvl w:val="0"/>
          <w:numId w:val="1001"/>
        </w:numPr>
        <w:pStyle w:val="Compact"/>
      </w:pPr>
      <w:r>
        <w:t xml:space="preserve">Methodology [3.6] → cut the sensitivity paragraph to one sentence (−80).</w:t>
      </w:r>
    </w:p>
    <w:p>
      <w:pPr>
        <w:numPr>
          <w:ilvl w:val="0"/>
          <w:numId w:val="1001"/>
        </w:numPr>
        <w:pStyle w:val="Compact"/>
      </w:pPr>
      <w:r>
        <w:t xml:space="preserve">Results [4.2] closing paragraph → drop the Fielding discussion to one clause (−60).</w:t>
      </w:r>
    </w:p>
    <w:p>
      <w:pPr>
        <w:numPr>
          <w:ilvl w:val="0"/>
          <w:numId w:val="1001"/>
        </w:numPr>
        <w:pStyle w:val="Compact"/>
      </w:pPr>
      <w:r>
        <w:t xml:space="preserve">Methodology [3.12] second paragraph → cut to a bare list with Appendix pointers (−60).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cut further from: Results 4.5.2–4.5.4 (the centrepiece), the mechanism-tree definitions (Methodology 3.10 / Results Table 4.2), or the non-circularity statements — these carry the argument and its defence.</w:t>
      </w:r>
    </w:p>
    <w:bookmarkEnd w:id="25"/>
    <w:bookmarkStart w:id="26" w:name="knock-on-edits-still-needed-elsewhere"/>
    <w:p>
      <w:pPr>
        <w:pStyle w:val="Heading2"/>
      </w:pPr>
      <w:r>
        <w:t xml:space="preserve">7. Knock-on edits still needed elsewhere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Conceptual Framework §2.4</w:t>
      </w:r>
      <w:r>
        <w:t xml:space="preserve"> </w:t>
      </w:r>
      <w:r>
        <w:t xml:space="preserve">— currently promises three co-equal independent checks. Rewrite (~100 words) so the Yee comparison is the primary test, IMD change the outcome-side check, and occupational ascent a secondary benchmark reported in appendix. Suggested replacement wording: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framework’s central test is comparative: whether the flow typology, at pooled and at mechanism resolution, recovers the attribute-based gentrification classification of Yee and Dennett (2022). Two further checks discipline this comparison. Deprivation change on the 2019 IMD, reserved exclusively for the outcome side, provides a non-circular test of whether either lens tracks neighbourhood trajectories; and an occupational-ascent benchmark (reported in appendix) verifies that any decoupling is not an artefact of a single attribute measure. Convergence would support reading cascade flows as a gentrification proxy; systematic divergence would indicate that the flow lens measures a distinct process. Both outcomes are informative.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Conceptual Framework as a whole</w:t>
      </w:r>
      <w:r>
        <w:t xml:space="preserve"> </w:t>
      </w:r>
      <w:r>
        <w:t xml:space="preserve">— under the §2 budget it should compress to ~600–800 words and fold into the literature review as its closing section, saving chapter-level framing overhead.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Transcribe the ‡ counts</w:t>
      </w:r>
      <w:r>
        <w:t xml:space="preserve"> </w:t>
      </w:r>
      <w:r>
        <w:t xml:space="preserve">in Results Table 4.2 from the EDA 9 leaf-count table (the two 2011 outflow/residual leaves summing to 138).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Renumber figures</w:t>
      </w:r>
      <w:r>
        <w:t xml:space="preserve"> </w:t>
      </w:r>
      <w:r>
        <w:t xml:space="preserve">at assembly and populate Appendix H from the old source 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Discussion chapter</w:t>
      </w:r>
      <w:r>
        <w:t xml:space="preserve"> </w:t>
      </w:r>
      <w:r>
        <w:t xml:space="preserve">— the demoted material creates obligations: the durability-of-the-exodus question, the theorisation-of-displacement implications promised in the synthesis, and fuller treatment of the limitations compressed in Methodology 3.12.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Consistency check</w:t>
      </w:r>
      <w:r>
        <w:t xml:space="preserve"> </w:t>
      </w:r>
      <w:r>
        <w:t xml:space="preserve">— the trimmed Methodology renumbers sections (3.10 tree; 3.11 validation; 3.12 limitations); update any cross-references in the Introduction and Discussion when written.</w:t>
      </w:r>
    </w:p>
    <w:bookmarkEnd w:id="26"/>
    <w:bookmarkStart w:id="27" w:name="X0ff94c89349433ca9df35f5f4659ac5dca6a30f"/>
    <w:p>
      <w:pPr>
        <w:pStyle w:val="Heading2"/>
      </w:pPr>
      <w:r>
        <w:t xml:space="preserve">8. What was deliberately preserved verbatim or near-verbatim</w:t>
      </w:r>
    </w:p>
    <w:p>
      <w:pPr>
        <w:pStyle w:val="FirstParagraph"/>
      </w:pPr>
      <w:r>
        <w:t xml:space="preserve">The threshold-justification logic (empirical gap vs declared majority convention), the concurrent-vs-persistence leg design, the</w:t>
      </w:r>
      <w:r>
        <w:t xml:space="preserve"> </w:t>
      </w:r>
      <w:r>
        <w:t xml:space="preserve">“</w:t>
      </w:r>
      <w:r>
        <w:t xml:space="preserve">narrative labels are interpretations layered on the tree</w:t>
      </w:r>
      <w:r>
        <w:t xml:space="preserve">”</w:t>
      </w:r>
      <w:r>
        <w:t xml:space="preserve"> </w:t>
      </w:r>
      <w:r>
        <w:t xml:space="preserve">defence, the structural-ceiling caveat on the super-gentrification result, and every headline statistic (129→76; 67.6→80.9%; −17.8%/+51.3%; 56→13; 19→78; lifts 3.55/3.19/2.32/3.37; q &lt; 10⁻⁹; +0.043 vs +0.017; ρ ≈ +0.02; the eight named persistent MSOAs). These are the load-bearing elements of the argument and its defence against examiner challenge.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2026-07-14T23:19:36Z</dcterms:created>
  <dcterms:modified xsi:type="dcterms:W3CDTF">2026-07-14T23:19:36Z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