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Times New Roman" w:cs="Times New Roman" w:eastAsia="Times New Roman" w:hAnsi="Times New Roman"/>
          <w:b/>
          <w:bCs/>
          <w:color w:val="000000"/>
          <w:sz w:val="32"/>
          <w:szCs w:val="32"/>
        </w:rPr>
        <w:t xml:space="preserve">3. Methodology</w:t>
      </w:r>
    </w:p>
    <w:p>
      <w:pPr>
        <w:pStyle w:val="Heading2"/>
        <w:spacing w:after="160" w:before="300"/>
      </w:pPr>
      <w:r>
        <w:rPr>
          <w:rFonts w:ascii="Times New Roman" w:cs="Times New Roman" w:eastAsia="Times New Roman" w:hAnsi="Times New Roman"/>
          <w:b/>
          <w:bCs/>
          <w:color w:val="000000"/>
          <w:sz w:val="26"/>
          <w:szCs w:val="26"/>
        </w:rPr>
        <w:t xml:space="preserve">3.1 Research Design</w:t>
      </w:r>
    </w:p>
    <w:p>
      <w:pPr>
        <w:spacing w:after="160" w:line="300" w:lineRule="auto"/>
        <w:jc w:val="both"/>
      </w:pPr>
      <w:r>
        <w:rPr>
          <w:rFonts w:ascii="Times New Roman" w:cs="Times New Roman" w:eastAsia="Times New Roman" w:hAnsi="Times New Roman"/>
          <w:sz w:val="22"/>
          <w:szCs w:val="22"/>
        </w:rPr>
        <w:t xml:space="preserve">This chapter sets out a flow-centred framework for identifying residential restructuring in London through directional migration asymmetries across the urban deprivation hierarchy between 2011 and 2021. The framework is built to test a widely assumed equivalence: that gentrification can be read directly from cascading migration flows, in which affluent residents move into a neighbourhood while existing residents are pushed towards more deprived areas (Marcuse, 1985). Rather than operationalising gentrification through upgrading indicators, the study conceptualises displacement pressure as a relational mobility structure — the co-occurrence of upward-directed inflows and downward-directed outflows between differently positioned neighbourhoods — and treats its correspondence with attribute-defined gentrification as an empirical question rather than a presumption.</w:t>
      </w:r>
    </w:p>
    <w:p>
      <w:pPr>
        <w:spacing w:after="160" w:line="300" w:lineRule="auto"/>
        <w:jc w:val="both"/>
      </w:pPr>
      <w:r>
        <w:rPr>
          <w:rFonts w:ascii="Times New Roman" w:cs="Times New Roman" w:eastAsia="Times New Roman" w:hAnsi="Times New Roman"/>
          <w:sz w:val="22"/>
          <w:szCs w:val="22"/>
        </w:rPr>
        <w:t xml:space="preserve">The framework proceeds in six stages, each occupying one section of this chapter. A fixed deprivation hierarchy is first constructed from the 2010 Index of Multiple Deprivation (Section 3.5). Every recorded migration is then classified, relative to that hierarchy, into one of four elementary flow types (Section 3.6), from which parallel suites of cascade and counter-cascade indicators are derived (Section 3.7). Neighbourhoods are classified into flow regimes on the basis of those indicators (Section 3.8), and all metrics and classifications are recomputed under three reference frames that separate the effect of changing the decile ladder from the effect of adding flows that cross London’s boundary (Section 3.9). A mechanism tree then decomposes the most theoretically loaded regime into distinct generating processes (Section 3.10). Finally, the resulting classification is evaluated against independent measures of neighbourhood change (Section 3.11), and the limitations of the design are discussed (Section 3.12). Sections 3.2–3.4 first describe the study area, data sources, and spatial harmonisation on which the framework rests.</w:t>
      </w:r>
    </w:p>
    <w:p>
      <w:pPr>
        <w:spacing w:after="160" w:line="300" w:lineRule="auto"/>
        <w:jc w:val="both"/>
      </w:pPr>
      <w:r>
        <w:rPr>
          <w:rFonts w:ascii="Times New Roman" w:cs="Times New Roman" w:eastAsia="Times New Roman" w:hAnsi="Times New Roman"/>
          <w:sz w:val="22"/>
          <w:szCs w:val="22"/>
        </w:rPr>
        <w:t xml:space="preserve">Two design principles run through every stage. The first is the separation of measurement from outcome: all flow indicators are derived from migration asymmetries scored against the 2010 baseline hierarchy, while the IMD 2019 release is reserved exclusively for the outcome side, so the validation is non-circular by construction. The second is interpretive restraint: the study does not claim that downward movement constitutes forced displacement. The deprivation position of an origin area is only a proxy for the position of the mover, and the framework identifies structural restructuring pressure at neighbourhood scale rather than observing displacement events.</w:t>
      </w:r>
    </w:p>
    <w:p>
      <w:pPr>
        <w:pStyle w:val="Heading2"/>
        <w:spacing w:after="160" w:before="300"/>
      </w:pPr>
      <w:r>
        <w:rPr>
          <w:rFonts w:ascii="Times New Roman" w:cs="Times New Roman" w:eastAsia="Times New Roman" w:hAnsi="Times New Roman"/>
          <w:b/>
          <w:bCs/>
          <w:color w:val="000000"/>
          <w:sz w:val="26"/>
          <w:szCs w:val="26"/>
        </w:rPr>
        <w:t xml:space="preserve">3.2 Study Area and Temporal Scope</w:t>
      </w:r>
    </w:p>
    <w:p>
      <w:pPr>
        <w:spacing w:after="160" w:line="300" w:lineRule="auto"/>
        <w:jc w:val="both"/>
      </w:pPr>
      <w:r>
        <w:rPr>
          <w:rFonts w:ascii="Times New Roman" w:cs="Times New Roman" w:eastAsia="Times New Roman" w:hAnsi="Times New Roman"/>
          <w:sz w:val="22"/>
          <w:szCs w:val="22"/>
        </w:rPr>
        <w:t xml:space="preserve">The study area comprises Greater London: the 32 London boroughs and the City of London. The unit of analysis is the Middle Layer Super Output Area (MSOA), a census geography of approximately 7,200 residents (ONS, 2011), granular enough to capture localised migration dynamics while containing statistically meaningful flow volumes. The analysis compares residential migration recorded in the 2011 and 2021 Censuses, each covering moves in the year preceding Census day, with neighbourhood deprivation measured at the closest matching releases of the English Index of Multiple Deprivation (IMD), 2010 and 2019. After spatial harmonisation (Section 3.4), the analytical dataset comprises 982 temporally consistent MSOA-level zones.</w:t>
      </w:r>
    </w:p>
    <w:p>
      <w:pPr>
        <w:pStyle w:val="Heading2"/>
        <w:spacing w:after="160" w:before="300"/>
      </w:pPr>
      <w:r>
        <w:rPr>
          <w:rFonts w:ascii="Times New Roman" w:cs="Times New Roman" w:eastAsia="Times New Roman" w:hAnsi="Times New Roman"/>
          <w:b/>
          <w:bCs/>
          <w:color w:val="000000"/>
          <w:sz w:val="26"/>
          <w:szCs w:val="26"/>
        </w:rPr>
        <w:t xml:space="preserve">3.3 Data Sources</w:t>
      </w:r>
    </w:p>
    <w:p>
      <w:pPr>
        <w:spacing w:after="160" w:line="300" w:lineRule="auto"/>
        <w:jc w:val="both"/>
      </w:pPr>
      <w:r>
        <w:rPr>
          <w:rFonts w:ascii="Times New Roman" w:cs="Times New Roman" w:eastAsia="Times New Roman" w:hAnsi="Times New Roman"/>
          <w:sz w:val="22"/>
          <w:szCs w:val="22"/>
        </w:rPr>
        <w:t xml:space="preserve">The analysis draws on three bodies of data: census migration flows, deprivation indices, and two external benchmarks. The primary source is the Census origin–destination (O–D) migration dataset, which records residential moves in the year preceding each Census. The 2021 flows are taken from Table RM097 via NOMIS; because the 2011 counterpart (Table MF01EW) is not available at the required scale, safeguarded OA-level flows are accessed through WICID. Each O–D record contains origin and destination geographies together with migration volumes but carries no information on movers’ socio-economic status; directionality is therefore inferred from the relative deprivation positions of origin and destination neighbourhoods.</w:t>
      </w:r>
    </w:p>
    <w:p>
      <w:pPr>
        <w:spacing w:after="160" w:line="300" w:lineRule="auto"/>
        <w:jc w:val="both"/>
      </w:pPr>
      <w:r>
        <w:rPr>
          <w:rFonts w:ascii="Times New Roman" w:cs="Times New Roman" w:eastAsia="Times New Roman" w:hAnsi="Times New Roman"/>
          <w:sz w:val="22"/>
          <w:szCs w:val="22"/>
        </w:rPr>
        <w:t xml:space="preserve">Neighbourhood deprivation is measured using the 2010 and 2019 IMD releases, the closest temporal matches to the two censuses. The releases play strictly separated roles: IMD 2010 constructs the fixed baseline hierarchy (Section 3.5), while IMD 2019 is reserved for the validation outcome (Section 3.11).</w:t>
      </w:r>
    </w:p>
    <w:p>
      <w:pPr>
        <w:spacing w:after="160" w:line="300" w:lineRule="auto"/>
        <w:jc w:val="both"/>
      </w:pPr>
      <w:r>
        <w:rPr>
          <w:rFonts w:ascii="Times New Roman" w:cs="Times New Roman" w:eastAsia="Times New Roman" w:hAnsi="Times New Roman"/>
          <w:sz w:val="22"/>
          <w:szCs w:val="22"/>
        </w:rPr>
        <w:t xml:space="preserve">Two further datasets support the comparative stage. The LSOA-level neighbourhood trajectory classification of Yee and Dennett (2022), which identifies gentrifying, declining and stable neighbourhoods over 2001–2011, serves as the attribute-based benchmark (Section 3.11); and the Census occupation tables (KS608EW, TS063) supply the occupational-ascent measure constructed in Appendix F.</w:t>
      </w:r>
    </w:p>
    <w:p>
      <w:pPr>
        <w:pStyle w:val="Heading2"/>
        <w:spacing w:after="160" w:before="300"/>
      </w:pPr>
      <w:r>
        <w:rPr>
          <w:rFonts w:ascii="Times New Roman" w:cs="Times New Roman" w:eastAsia="Times New Roman" w:hAnsi="Times New Roman"/>
          <w:b/>
          <w:bCs/>
          <w:color w:val="000000"/>
          <w:sz w:val="26"/>
          <w:szCs w:val="26"/>
        </w:rPr>
        <w:t xml:space="preserve">3.4 Spatial Harmonisation and Data Processing</w:t>
      </w:r>
    </w:p>
    <w:p>
      <w:pPr>
        <w:spacing w:after="160" w:line="300" w:lineRule="auto"/>
        <w:jc w:val="both"/>
      </w:pPr>
      <w:r>
        <w:rPr>
          <w:rFonts w:ascii="Times New Roman" w:cs="Times New Roman" w:eastAsia="Times New Roman" w:hAnsi="Times New Roman"/>
          <w:sz w:val="22"/>
          <w:szCs w:val="22"/>
        </w:rPr>
        <w:t xml:space="preserve">All datasets are brought to a single, temporally consistent geography before any metric is computed, since changing boundaries or indices confound genuine dynamics with statistical reclassification (Blake et al., 2000; Rowe, 2017). Using official ONS lookup and correspondence tables, all data are harmonised to 2011 MSOA geography. Boundary changes between the censuses are handled by retaining only one-to-one correspondences between 2011 and 2021 MSOAs, with a single documented exception: two adjacent Camden MSOAs merged in 2021 are analysed as one best-fit zone, yielding the 982 zones introduced above. Within this frame, the 2011 OA-level flows are aggregated up to MSOA scale and the 2021 flows are mapped back from 2021 to 2011 MSOA codes. Because no official MSOA-level IMD product exists, both IMD releases are aggregated from LSOA scale using population-weighted means of cardinal scores and re-ranked to produce valid ordinal positions, mirroring MHCLG’s rank-of-average-score approach (McLennan et al., 2019).</w:t>
      </w:r>
    </w:p>
    <w:p>
      <w:pPr>
        <w:spacing w:after="160" w:line="300" w:lineRule="auto"/>
        <w:jc w:val="both"/>
      </w:pPr>
      <w:r>
        <w:rPr>
          <w:rFonts w:ascii="Times New Roman" w:cs="Times New Roman" w:eastAsia="Times New Roman" w:hAnsi="Times New Roman"/>
          <w:sz w:val="22"/>
          <w:szCs w:val="22"/>
        </w:rPr>
        <w:t xml:space="preserve">Flows are then filtered by a single positive whitelist rule applied identically to both census years. For the core London-internal dataset, a flow is retained if and only if both endpoints harmonise to a London analysis MSOA with an available deprivation decile and origin and destination differ; within-MSOA moves are thereby excluded as local churn. Any flow with exactly one endpoint in a London analysis MSOA is preserved, with all non-London origins and destinations collapsed into a single synthetic external node (EXT_OUTSIDE) regardless of location. This node represents the rest of the country as a whole and enters the analysis only through the external-flow frame (Section 3.9), where its deprivation position is assigned and validated. Flows with neither endpoint in London fall outside the study’s scope.</w:t>
      </w:r>
    </w:p>
    <w:p>
      <w:pPr>
        <w:spacing w:after="160" w:line="300" w:lineRule="auto"/>
        <w:jc w:val="both"/>
      </w:pPr>
      <w:r>
        <w:rPr>
          <w:rFonts w:ascii="Times New Roman" w:cs="Times New Roman" w:eastAsia="Times New Roman" w:hAnsi="Times New Roman"/>
          <w:sz w:val="22"/>
          <w:szCs w:val="22"/>
        </w:rPr>
        <w:t xml:space="preserve">Rather than silently dropping records, the pipeline classifies every origin and destination code into one of six mutually exclusive categories and reports the rows and persons removed at each step, producing a reproducible exclusion waterfall. Genuinely unmappable records are negligible (~0.05% of 2011 migrants), and after filtering the two periods contain broadly comparable volumes of London-internal migration (~852,000 person-moves in 2011; ~766,000 in 2021). Robustness tests confirm that the resulting hierarchy is insensitive to weighting and baseline choices; the full pipeline and exclusion accounting are documented in Appendix A.</w:t>
      </w:r>
    </w:p>
    <w:p>
      <w:pPr>
        <w:pStyle w:val="Heading2"/>
        <w:spacing w:after="160" w:before="300"/>
      </w:pPr>
      <w:r>
        <w:rPr>
          <w:rFonts w:ascii="Times New Roman" w:cs="Times New Roman" w:eastAsia="Times New Roman" w:hAnsi="Times New Roman"/>
          <w:b/>
          <w:bCs/>
          <w:color w:val="000000"/>
          <w:sz w:val="26"/>
          <w:szCs w:val="26"/>
        </w:rPr>
        <w:t xml:space="preserve">3.5 Neighbourhood Classification: The Deprivation Hierarchy</w:t>
      </w:r>
    </w:p>
    <w:p>
      <w:pPr>
        <w:spacing w:after="160" w:line="300" w:lineRule="auto"/>
        <w:jc w:val="both"/>
      </w:pPr>
      <w:r>
        <w:rPr>
          <w:rFonts w:ascii="Times New Roman" w:cs="Times New Roman" w:eastAsia="Times New Roman" w:hAnsi="Times New Roman"/>
          <w:sz w:val="22"/>
          <w:szCs w:val="22"/>
        </w:rPr>
        <w:t xml:space="preserve">The first analytical stage positions every neighbourhood within a fixed deprivation hierarchy against which all subsequent flows are scored. Following the approach of Patias et al. (2022) to neighbourhood socio-economic trajectories, each of the 982 MSOAs is assigned a deprivation decile from its 2010 IMD score, with Decile 1 the most deprived 10% of neighbourhoods and Decile 10 the least deprived, and these positions are held fixed for both census years.</w:t>
      </w:r>
    </w:p>
    <w:p>
      <w:pPr>
        <w:spacing w:after="160" w:line="300" w:lineRule="auto"/>
        <w:jc w:val="both"/>
      </w:pPr>
      <w:r>
        <w:rPr>
          <w:rFonts w:ascii="Times New Roman" w:cs="Times New Roman" w:eastAsia="Times New Roman" w:hAnsi="Times New Roman"/>
          <w:sz w:val="22"/>
          <w:szCs w:val="22"/>
        </w:rPr>
        <w:t xml:space="preserve">The fixed baseline serves two purposes. Holding the ladder still attributes any difference between the 2011 and 2021 flow patterns to how people moved rather than to re-ranking beneath them; and it keeps the 2019 IMD entirely on the outcome side, making the validation non-circular by construction. The cost — an increasingly stale baseline by 2021 — is bounded by a sensitivity analysis re-deriving the deciles from the 2019 release (Section 3.12).</w:t>
      </w:r>
    </w:p>
    <w:p>
      <w:pPr>
        <w:spacing w:after="160" w:line="300" w:lineRule="auto"/>
        <w:jc w:val="both"/>
      </w:pPr>
      <w:r>
        <w:rPr>
          <w:rFonts w:ascii="Times New Roman" w:cs="Times New Roman" w:eastAsia="Times New Roman" w:hAnsi="Times New Roman"/>
          <w:sz w:val="22"/>
          <w:szCs w:val="22"/>
        </w:rPr>
        <w:t xml:space="preserve">Two versions of the hierarchy are constructed. The London-relative ladder ranks the 982 MSOAs against each other and serves as the primary classification. The national ladder ranks all English MSOAs (~6,800) on the same IMD scores and is required for the reference-frame analysis (Section 3.9). The two are almost perfectly rank-concordant for London (ρ ≈ 0.99), but because London is relatively deprived on the IMD, roughly 69% of London MSOAs fall below national Decile 6: the national ladder compresses London’s internal variation, and this compression is precisely the reclassification effect the frame design later isolates. Throughout, deciles are interpreted, following Marcuse’s (1985) conceptualisation of spatial restructuring, as positions within a single urban hierarchy through which decline and gentrification are interconnected, rather than as descriptive categories.</w:t>
      </w:r>
    </w:p>
    <w:p>
      <w:pPr>
        <w:pStyle w:val="Heading2"/>
        <w:spacing w:after="160" w:before="300"/>
      </w:pPr>
      <w:r>
        <w:rPr>
          <w:rFonts w:ascii="Times New Roman" w:cs="Times New Roman" w:eastAsia="Times New Roman" w:hAnsi="Times New Roman"/>
          <w:b/>
          <w:bCs/>
          <w:color w:val="000000"/>
          <w:sz w:val="26"/>
          <w:szCs w:val="26"/>
        </w:rPr>
        <w:t xml:space="preserve">3.6 Flow Classification: Four Elementary Flows</w:t>
      </w:r>
    </w:p>
    <w:p>
      <w:pPr>
        <w:spacing w:after="160" w:line="300" w:lineRule="auto"/>
        <w:jc w:val="both"/>
      </w:pPr>
      <w:r>
        <w:rPr>
          <w:rFonts w:ascii="Times New Roman" w:cs="Times New Roman" w:eastAsia="Times New Roman" w:hAnsi="Times New Roman"/>
          <w:sz w:val="22"/>
          <w:szCs w:val="22"/>
        </w:rPr>
        <w:t xml:space="preserve">With the hierarchy fixed, every migration can be classified by the direction in which it crosses it. A hierarchy-crossing move is any flow between neighbourhoods in different deprivation deciles. From the perspective of a focal MSOA, each such move belongs to exactly one of four elementary flows: </w:t>
      </w:r>
      <w:r>
        <w:rPr>
          <w:rFonts w:ascii="Times New Roman" w:cs="Times New Roman" w:eastAsia="Times New Roman" w:hAnsi="Times New Roman"/>
          <w:b/>
          <w:bCs/>
          <w:sz w:val="22"/>
          <w:szCs w:val="22"/>
        </w:rPr>
        <w:t xml:space="preserve">Inflow_Wealthier</w:t>
      </w:r>
      <w:r>
        <w:rPr>
          <w:rFonts w:ascii="Times New Roman" w:cs="Times New Roman" w:eastAsia="Times New Roman" w:hAnsi="Times New Roman"/>
          <w:sz w:val="22"/>
          <w:szCs w:val="22"/>
        </w:rPr>
        <w:t xml:space="preserve"> (arrivals from less deprived deciles), </w:t>
      </w:r>
      <w:r>
        <w:rPr>
          <w:rFonts w:ascii="Times New Roman" w:cs="Times New Roman" w:eastAsia="Times New Roman" w:hAnsi="Times New Roman"/>
          <w:b/>
          <w:bCs/>
          <w:sz w:val="22"/>
          <w:szCs w:val="22"/>
        </w:rPr>
        <w:t xml:space="preserve">Outflow_Poorer</w:t>
      </w:r>
      <w:r>
        <w:rPr>
          <w:rFonts w:ascii="Times New Roman" w:cs="Times New Roman" w:eastAsia="Times New Roman" w:hAnsi="Times New Roman"/>
          <w:sz w:val="22"/>
          <w:szCs w:val="22"/>
        </w:rPr>
        <w:t xml:space="preserve"> (departures to more deprived deciles), </w:t>
      </w:r>
      <w:r>
        <w:rPr>
          <w:rFonts w:ascii="Times New Roman" w:cs="Times New Roman" w:eastAsia="Times New Roman" w:hAnsi="Times New Roman"/>
          <w:b/>
          <w:bCs/>
          <w:sz w:val="22"/>
          <w:szCs w:val="22"/>
        </w:rPr>
        <w:t xml:space="preserve">Outflow_Wealthier</w:t>
      </w:r>
      <w:r>
        <w:rPr>
          <w:rFonts w:ascii="Times New Roman" w:cs="Times New Roman" w:eastAsia="Times New Roman" w:hAnsi="Times New Roman"/>
          <w:sz w:val="22"/>
          <w:szCs w:val="22"/>
        </w:rPr>
        <w:t xml:space="preserve"> (departures to less deprived deciles), and </w:t>
      </w:r>
      <w:r>
        <w:rPr>
          <w:rFonts w:ascii="Times New Roman" w:cs="Times New Roman" w:eastAsia="Times New Roman" w:hAnsi="Times New Roman"/>
          <w:b/>
          <w:bCs/>
          <w:sz w:val="22"/>
          <w:szCs w:val="22"/>
        </w:rPr>
        <w:t xml:space="preserve">Inflow_Poorer</w:t>
      </w:r>
      <w:r>
        <w:rPr>
          <w:rFonts w:ascii="Times New Roman" w:cs="Times New Roman" w:eastAsia="Times New Roman" w:hAnsi="Times New Roman"/>
          <w:sz w:val="22"/>
          <w:szCs w:val="22"/>
        </w:rPr>
        <w:t xml:space="preserve"> (arrivals from more deprived deciles). The first pair constitutes the </w:t>
      </w:r>
      <w:r>
        <w:rPr>
          <w:rFonts w:ascii="Times New Roman" w:cs="Times New Roman" w:eastAsia="Times New Roman" w:hAnsi="Times New Roman"/>
          <w:b/>
          <w:bCs/>
          <w:sz w:val="22"/>
          <w:szCs w:val="22"/>
        </w:rPr>
        <w:t xml:space="preserve">cascade direction</w:t>
      </w:r>
      <w:r>
        <w:rPr>
          <w:rFonts w:ascii="Times New Roman" w:cs="Times New Roman" w:eastAsia="Times New Roman" w:hAnsi="Times New Roman"/>
          <w:sz w:val="22"/>
          <w:szCs w:val="22"/>
        </w:rPr>
        <w:t xml:space="preserve"> — the joint signature of wealthier in-migration and poorer-directed out-migration that classic accounts of chain displacement predict. The second pair constitutes the </w:t>
      </w:r>
      <w:r>
        <w:rPr>
          <w:rFonts w:ascii="Times New Roman" w:cs="Times New Roman" w:eastAsia="Times New Roman" w:hAnsi="Times New Roman"/>
          <w:b/>
          <w:bCs/>
          <w:sz w:val="22"/>
          <w:szCs w:val="22"/>
        </w:rPr>
        <w:t xml:space="preserve">counter-cascade direction</w:t>
      </w:r>
      <w:r>
        <w:rPr>
          <w:rFonts w:ascii="Times New Roman" w:cs="Times New Roman" w:eastAsia="Times New Roman" w:hAnsi="Times New Roman"/>
          <w:sz w:val="22"/>
          <w:szCs w:val="22"/>
        </w:rPr>
        <w:t xml:space="preserve">. Treating the two symmetrically is a deliberate design choice: measuring only the cascade direction would place every neighbourhood on a single gentrification-pressure scale, whereas measuring both allows the framework to establish which direction actually dominates, and thereby to test rather than presume the cascade reading.</w:t>
      </w:r>
    </w:p>
    <w:p>
      <w:pPr>
        <w:spacing w:after="160" w:line="300" w:lineRule="auto"/>
        <w:jc w:val="both"/>
      </w:pPr>
      <w:r>
        <w:rPr>
          <w:rFonts w:ascii="Times New Roman" w:cs="Times New Roman" w:eastAsia="Times New Roman" w:hAnsi="Times New Roman"/>
          <w:sz w:val="22"/>
          <w:szCs w:val="22"/>
        </w:rPr>
        <w:t xml:space="preserve">Moves between same-decile neighbourhoods are lateral by construction: they do not cross the hierarchy and are excluded from the directional classification, although they remain in the total volumes used for normalisation. Throughout, directional labels describe the positions of </w:t>
      </w:r>
      <w:r>
        <w:rPr>
          <w:rFonts w:ascii="Times New Roman" w:cs="Times New Roman" w:eastAsia="Times New Roman" w:hAnsi="Times New Roman"/>
          <w:i/>
          <w:iCs/>
          <w:sz w:val="22"/>
          <w:szCs w:val="22"/>
        </w:rPr>
        <w:t xml:space="preserve">areas</w:t>
      </w:r>
      <w:r>
        <w:rPr>
          <w:rFonts w:ascii="Times New Roman" w:cs="Times New Roman" w:eastAsia="Times New Roman" w:hAnsi="Times New Roman"/>
          <w:sz w:val="22"/>
          <w:szCs w:val="22"/>
        </w:rPr>
        <w:t xml:space="preserve">, not attributes of individual movers. Same-decile outflows may well accompany neighbourhood restructuring, but they represent lateral relocation rather than movement down the deprivation hierarchy; folding them into the cascade would change the meaning of the category rather than merely relax a threshold, so they are treated as a distinct mechanism. The consequences of alternative cascade definitions for the neighbourhood classification are assessed once that classification has been defined (Section 3.8), with the full comparison in Appendix D.</w:t>
      </w:r>
    </w:p>
    <w:p>
      <w:pPr>
        <w:pStyle w:val="Heading2"/>
        <w:spacing w:after="160" w:before="300"/>
      </w:pPr>
      <w:r>
        <w:rPr>
          <w:rFonts w:ascii="Times New Roman" w:cs="Times New Roman" w:eastAsia="Times New Roman" w:hAnsi="Times New Roman"/>
          <w:b/>
          <w:bCs/>
          <w:color w:val="000000"/>
          <w:sz w:val="26"/>
          <w:szCs w:val="26"/>
        </w:rPr>
        <w:t xml:space="preserve">3.7 Metric Construction</w:t>
      </w:r>
    </w:p>
    <w:p>
      <w:pPr>
        <w:spacing w:after="160" w:line="300" w:lineRule="auto"/>
        <w:jc w:val="both"/>
      </w:pPr>
      <w:r>
        <w:rPr>
          <w:rFonts w:ascii="Times New Roman" w:cs="Times New Roman" w:eastAsia="Times New Roman" w:hAnsi="Times New Roman"/>
          <w:sz w:val="22"/>
          <w:szCs w:val="22"/>
        </w:rPr>
        <w:t xml:space="preserve">The elementary flows are next converted into continuous indicators. Two parallel suites of four metrics — one for each direction — are computed per MSOA, separately for each census period under the fixed hierarchy, so that the 2011 and 2021 values are independent cross-sectional measurements under a consistent classification (Table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60"/>
      </w:tblGrid>
      <w:tr>
        <w:trPr>
          <w:tblHeader/>
        </w:trPr>
        <w:tc>
          <w:tcPr>
            <w:tcW w:type="dxa" w:w="26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Metric</w:t>
            </w:r>
          </w:p>
        </w:tc>
        <w:tc>
          <w:tcPr>
            <w:tcW w:type="dxa" w:w="43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Formula</w:t>
            </w:r>
          </w:p>
        </w:tc>
        <w:tc>
          <w:tcPr>
            <w:tcW w:type="dxa" w:w="246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Dimension</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Net_Cascade</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Inflow_Wealthier − Outflow_Poorer</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Directional balance (cascade)</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CFI_Churn</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Inflow_Wealthier + Outflow_Poorer</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Cascade intensity</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CFI_Rate</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(Inflow_Wealthier × Outflow_Poorer) / Total_Migration</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Cascade co-occurrence</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Pct_Inflow_Wealthier</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Inflow_Wealthier / Total_Inflow × 100</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Inflow composition</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Net_Counter</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Outflow_Wealthier − Inflow_Poorer</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Directional balance (counter)</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Counter_Churn</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Outflow_Wealthier + Inflow_Poorer</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Counter-cascade intensity</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Counter_Rate</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(Outflow_Wealthier × Inflow_Poorer) / Total_Migration</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Counter co-occurrence</w:t>
            </w:r>
          </w:p>
        </w:tc>
      </w:tr>
      <w:tr>
        <w:tc>
          <w:tcPr>
            <w:tcW w:type="dxa" w:w="26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Pct_Outflow_Wealthier</w:t>
            </w:r>
          </w:p>
        </w:tc>
        <w:tc>
          <w:tcPr>
            <w:tcW w:type="dxa" w:w="43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Outflow_Wealthier / Total_Outflow × 100</w:t>
            </w:r>
          </w:p>
        </w:tc>
        <w:tc>
          <w:tcPr>
            <w:tcW w:type="dxa" w:w="24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Outflow composition</w:t>
            </w:r>
          </w:p>
        </w:tc>
      </w:tr>
    </w:tbl>
    <w:p>
      <w:pPr>
        <w:spacing w:after="200" w:before="80"/>
        <w:jc w:val="left"/>
      </w:pPr>
      <w:r>
        <w:rPr>
          <w:rFonts w:ascii="Times New Roman" w:cs="Times New Roman" w:eastAsia="Times New Roman" w:hAnsi="Times New Roman"/>
          <w:i/>
          <w:iCs/>
          <w:sz w:val="20"/>
          <w:szCs w:val="20"/>
        </w:rPr>
        <w:t xml:space="preserve">Table 3.1. The cascade and counter-cascade indicator suites, computed per MSOA and census period.</w:t>
      </w:r>
    </w:p>
    <w:p>
      <w:pPr>
        <w:spacing w:after="160" w:line="300" w:lineRule="auto"/>
        <w:jc w:val="both"/>
      </w:pPr>
      <w:r>
        <w:rPr>
          <w:rFonts w:ascii="Times New Roman" w:cs="Times New Roman" w:eastAsia="Times New Roman" w:hAnsi="Times New Roman"/>
          <w:sz w:val="22"/>
          <w:szCs w:val="22"/>
        </w:rPr>
        <w:t xml:space="preserve">The balance metrics are partially constrained by hierarchy position — the most deprived decile cannot export downward, and vice versa — and are therefore interpreted comparatively. The churn metrics adapt the population churn measure of Dennett and Stillwell (2008) to hierarchy-crossing flows, and the rate metrics use a multiplicative interaction analogous to spatial interaction models (Wilson, 1971). A systematic redundancy assessment (Appendix B) retained two derived metrics that carry information not expressed elsewhere: </w:t>
      </w:r>
      <w:r>
        <w:rPr>
          <w:rFonts w:ascii="Times New Roman" w:cs="Times New Roman" w:eastAsia="Times New Roman" w:hAnsi="Times New Roman"/>
          <w:b/>
          <w:bCs/>
          <w:sz w:val="22"/>
          <w:szCs w:val="22"/>
        </w:rPr>
        <w:t xml:space="preserve">Cascade Dominance</w:t>
      </w:r>
      <w:r>
        <w:rPr>
          <w:rFonts w:ascii="Times New Roman" w:cs="Times New Roman" w:eastAsia="Times New Roman" w:hAnsi="Times New Roman"/>
          <w:sz w:val="22"/>
          <w:szCs w:val="22"/>
        </w:rPr>
        <w:t xml:space="preserve"> = CFI_Churn / (CFI_Churn + Counter_Churn), isolating </w:t>
      </w:r>
      <w:r>
        <w:rPr>
          <w:rFonts w:ascii="Times New Roman" w:cs="Times New Roman" w:eastAsia="Times New Roman" w:hAnsi="Times New Roman"/>
          <w:i/>
          <w:iCs/>
          <w:sz w:val="22"/>
          <w:szCs w:val="22"/>
        </w:rPr>
        <w:t xml:space="preserve">which</w:t>
      </w:r>
      <w:r>
        <w:rPr>
          <w:rFonts w:ascii="Times New Roman" w:cs="Times New Roman" w:eastAsia="Times New Roman" w:hAnsi="Times New Roman"/>
          <w:sz w:val="22"/>
          <w:szCs w:val="22"/>
        </w:rPr>
        <w:t xml:space="preserve"> direction dominates a neighbourhood’s deprivation-crossing migration, and </w:t>
      </w:r>
      <w:r>
        <w:rPr>
          <w:rFonts w:ascii="Times New Roman" w:cs="Times New Roman" w:eastAsia="Times New Roman" w:hAnsi="Times New Roman"/>
          <w:b/>
          <w:bCs/>
          <w:sz w:val="22"/>
          <w:szCs w:val="22"/>
        </w:rPr>
        <w:t xml:space="preserve">Cross-Decile Share</w:t>
      </w:r>
      <w:r>
        <w:rPr>
          <w:rFonts w:ascii="Times New Roman" w:cs="Times New Roman" w:eastAsia="Times New Roman" w:hAnsi="Times New Roman"/>
          <w:sz w:val="22"/>
          <w:szCs w:val="22"/>
        </w:rPr>
        <w:t xml:space="preserve"> = (CFI_Churn + Counter_Churn) / Total_Migration, isolating </w:t>
      </w:r>
      <w:r>
        <w:rPr>
          <w:rFonts w:ascii="Times New Roman" w:cs="Times New Roman" w:eastAsia="Times New Roman" w:hAnsi="Times New Roman"/>
          <w:i/>
          <w:iCs/>
          <w:sz w:val="22"/>
          <w:szCs w:val="22"/>
        </w:rPr>
        <w:t xml:space="preserve">how much</w:t>
      </w:r>
      <w:r>
        <w:rPr>
          <w:rFonts w:ascii="Times New Roman" w:cs="Times New Roman" w:eastAsia="Times New Roman" w:hAnsi="Times New Roman"/>
          <w:sz w:val="22"/>
          <w:szCs w:val="22"/>
        </w:rPr>
        <w:t xml:space="preserve"> of its migration engages the hierarchy at all. A sign-concordance flag additionally identifies the roughly 10% of MSOAs whose net balances disagree; these structurally distinctive cases are analysed in Appendix C.</w:t>
      </w:r>
    </w:p>
    <w:p>
      <w:pPr>
        <w:pStyle w:val="Heading2"/>
        <w:spacing w:after="160" w:before="300"/>
      </w:pPr>
      <w:r>
        <w:rPr>
          <w:rFonts w:ascii="Times New Roman" w:cs="Times New Roman" w:eastAsia="Times New Roman" w:hAnsi="Times New Roman"/>
          <w:b/>
          <w:bCs/>
          <w:color w:val="000000"/>
          <w:sz w:val="26"/>
          <w:szCs w:val="26"/>
        </w:rPr>
        <w:t xml:space="preserve">3.8 Flow-Regime Typology</w:t>
      </w:r>
    </w:p>
    <w:p>
      <w:pPr>
        <w:spacing w:after="160" w:line="300" w:lineRule="auto"/>
        <w:jc w:val="both"/>
      </w:pPr>
      <w:r>
        <w:rPr>
          <w:rFonts w:ascii="Times New Roman" w:cs="Times New Roman" w:eastAsia="Times New Roman" w:hAnsi="Times New Roman"/>
          <w:sz w:val="22"/>
          <w:szCs w:val="22"/>
        </w:rPr>
        <w:t xml:space="preserve">The two derived metrics define a typology that classifies every MSOA by the direction and intensity of its hierarchical migration (Table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38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Rule</w:t>
            </w:r>
          </w:p>
        </w:tc>
        <w:tc>
          <w:tcPr>
            <w:tcW w:type="dxa" w:w="366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Interpretation</w:t>
            </w:r>
          </w:p>
        </w:tc>
      </w:tr>
      <w:tr>
        <w:tc>
          <w:tcPr>
            <w:tcW w:type="dxa" w:w="1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Lateral</w:t>
            </w:r>
          </w:p>
        </w:tc>
        <w:tc>
          <w:tcPr>
            <w:tcW w:type="dxa" w:w="3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Cross-Decile Share below the 25th percentile</w:t>
            </w:r>
          </w:p>
        </w:tc>
        <w:tc>
          <w:tcPr>
            <w:tcW w:type="dxa" w:w="36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Migration rarely crosses decile boundaries</w:t>
            </w:r>
          </w:p>
        </w:tc>
      </w:tr>
      <w:tr>
        <w:tc>
          <w:tcPr>
            <w:tcW w:type="dxa" w:w="1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Cascade-led</w:t>
            </w:r>
          </w:p>
        </w:tc>
        <w:tc>
          <w:tcPr>
            <w:tcW w:type="dxa" w:w="3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Cascade Dominance &gt; 0.52</w:t>
            </w:r>
          </w:p>
        </w:tc>
        <w:tc>
          <w:tcPr>
            <w:tcW w:type="dxa" w:w="36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The flow signature classically equated with gentrification pressure</w:t>
            </w:r>
          </w:p>
        </w:tc>
      </w:tr>
      <w:tr>
        <w:tc>
          <w:tcPr>
            <w:tcW w:type="dxa" w:w="1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Counter-led</w:t>
            </w:r>
          </w:p>
        </w:tc>
        <w:tc>
          <w:tcPr>
            <w:tcW w:type="dxa" w:w="3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Cascade Dominance &lt; 0.48</w:t>
            </w:r>
          </w:p>
        </w:tc>
        <w:tc>
          <w:tcPr>
            <w:tcW w:type="dxa" w:w="36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Upward-directed departures and/or inflows from more deprived areas prevail</w:t>
            </w:r>
          </w:p>
        </w:tc>
      </w:tr>
      <w:tr>
        <w:tc>
          <w:tcPr>
            <w:tcW w:type="dxa" w:w="1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Symmetric</w:t>
            </w:r>
          </w:p>
        </w:tc>
        <w:tc>
          <w:tcPr>
            <w:tcW w:type="dxa" w:w="3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0.48 ≤ Cascade Dominance ≤ 0.52</w:t>
            </w:r>
          </w:p>
        </w:tc>
        <w:tc>
          <w:tcPr>
            <w:tcW w:type="dxa" w:w="366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Deprivation-crossing flows roughly balanced</w:t>
            </w:r>
          </w:p>
        </w:tc>
      </w:tr>
    </w:tbl>
    <w:p>
      <w:pPr>
        <w:spacing w:after="200" w:before="80"/>
        <w:jc w:val="left"/>
      </w:pPr>
      <w:r>
        <w:rPr>
          <w:rFonts w:ascii="Times New Roman" w:cs="Times New Roman" w:eastAsia="Times New Roman" w:hAnsi="Times New Roman"/>
          <w:i/>
          <w:iCs/>
          <w:sz w:val="20"/>
          <w:szCs w:val="20"/>
        </w:rPr>
        <w:t xml:space="preserve">Table 3.2. Flow-regime typology. The Lateral rule is applied first; the dominance rules classify the remainder.</w:t>
      </w:r>
    </w:p>
    <w:p>
      <w:pPr>
        <w:spacing w:after="160" w:line="300" w:lineRule="auto"/>
        <w:jc w:val="both"/>
      </w:pPr>
      <w:r>
        <w:rPr>
          <w:rFonts w:ascii="Times New Roman" w:cs="Times New Roman" w:eastAsia="Times New Roman" w:hAnsi="Times New Roman"/>
          <w:sz w:val="22"/>
          <w:szCs w:val="22"/>
        </w:rPr>
        <w:t xml:space="preserve">The symmetric band (±0.02 around the midline) and the 25th-percentile cutoff constitute the baseline specification; sensitivity analyses varying the bandwidth and comparing ratio- against difference-based dominance definitions confirm that the typology is not threshold-dependent (Appendix D). Where the metrics are computed under alternative reference frames (Section 3.9), the Cross-Decile Share percentile is computed within each frame, and the 20 MSOAs with no recorded hierarchy-crossing flows in 2021 are assigned a distinct </w:t>
      </w:r>
      <w:r>
        <w:rPr>
          <w:rFonts w:ascii="Times New Roman" w:cs="Times New Roman" w:eastAsia="Times New Roman" w:hAnsi="Times New Roman"/>
          <w:i/>
          <w:iCs/>
          <w:sz w:val="22"/>
          <w:szCs w:val="22"/>
        </w:rPr>
        <w:t xml:space="preserve">Suppressed</w:t>
      </w:r>
      <w:r>
        <w:rPr>
          <w:rFonts w:ascii="Times New Roman" w:cs="Times New Roman" w:eastAsia="Times New Roman" w:hAnsi="Times New Roman"/>
          <w:sz w:val="22"/>
          <w:szCs w:val="22"/>
        </w:rPr>
        <w:t xml:space="preserve"> label and excluded from the percentile computation.</w:t>
      </w:r>
    </w:p>
    <w:p>
      <w:pPr>
        <w:spacing w:after="160" w:line="300" w:lineRule="auto"/>
        <w:jc w:val="both"/>
      </w:pPr>
      <w:r>
        <w:rPr>
          <w:rFonts w:ascii="Times New Roman" w:cs="Times New Roman" w:eastAsia="Times New Roman" w:hAnsi="Times New Roman"/>
          <w:sz w:val="22"/>
          <w:szCs w:val="22"/>
        </w:rPr>
        <w:t xml:space="preserve">The typology also fixes the point at which the strict cascade definition of Section 3.6 can be stress-tested. Broadening only the cascade arm to include same-decile outflows substantially inflates the Cascade-led count, because only one side of the dominance ratio is expanded; broadening both arms symmetrically erases the Lateral regime altogether. Neither alternative preserves the intended distinction between downward and lateral restructuring, so the hierarchy-crossing definition is retained, with the full comparison in Appendix D. The typology is fundamentally flow-centred: neighbourhoods are classified by how migration engages the hierarchy, never by deprivation outcomes — whether Cascade-led status equates to gentrification is precisely what the validation stage examines.</w:t>
      </w:r>
    </w:p>
    <w:p>
      <w:pPr>
        <w:pStyle w:val="Heading2"/>
        <w:spacing w:after="160" w:before="300"/>
      </w:pPr>
      <w:r>
        <w:rPr>
          <w:rFonts w:ascii="Times New Roman" w:cs="Times New Roman" w:eastAsia="Times New Roman" w:hAnsi="Times New Roman"/>
          <w:b/>
          <w:bCs/>
          <w:color w:val="000000"/>
          <w:sz w:val="26"/>
          <w:szCs w:val="26"/>
        </w:rPr>
        <w:t xml:space="preserve">3.9 Reference-Frame Design: Isolating Boundary Effects</w:t>
      </w:r>
    </w:p>
    <w:p>
      <w:pPr>
        <w:spacing w:after="160" w:line="300" w:lineRule="auto"/>
        <w:jc w:val="both"/>
      </w:pPr>
      <w:r>
        <w:rPr>
          <w:rFonts w:ascii="Times New Roman" w:cs="Times New Roman" w:eastAsia="Times New Roman" w:hAnsi="Times New Roman"/>
          <w:sz w:val="22"/>
          <w:szCs w:val="22"/>
        </w:rPr>
        <w:t xml:space="preserve">The metrics and typology have so far been defined for London-internal migration ranked on the London-relative ladder. That lens makes two decisions at once: it ranks neighbourhoods against London rather than England, and it discards flows crossing London’s boundary. A naïve “London versus national” comparison would confound these two mechanisms, so all metrics and the typology are computed under three frames (Table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50"/>
        <w:gridCol w:w="2800"/>
        <w:gridCol w:w="2210"/>
      </w:tblGrid>
      <w:tr>
        <w:trPr>
          <w:tblHeader/>
        </w:trPr>
        <w:tc>
          <w:tcPr>
            <w:tcW w:type="dxa" w:w="9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Frame</w:t>
            </w:r>
          </w:p>
        </w:tc>
        <w:tc>
          <w:tcPr>
            <w:tcW w:type="dxa" w:w="345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Flows included</w:t>
            </w:r>
          </w:p>
        </w:tc>
        <w:tc>
          <w:tcPr>
            <w:tcW w:type="dxa" w:w="280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Decile ladder</w:t>
            </w:r>
          </w:p>
        </w:tc>
        <w:tc>
          <w:tcPr>
            <w:tcW w:type="dxa" w:w="2210"/>
            <w:tcBorders>
              <w:top w:val="single" w:color="666666" w:sz="4"/>
              <w:left w:val="single" w:color="666666" w:sz="4"/>
              <w:bottom w:val="single" w:color="666666" w:sz="4"/>
              <w:right w:val="single" w:color="666666" w:sz="4"/>
            </w:tcBorders>
            <w:shd w:fill="EDEDED"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Role</w:t>
            </w:r>
          </w:p>
        </w:tc>
      </w:tr>
      <w:tr>
        <w:tc>
          <w:tcPr>
            <w:tcW w:type="dxa" w:w="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A</w:t>
            </w:r>
          </w:p>
        </w:tc>
        <w:tc>
          <w:tcPr>
            <w:tcW w:type="dxa" w:w="345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London-internal only</w:t>
            </w:r>
          </w:p>
        </w:tc>
        <w:tc>
          <w:tcPr>
            <w:tcW w:type="dxa" w:w="2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London-relative (982 zones)</w:t>
            </w:r>
          </w:p>
        </w:tc>
        <w:tc>
          <w:tcPr>
            <w:tcW w:type="dxa" w:w="221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Core analytical lens</w:t>
            </w:r>
          </w:p>
        </w:tc>
      </w:tr>
      <w:tr>
        <w:tc>
          <w:tcPr>
            <w:tcW w:type="dxa" w:w="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B</w:t>
            </w:r>
          </w:p>
        </w:tc>
        <w:tc>
          <w:tcPr>
            <w:tcW w:type="dxa" w:w="345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London-internal only</w:t>
            </w:r>
          </w:p>
        </w:tc>
        <w:tc>
          <w:tcPr>
            <w:tcW w:type="dxa" w:w="2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National (~6,800 MSOAs)</w:t>
            </w:r>
          </w:p>
        </w:tc>
        <w:tc>
          <w:tcPr>
            <w:tcW w:type="dxa" w:w="221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Isolates the reclassification effect</w:t>
            </w:r>
          </w:p>
        </w:tc>
      </w:tr>
      <w:tr>
        <w:tc>
          <w:tcPr>
            <w:tcW w:type="dxa" w:w="9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C</w:t>
            </w:r>
          </w:p>
        </w:tc>
        <w:tc>
          <w:tcPr>
            <w:tcW w:type="dxa" w:w="345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London-internal + London-touching external</w:t>
            </w:r>
          </w:p>
        </w:tc>
        <w:tc>
          <w:tcPr>
            <w:tcW w:type="dxa" w:w="280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National</w:t>
            </w:r>
          </w:p>
        </w:tc>
        <w:tc>
          <w:tcPr>
            <w:tcW w:type="dxa" w:w="2210"/>
            <w:tcBorders>
              <w:top w:val="single" w:color="666666" w:sz="4"/>
              <w:left w:val="single" w:color="666666" w:sz="4"/>
              <w:bottom w:val="single" w:color="666666" w:sz="4"/>
              <w:right w:val="single" w:color="666666" w:sz="4"/>
            </w:tcBorders>
            <w:tcMar>
              <w:top w:type="dxa" w:w="50"/>
              <w:left w:type="dxa" w:w="100"/>
              <w:bottom w:type="dxa" w:w="50"/>
              <w:right w:type="dxa" w:w="100"/>
            </w:tcMar>
          </w:tcPr>
          <w:p>
            <w:r>
              <w:rPr>
                <w:rFonts w:ascii="Times New Roman" w:cs="Times New Roman" w:eastAsia="Times New Roman" w:hAnsi="Times New Roman"/>
                <w:sz w:val="20"/>
                <w:szCs w:val="20"/>
              </w:rPr>
              <w:t xml:space="preserve">Adds the external-flow effect</w:t>
            </w:r>
          </w:p>
        </w:tc>
      </w:tr>
    </w:tbl>
    <w:p>
      <w:pPr>
        <w:spacing w:after="200" w:before="80"/>
        <w:jc w:val="left"/>
      </w:pPr>
      <w:r>
        <w:rPr>
          <w:rFonts w:ascii="Times New Roman" w:cs="Times New Roman" w:eastAsia="Times New Roman" w:hAnsi="Times New Roman"/>
          <w:i/>
          <w:iCs/>
          <w:sz w:val="20"/>
          <w:szCs w:val="20"/>
        </w:rPr>
        <w:t xml:space="preserve">Table 3.3. The three-frame design. Reclassification effect = B − A; external-flow effect = C − B; total = C − A.</w:t>
      </w:r>
    </w:p>
    <w:p>
      <w:pPr>
        <w:spacing w:after="160" w:line="300" w:lineRule="auto"/>
        <w:jc w:val="both"/>
      </w:pPr>
      <w:r>
        <w:rPr>
          <w:rFonts w:ascii="Times New Roman" w:cs="Times New Roman" w:eastAsia="Times New Roman" w:hAnsi="Times New Roman"/>
          <w:sz w:val="22"/>
          <w:szCs w:val="22"/>
        </w:rPr>
        <w:t xml:space="preserve">Frame B holds the flow set fixed while switching the ladder, so any A–B difference is pure reclassification; Frame C holds the ladder fixed while adding boundary-crossing flows, so any B–C difference is purely external — and every typology switch between frames is attributable to one mechanism or the other. For Frame C, all non-London areas are collapsed into the single synthetic external node introduced in Section 3.4, assigned the population-weighted mean national decile of non-London MSOAs — Decile 6 — a simplification validated by a flow-weighted diagnostic (mean partner deciles ≈ 6.4 and 6.5 in the two census years). Because roughly 69% of London MSOAs sit below Decile 6 on the national ladder (Section 3.5), most external inflows register in the cascade direction and most external outflows in the counter-cascade direction, which is why the frame decomposition is essential for interpreting boundary-crossing flows. Frame A remains the core analytical lens, in which moving up within London retains its substantive meaning; the external node is a flow partner, not a unit of analysis, and results are reported for the 982 London zones only.</w:t>
      </w:r>
    </w:p>
    <w:p>
      <w:pPr>
        <w:pStyle w:val="Heading2"/>
        <w:spacing w:after="160" w:before="300"/>
      </w:pPr>
      <w:r>
        <w:rPr>
          <w:rFonts w:ascii="Times New Roman" w:cs="Times New Roman" w:eastAsia="Times New Roman" w:hAnsi="Times New Roman"/>
          <w:b/>
          <w:bCs/>
          <w:color w:val="000000"/>
          <w:sz w:val="26"/>
          <w:szCs w:val="26"/>
        </w:rPr>
        <w:t xml:space="preserve">3.10 The Time-Symmetric Mechanism Tree</w:t>
      </w:r>
    </w:p>
    <w:p>
      <w:pPr>
        <w:spacing w:after="160" w:line="300" w:lineRule="auto"/>
        <w:jc w:val="both"/>
      </w:pPr>
      <w:r>
        <w:rPr>
          <w:rFonts w:ascii="Times New Roman" w:cs="Times New Roman" w:eastAsia="Times New Roman" w:hAnsi="Times New Roman"/>
          <w:sz w:val="22"/>
          <w:szCs w:val="22"/>
        </w:rPr>
        <w:t xml:space="preserve">The frame analysis exposes a final classification problem: the Frame C Cascade-led regime mixes distinct generating processes, and the comparative design requires them separated. The decomposition is performed by a time-symmetric mechanism tree — a per-year classification whose every leaf is a measurable flow property and which contains no reference to the census year in which it is applied. This repairs a definitional asymmetry in an earlier iteration of the design, in which a genuine-cascade profile was derived from the 2011 comparison and an exodus profile from the 2021 anomaly.</w:t>
      </w:r>
    </w:p>
    <w:p>
      <w:pPr>
        <w:spacing w:after="160" w:line="300" w:lineRule="auto"/>
        <w:jc w:val="both"/>
      </w:pPr>
      <w:r>
        <w:rPr>
          <w:rFonts w:ascii="Times New Roman" w:cs="Times New Roman" w:eastAsia="Times New Roman" w:hAnsi="Times New Roman"/>
          <w:sz w:val="22"/>
          <w:szCs w:val="22"/>
        </w:rPr>
        <w:t xml:space="preserve">Each Frame C Cascade-led MSOA is first split on its </w:t>
      </w:r>
      <w:r>
        <w:rPr>
          <w:rFonts w:ascii="Times New Roman" w:cs="Times New Roman" w:eastAsia="Times New Roman" w:hAnsi="Times New Roman"/>
          <w:b/>
          <w:bCs/>
          <w:sz w:val="22"/>
          <w:szCs w:val="22"/>
        </w:rPr>
        <w:t xml:space="preserve">cascade inflow share</w:t>
      </w:r>
      <w:r>
        <w:rPr>
          <w:rFonts w:ascii="Times New Roman" w:cs="Times New Roman" w:eastAsia="Times New Roman" w:hAnsi="Times New Roman"/>
          <w:sz w:val="22"/>
          <w:szCs w:val="22"/>
        </w:rPr>
        <w:t xml:space="preserve">, the proportion of its cascade churn contributed by wealthier arrivals. MSOAs at or above 0.25 are </w:t>
      </w:r>
      <w:r>
        <w:rPr>
          <w:rFonts w:ascii="Times New Roman" w:cs="Times New Roman" w:eastAsia="Times New Roman" w:hAnsi="Times New Roman"/>
          <w:i/>
          <w:iCs/>
          <w:sz w:val="22"/>
          <w:szCs w:val="22"/>
        </w:rPr>
        <w:t xml:space="preserve">inflow-led</w:t>
      </w:r>
      <w:r>
        <w:rPr>
          <w:rFonts w:ascii="Times New Roman" w:cs="Times New Roman" w:eastAsia="Times New Roman" w:hAnsi="Times New Roman"/>
          <w:sz w:val="22"/>
          <w:szCs w:val="22"/>
        </w:rPr>
        <w:t xml:space="preserve">, subdivided into an </w:t>
      </w:r>
      <w:r>
        <w:rPr>
          <w:rFonts w:ascii="Times New Roman" w:cs="Times New Roman" w:eastAsia="Times New Roman" w:hAnsi="Times New Roman"/>
          <w:b/>
          <w:bCs/>
          <w:sz w:val="22"/>
          <w:szCs w:val="22"/>
        </w:rPr>
        <w:t xml:space="preserve">inflow-driven</w:t>
      </w:r>
      <w:r>
        <w:rPr>
          <w:rFonts w:ascii="Times New Roman" w:cs="Times New Roman" w:eastAsia="Times New Roman" w:hAnsi="Times New Roman"/>
          <w:sz w:val="22"/>
          <w:szCs w:val="22"/>
        </w:rPr>
        <w:t xml:space="preserve"> leaf (also Cascade-led under Frame A, i.e. frame-robust) and a </w:t>
      </w:r>
      <w:r>
        <w:rPr>
          <w:rFonts w:ascii="Times New Roman" w:cs="Times New Roman" w:eastAsia="Times New Roman" w:hAnsi="Times New Roman"/>
          <w:b/>
          <w:bCs/>
          <w:sz w:val="22"/>
          <w:szCs w:val="22"/>
        </w:rPr>
        <w:t xml:space="preserve">frame-sensitive</w:t>
      </w:r>
      <w:r>
        <w:rPr>
          <w:rFonts w:ascii="Times New Roman" w:cs="Times New Roman" w:eastAsia="Times New Roman" w:hAnsi="Times New Roman"/>
          <w:sz w:val="22"/>
          <w:szCs w:val="22"/>
        </w:rPr>
        <w:t xml:space="preserve"> residual; MSOAs below 0.25 are </w:t>
      </w:r>
      <w:r>
        <w:rPr>
          <w:rFonts w:ascii="Times New Roman" w:cs="Times New Roman" w:eastAsia="Times New Roman" w:hAnsi="Times New Roman"/>
          <w:i/>
          <w:iCs/>
          <w:sz w:val="22"/>
          <w:szCs w:val="22"/>
        </w:rPr>
        <w:t xml:space="preserve">outflow-dominated</w:t>
      </w:r>
      <w:r>
        <w:rPr>
          <w:rFonts w:ascii="Times New Roman" w:cs="Times New Roman" w:eastAsia="Times New Roman" w:hAnsi="Times New Roman"/>
          <w:sz w:val="22"/>
          <w:szCs w:val="22"/>
        </w:rPr>
        <w:t xml:space="preserve">, subdivided by the </w:t>
      </w:r>
      <w:r>
        <w:rPr>
          <w:rFonts w:ascii="Times New Roman" w:cs="Times New Roman" w:eastAsia="Times New Roman" w:hAnsi="Times New Roman"/>
          <w:b/>
          <w:bCs/>
          <w:sz w:val="22"/>
          <w:szCs w:val="22"/>
        </w:rPr>
        <w:t xml:space="preserve">external arm share</w:t>
      </w:r>
      <w:r>
        <w:rPr>
          <w:rFonts w:ascii="Times New Roman" w:cs="Times New Roman" w:eastAsia="Times New Roman" w:hAnsi="Times New Roman"/>
          <w:sz w:val="22"/>
          <w:szCs w:val="22"/>
        </w:rPr>
        <w:t xml:space="preserve"> — the proportion of the poorer-directed outflow arm going to the external node — into </w:t>
      </w:r>
      <w:r>
        <w:rPr>
          <w:rFonts w:ascii="Times New Roman" w:cs="Times New Roman" w:eastAsia="Times New Roman" w:hAnsi="Times New Roman"/>
          <w:b/>
          <w:bCs/>
          <w:sz w:val="22"/>
          <w:szCs w:val="22"/>
        </w:rPr>
        <w:t xml:space="preserve">external-majority</w:t>
      </w:r>
      <w:r>
        <w:rPr>
          <w:rFonts w:ascii="Times New Roman" w:cs="Times New Roman" w:eastAsia="Times New Roman" w:hAnsi="Times New Roman"/>
          <w:sz w:val="22"/>
          <w:szCs w:val="22"/>
        </w:rPr>
        <w:t xml:space="preserve"> (≥ 0.5) and </w:t>
      </w:r>
      <w:r>
        <w:rPr>
          <w:rFonts w:ascii="Times New Roman" w:cs="Times New Roman" w:eastAsia="Times New Roman" w:hAnsi="Times New Roman"/>
          <w:b/>
          <w:bCs/>
          <w:sz w:val="22"/>
          <w:szCs w:val="22"/>
        </w:rPr>
        <w:t xml:space="preserve">internal-majority</w:t>
      </w:r>
      <w:r>
        <w:rPr>
          <w:rFonts w:ascii="Times New Roman" w:cs="Times New Roman" w:eastAsia="Times New Roman" w:hAnsi="Times New Roman"/>
          <w:sz w:val="22"/>
          <w:szCs w:val="22"/>
        </w:rPr>
        <w:t xml:space="preserve"> leaves. The external arm share is defined only for MSOAs above national Decile 6, since the external node counts as poorer only from above; the exclusion is verified to be immaterial. Narrative labels are interpretations layered on top of the tree rather than categories within it: a </w:t>
      </w:r>
      <w:r>
        <w:rPr>
          <w:rFonts w:ascii="Times New Roman" w:cs="Times New Roman" w:eastAsia="Times New Roman" w:hAnsi="Times New Roman"/>
          <w:i/>
          <w:iCs/>
          <w:sz w:val="22"/>
          <w:szCs w:val="22"/>
        </w:rPr>
        <w:t xml:space="preserve">genuine cascade</w:t>
      </w:r>
      <w:r>
        <w:rPr>
          <w:rFonts w:ascii="Times New Roman" w:cs="Times New Roman" w:eastAsia="Times New Roman" w:hAnsi="Times New Roman"/>
          <w:sz w:val="22"/>
          <w:szCs w:val="22"/>
        </w:rPr>
        <w:t xml:space="preserve"> is an MSOA occupying the inflow-driven leaf in both census years, and the </w:t>
      </w:r>
      <w:r>
        <w:rPr>
          <w:rFonts w:ascii="Times New Roman" w:cs="Times New Roman" w:eastAsia="Times New Roman" w:hAnsi="Times New Roman"/>
          <w:i/>
          <w:iCs/>
          <w:sz w:val="22"/>
          <w:szCs w:val="22"/>
        </w:rPr>
        <w:t xml:space="preserve">exodus</w:t>
      </w:r>
      <w:r>
        <w:rPr>
          <w:rFonts w:ascii="Times New Roman" w:cs="Times New Roman" w:eastAsia="Times New Roman" w:hAnsi="Times New Roman"/>
          <w:sz w:val="22"/>
          <w:szCs w:val="22"/>
        </w:rPr>
        <w:t xml:space="preserve"> reading attaches to the 2021 external-majority leaf, licensed by the observed shift in London’s external migration exchange, with the 2011 members of that leaf serving as the pre-shift baseline.</w:t>
      </w:r>
    </w:p>
    <w:p>
      <w:pPr>
        <w:spacing w:after="160" w:line="300" w:lineRule="auto"/>
        <w:jc w:val="both"/>
      </w:pPr>
      <w:r>
        <w:rPr>
          <w:rFonts w:ascii="Times New Roman" w:cs="Times New Roman" w:eastAsia="Times New Roman" w:hAnsi="Times New Roman"/>
          <w:sz w:val="22"/>
          <w:szCs w:val="22"/>
        </w:rPr>
        <w:t xml:space="preserve">The two thresholds are justified in deliberately different ways, each labelled for what it is. The inflow-share cut of 0.25 is located by the data: the inflow-share distribution among frame-robust Cascade-led MSOAs is bimodal, separated by an interval that is empty in both censuses independently, so any threshold inside the shared gap yields an identical classification — whereas a midline cut of 0.5 would be wrong in principle, since under the chain-displacement mechanism (Marcuse, 1985) the outflow arm is expected to be comparable to or larger than the inflow arm. The external-arm cut of 0.5 has no empirical gap and is declared as a majority convention — the unique value at which the class label is literally true — defended by a ±0.05 sensitivity band under which any qualitative finding the threshold feeds must survive every cut. The tree thereby separates a genuine gentrification-cascade profile (inflow-led, frame-robust, persistent) from two outflow-dominated profiles that a coarser analysis would conflate — a national-ladder artefact and a literal exodus — and its leaf structure feeds directly into the mechanism-resolved benchmark comparison of Section 3.11.</w:t>
      </w:r>
    </w:p>
    <w:p>
      <w:pPr>
        <w:pStyle w:val="Heading2"/>
        <w:spacing w:after="160" w:before="300"/>
      </w:pPr>
      <w:r>
        <w:rPr>
          <w:rFonts w:ascii="Times New Roman" w:cs="Times New Roman" w:eastAsia="Times New Roman" w:hAnsi="Times New Roman"/>
          <w:b/>
          <w:bCs/>
          <w:color w:val="000000"/>
          <w:sz w:val="26"/>
          <w:szCs w:val="26"/>
        </w:rPr>
        <w:t xml:space="preserve">3.11 Validation and Comparative Design</w:t>
      </w:r>
    </w:p>
    <w:p>
      <w:pPr>
        <w:spacing w:after="160" w:line="300" w:lineRule="auto"/>
        <w:jc w:val="both"/>
      </w:pPr>
      <w:r>
        <w:rPr>
          <w:rFonts w:ascii="Times New Roman" w:cs="Times New Roman" w:eastAsia="Times New Roman" w:hAnsi="Times New Roman"/>
          <w:sz w:val="22"/>
          <w:szCs w:val="22"/>
        </w:rPr>
        <w:t xml:space="preserve">The final stage asks what the flow classification measures. If the cascade signature genuinely captures gentrification, it should align with independent measures of neighbourhood ascent; systematic divergence would indicate that the flow lens measures a distinct process. Both outcomes are informative under the study’s design.</w:t>
      </w:r>
    </w:p>
    <w:p>
      <w:pPr>
        <w:pStyle w:val="Heading3"/>
        <w:spacing w:after="120" w:before="220"/>
      </w:pPr>
      <w:r>
        <w:rPr>
          <w:rFonts w:ascii="Times New Roman" w:cs="Times New Roman" w:eastAsia="Times New Roman" w:hAnsi="Times New Roman"/>
          <w:b/>
          <w:bCs/>
          <w:i/>
          <w:iCs/>
          <w:color w:val="000000"/>
          <w:sz w:val="24"/>
          <w:szCs w:val="24"/>
        </w:rPr>
        <w:t xml:space="preserve">3.11.1 The deprivation-change outcome and statistical strategy</w:t>
      </w:r>
    </w:p>
    <w:p>
      <w:pPr>
        <w:spacing w:after="160" w:line="300" w:lineRule="auto"/>
        <w:jc w:val="both"/>
      </w:pPr>
      <w:r>
        <w:rPr>
          <w:rFonts w:ascii="Times New Roman" w:cs="Times New Roman" w:eastAsia="Times New Roman" w:hAnsi="Times New Roman"/>
          <w:sz w:val="22"/>
          <w:szCs w:val="22"/>
        </w:rPr>
        <w:t xml:space="preserve">The principal outcome is </w:t>
      </w:r>
      <w:r>
        <w:rPr>
          <w:rFonts w:ascii="Times New Roman" w:cs="Times New Roman" w:eastAsia="Times New Roman" w:hAnsi="Times New Roman"/>
          <w:b/>
          <w:bCs/>
          <w:sz w:val="22"/>
          <w:szCs w:val="22"/>
        </w:rPr>
        <w:t xml:space="preserve">IMD Percentile Change</w:t>
      </w:r>
      <w:r>
        <w:rPr>
          <w:rFonts w:ascii="Times New Roman" w:cs="Times New Roman" w:eastAsia="Times New Roman" w:hAnsi="Times New Roman"/>
          <w:sz w:val="22"/>
          <w:szCs w:val="22"/>
        </w:rPr>
        <w:t xml:space="preserve">: the change in an MSOA’s national deprivation percentile between IMD 2010 and IMD 2019, with percentiles used to ensure comparability across releases. Since the 2019 release is never used in metric construction, the validation is non-circular by design. Given the skewed distributions of migration-derived metrics, rank-based methods are used throughout: Spearman correlations between each metric and the outcome; partial correlations controlling for baseline decile, to assess which metrics carry information beyond hierarchy position; Kruskal–Wallis tests comparing outcome distributions across the four regimes, in each period and frame; and prior structural checks confirming the expected decile profiles (inverted-U for churn, monotonic for balance metrics).</w:t>
      </w:r>
    </w:p>
    <w:p>
      <w:pPr>
        <w:pStyle w:val="Heading3"/>
        <w:spacing w:after="120" w:before="220"/>
      </w:pPr>
      <w:r>
        <w:rPr>
          <w:rFonts w:ascii="Times New Roman" w:cs="Times New Roman" w:eastAsia="Times New Roman" w:hAnsi="Times New Roman"/>
          <w:b/>
          <w:bCs/>
          <w:i/>
          <w:iCs/>
          <w:color w:val="000000"/>
          <w:sz w:val="24"/>
          <w:szCs w:val="24"/>
        </w:rPr>
        <w:t xml:space="preserve">3.11.2 Comparison with an attribute-based gentrification classification</w:t>
      </w:r>
    </w:p>
    <w:p>
      <w:pPr>
        <w:spacing w:after="160" w:line="300" w:lineRule="auto"/>
        <w:jc w:val="both"/>
      </w:pPr>
      <w:r>
        <w:rPr>
          <w:rFonts w:ascii="Times New Roman" w:cs="Times New Roman" w:eastAsia="Times New Roman" w:hAnsi="Times New Roman"/>
          <w:sz w:val="22"/>
          <w:szCs w:val="22"/>
        </w:rPr>
        <w:t xml:space="preserve">The external benchmark is the classification of Yee and Dennett (2022). Their LSOA labels are aggregated to MSOAs by a modal rule — an MSOA is GEN only if GEN is the most common label among its LSOAs — with a looser any-GEN-LSOA aggregation as a sensitivity check. The temporal role of each census leg is fixed in advance: because the labels are built from 2001–2011 attribute change, the 2011 flow leg constitutes a </w:t>
      </w:r>
      <w:r>
        <w:rPr>
          <w:rFonts w:ascii="Times New Roman" w:cs="Times New Roman" w:eastAsia="Times New Roman" w:hAnsi="Times New Roman"/>
          <w:b/>
          <w:bCs/>
          <w:sz w:val="22"/>
          <w:szCs w:val="22"/>
        </w:rPr>
        <w:t xml:space="preserve">concurrent validation</w:t>
      </w:r>
      <w:r>
        <w:rPr>
          <w:rFonts w:ascii="Times New Roman" w:cs="Times New Roman" w:eastAsia="Times New Roman" w:hAnsi="Times New Roman"/>
          <w:sz w:val="22"/>
          <w:szCs w:val="22"/>
        </w:rPr>
        <w:t xml:space="preserve"> and the 2021 leg a </w:t>
      </w:r>
      <w:r>
        <w:rPr>
          <w:rFonts w:ascii="Times New Roman" w:cs="Times New Roman" w:eastAsia="Times New Roman" w:hAnsi="Times New Roman"/>
          <w:b/>
          <w:bCs/>
          <w:sz w:val="22"/>
          <w:szCs w:val="22"/>
        </w:rPr>
        <w:t xml:space="preserve">decade-later persistence test</w:t>
      </w:r>
      <w:r>
        <w:rPr>
          <w:rFonts w:ascii="Times New Roman" w:cs="Times New Roman" w:eastAsia="Times New Roman" w:hAnsi="Times New Roman"/>
          <w:sz w:val="22"/>
          <w:szCs w:val="22"/>
        </w:rPr>
        <w:t xml:space="preserve">; the 2021 leg is never interpreted as validating 2021 flows against 2011-era labels.</w:t>
      </w:r>
    </w:p>
    <w:p>
      <w:pPr>
        <w:spacing w:after="160" w:line="300" w:lineRule="auto"/>
        <w:jc w:val="both"/>
      </w:pPr>
      <w:r>
        <w:rPr>
          <w:rFonts w:ascii="Times New Roman" w:cs="Times New Roman" w:eastAsia="Times New Roman" w:hAnsi="Times New Roman"/>
          <w:sz w:val="22"/>
          <w:szCs w:val="22"/>
        </w:rPr>
        <w:t xml:space="preserve">Correspondence is quantified at two resolutions. At the pooled resolution, the four-way typology is cross-tabulated against the attribute classes, with Cramér’s V, the Adjusted Rand Index, and lift ratios; because whole-class statistics are dominated by the benchmark’s large Stable base (~71% of MSOAs) and are not meaningful at mechanism-level sample sizes, V and ARI are reported once and then retired in favour of enrichment statistics. At the mechanism resolution, each leaf of the tree (together with the reference regimes and the genuine-persistent set) is tested for enrichment of attribute-defined gentrification: the lift ratio P(GEN | group) / P(GEN), tested with Fisher’s exact test — exact at any sample size — with Benjamini–Hochberg correction across the family of leaf tests, under both aggregations and both census legs. The benchmark’s Class-3 gentrification subtypes (super-gentrification, mainstream, marginal) are additionally carried to MSOA scale as any-LSOA flags, since Class-3 labels never win a plurality at that scale, and each subtype is tested against each leaf — asking whether distinct flow mechanisms align with distinct, theoretically recognised variants of gentrification. Finally, a two-way convergence test cross-classifies MSOAs by GEN and Cascade-led status and compares mean IMD Percentile Change across the four cells, testing whether a cascade signature reinforces, is orthogonal to, or attenuates the trajectory associated with attribute-defined gentrification.</w:t>
      </w:r>
    </w:p>
    <w:p>
      <w:pPr>
        <w:pStyle w:val="Heading3"/>
        <w:spacing w:after="120" w:before="220"/>
      </w:pPr>
      <w:r>
        <w:rPr>
          <w:rFonts w:ascii="Times New Roman" w:cs="Times New Roman" w:eastAsia="Times New Roman" w:hAnsi="Times New Roman"/>
          <w:b/>
          <w:bCs/>
          <w:i/>
          <w:iCs/>
          <w:color w:val="000000"/>
          <w:sz w:val="24"/>
          <w:szCs w:val="24"/>
        </w:rPr>
        <w:t xml:space="preserve">3.11.3 Secondary benchmark and case diagnostics</w:t>
      </w:r>
    </w:p>
    <w:p>
      <w:pPr>
        <w:spacing w:after="160" w:line="300" w:lineRule="auto"/>
        <w:jc w:val="both"/>
      </w:pPr>
      <w:r>
        <w:rPr>
          <w:rFonts w:ascii="Times New Roman" w:cs="Times New Roman" w:eastAsia="Times New Roman" w:hAnsi="Times New Roman"/>
          <w:sz w:val="22"/>
          <w:szCs w:val="22"/>
        </w:rPr>
        <w:t xml:space="preserve">A second, occupational benchmark — the 2011–2021 change in the share of employed residents in SOC major groups 1–3 — is compared with the typology under all three frames. Because occupational upgrading was near-universal across London, the measure has compressed variance, and the full analysis is reported in Appendix F. Exemplar MSOAs from each mechanism leaf are additionally examined through alluvial decompositions of their full flow profiles across frames and census years, annotated with the leaf-splitting statistics; a worked contrast appears in the Results chapter and the full roster in Appendix G.</w:t>
      </w:r>
    </w:p>
    <w:p>
      <w:pPr>
        <w:pStyle w:val="Heading3"/>
        <w:spacing w:after="120" w:before="220"/>
      </w:pPr>
      <w:r>
        <w:rPr>
          <w:rFonts w:ascii="Times New Roman" w:cs="Times New Roman" w:eastAsia="Times New Roman" w:hAnsi="Times New Roman"/>
          <w:b/>
          <w:bCs/>
          <w:i/>
          <w:iCs/>
          <w:color w:val="000000"/>
          <w:sz w:val="24"/>
          <w:szCs w:val="24"/>
        </w:rPr>
        <w:t xml:space="preserve">3.11.4 Interpretive status of the comparisons</w:t>
      </w:r>
    </w:p>
    <w:p>
      <w:pPr>
        <w:spacing w:after="160" w:line="300" w:lineRule="auto"/>
        <w:jc w:val="both"/>
      </w:pPr>
      <w:r>
        <w:rPr>
          <w:rFonts w:ascii="Times New Roman" w:cs="Times New Roman" w:eastAsia="Times New Roman" w:hAnsi="Times New Roman"/>
          <w:sz w:val="22"/>
          <w:szCs w:val="22"/>
        </w:rPr>
        <w:t xml:space="preserve">The comparisons are interpretive as well as statistical. Overlap identifies where migration-based restructuring corresponds with attribute-measured change; divergences are treated not as classification failure but as substantive findings about the difference between measuring who lives in a place and measuring how the hierarchy is reshuffled through it. The comparisons contextualise the empirical meaning of the flow indicators rather than establishing equivalence between frameworks.</w:t>
      </w:r>
    </w:p>
    <w:p>
      <w:pPr>
        <w:pStyle w:val="Heading2"/>
        <w:spacing w:after="160" w:before="300"/>
      </w:pPr>
      <w:r>
        <w:rPr>
          <w:rFonts w:ascii="Times New Roman" w:cs="Times New Roman" w:eastAsia="Times New Roman" w:hAnsi="Times New Roman"/>
          <w:b/>
          <w:bCs/>
          <w:color w:val="000000"/>
          <w:sz w:val="26"/>
          <w:szCs w:val="26"/>
        </w:rPr>
        <w:t xml:space="preserve">3.12 Methodological Considerations and Limitations</w:t>
      </w:r>
    </w:p>
    <w:p>
      <w:pPr>
        <w:spacing w:after="160" w:line="300" w:lineRule="auto"/>
        <w:jc w:val="both"/>
      </w:pPr>
      <w:r>
        <w:rPr>
          <w:rFonts w:ascii="Times New Roman" w:cs="Times New Roman" w:eastAsia="Times New Roman" w:hAnsi="Times New Roman"/>
          <w:sz w:val="22"/>
          <w:szCs w:val="22"/>
        </w:rPr>
        <w:t xml:space="preserve">Three limitations are central to interpretation. The first is ecological inference: the deprivation position of an origin area is a noisy proxy for the socio-economic position of the mover (Easton et al., 2020) — not only a caveat but a candidate explanation for divergence between flow-based and attribute-based measures. The framework identifies structural mobility asymmetries, not displacement events or gentrifier characteristics; and because the directional metrics exclude intra-decile relocations, it is insensitive to horizontal displacement and likely underestimates the total scale of displacement-related mobility.</w:t>
      </w:r>
    </w:p>
    <w:p>
      <w:pPr>
        <w:spacing w:after="160" w:line="300" w:lineRule="auto"/>
        <w:jc w:val="both"/>
      </w:pPr>
      <w:r>
        <w:rPr>
          <w:rFonts w:ascii="Times New Roman" w:cs="Times New Roman" w:eastAsia="Times New Roman" w:hAnsi="Times New Roman"/>
          <w:sz w:val="22"/>
          <w:szCs w:val="22"/>
        </w:rPr>
        <w:t xml:space="preserve">The second concerns the 2021 Census, which was collected under lockdown. This matters through two channels that must be kept distinct. Substantively, pandemic-era relocation is part of the 2021 signal and is analysed as such through the frame decomposition. Metrologically, lockdown-period collection and disclosure control degrade the 2021 flow estimates, so relative spatial patterning is prioritised over absolute cross-year magnitudes — and the design cannot distinguish a durable structural shift from a transient pandemic artefact on the basis of a single post-pandemic observation.</w:t>
      </w:r>
    </w:p>
    <w:p>
      <w:pPr>
        <w:spacing w:after="160" w:line="300" w:lineRule="auto"/>
        <w:jc w:val="both"/>
      </w:pPr>
      <w:r>
        <w:rPr>
          <w:rFonts w:ascii="Times New Roman" w:cs="Times New Roman" w:eastAsia="Times New Roman" w:hAnsi="Times New Roman"/>
          <w:sz w:val="22"/>
          <w:szCs w:val="22"/>
        </w:rPr>
        <w:t xml:space="preserve">The third is a structural asymmetry in the mechanism tree: its inflow-led branch is closed to the highest deciles, whose median wealthier-inflow share falls to zero at national Decile 10. Alignments between top-decile neighbourhood types and the outflow-dominated leaves are therefore part substance and part construction, so claims for such areas are limited to whether the displacement signature is present, not to causal direction, and case-level audit remains the appropriate check wherever a small named set anchors a substantive claim (Heathrow-adjacent employment churn being the concrete instance).</w:t>
      </w:r>
    </w:p>
    <w:p>
      <w:pPr>
        <w:spacing w:after="160" w:line="300" w:lineRule="auto"/>
        <w:jc w:val="both"/>
      </w:pPr>
      <w:r>
        <w:rPr>
          <w:rFonts w:ascii="Times New Roman" w:cs="Times New Roman" w:eastAsia="Times New Roman" w:hAnsi="Times New Roman"/>
          <w:sz w:val="22"/>
          <w:szCs w:val="22"/>
        </w:rPr>
        <w:t xml:space="preserve">Further considerations are handled by design and bounded by sensitivity analysis: the ageing 2010 baseline (necessary for non-circularity, bounded by a 2019-baseline re-derivation); the Modifiable Areal Unit Problem (Openshaw and Taylor, 1979) and the single-node representation of non-London areas; threshold sensitivity across the typology and tree (Appendix D); spatial autocorrelation, which conventional tests do not account for (Anselin, 1988; Zhu, 2023); and the temporal mismatch between the flow legs and the outcome window, in consequence of which the analysis evaluates consistency between flow signatures and trajectories rather than establishing causal relationships.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2026-07-18T12:20:35.619Z</dcterms:created>
  <dcterms:modified xsi:type="dcterms:W3CDTF">2026-07-18T12:20:35.640Z</dcterms:modified>
</cp:coreProperties>
</file>

<file path=docProps/custom.xml><?xml version="1.0" encoding="utf-8"?>
<Properties xmlns="http://schemas.openxmlformats.org/officeDocument/2006/custom-properties" xmlns:vt="http://schemas.openxmlformats.org/officeDocument/2006/docPropsVTypes"/>
</file>