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A90A" w14:textId="77777777" w:rsidR="00387F71" w:rsidRPr="00100028" w:rsidRDefault="00387F71" w:rsidP="00387F71">
      <w:pPr>
        <w:rPr>
          <w:rFonts w:cstheme="majorHAnsi"/>
        </w:rPr>
      </w:pPr>
      <w:r w:rsidRPr="00100028">
        <w:rPr>
          <w:rFonts w:cstheme="majorHAnsi"/>
          <w:noProof/>
        </w:rPr>
        <w:drawing>
          <wp:inline distT="114300" distB="114300" distL="114300" distR="114300" wp14:anchorId="785D2C9F" wp14:editId="2985CB78">
            <wp:extent cx="5731200" cy="7200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7200900"/>
                    </a:xfrm>
                    <a:prstGeom prst="rect">
                      <a:avLst/>
                    </a:prstGeom>
                    <a:ln/>
                  </pic:spPr>
                </pic:pic>
              </a:graphicData>
            </a:graphic>
          </wp:inline>
        </w:drawing>
      </w:r>
    </w:p>
    <w:p w14:paraId="7E6A9F26" w14:textId="77777777" w:rsidR="00387F71" w:rsidRPr="00100028" w:rsidRDefault="00387F71" w:rsidP="00387F71">
      <w:pPr>
        <w:rPr>
          <w:rFonts w:cstheme="majorHAnsi"/>
        </w:rPr>
      </w:pPr>
    </w:p>
    <w:p w14:paraId="5B686FB0" w14:textId="77777777" w:rsidR="00387F71" w:rsidRPr="00100028" w:rsidRDefault="00387F71" w:rsidP="00387F71">
      <w:pPr>
        <w:rPr>
          <w:rFonts w:cstheme="majorHAnsi"/>
        </w:rPr>
      </w:pPr>
      <w:r w:rsidRPr="00100028">
        <w:rPr>
          <w:rFonts w:cstheme="majorHAnsi"/>
        </w:rPr>
        <w:t xml:space="preserve">Gentrification operates fundamentally as a process of residential restructuring in which neighbourhood socio-economic compositions are transformed through the interaction of housing market dynamics, capital investment, and population movement. Inherently linked to this restructuring is the phenomenon of displacement, which extends beyond observable instances of forced removal. As </w:t>
      </w:r>
      <w:r w:rsidRPr="00100028">
        <w:rPr>
          <w:rFonts w:cstheme="majorHAnsi"/>
          <w:highlight w:val="yellow"/>
        </w:rPr>
        <w:t>Marcuse (1985)</w:t>
      </w:r>
      <w:r w:rsidRPr="00100028">
        <w:rPr>
          <w:rFonts w:cstheme="majorHAnsi"/>
        </w:rPr>
        <w:t xml:space="preserve"> argues, displacement </w:t>
      </w:r>
      <w:r w:rsidRPr="00100028">
        <w:rPr>
          <w:rFonts w:cstheme="majorHAnsi"/>
        </w:rPr>
        <w:lastRenderedPageBreak/>
        <w:t xml:space="preserve">encompasses a broader spectrum of structural pressures, including </w:t>
      </w:r>
      <w:commentRangeStart w:id="0"/>
      <w:r w:rsidRPr="00100028">
        <w:rPr>
          <w:rFonts w:cstheme="majorHAnsi"/>
        </w:rPr>
        <w:t>direct last-resident displacement, direct chain displacement, exclusionary displacement, and the anticipatory pressure experienced by residents as neighbourhood conditions transform</w:t>
      </w:r>
      <w:commentRangeEnd w:id="0"/>
      <w:r w:rsidRPr="00100028">
        <w:rPr>
          <w:rStyle w:val="CommentReference"/>
          <w:rFonts w:cstheme="majorHAnsi"/>
          <w:sz w:val="24"/>
          <w:szCs w:val="24"/>
        </w:rPr>
        <w:commentReference w:id="0"/>
      </w:r>
      <w:r w:rsidRPr="00100028">
        <w:rPr>
          <w:rFonts w:cstheme="majorHAnsi"/>
        </w:rPr>
        <w:t xml:space="preserve">. </w:t>
      </w:r>
    </w:p>
    <w:p w14:paraId="50918894" w14:textId="77777777" w:rsidR="00387F71" w:rsidRPr="00100028" w:rsidRDefault="00387F71" w:rsidP="00387F71">
      <w:pPr>
        <w:rPr>
          <w:rFonts w:cstheme="majorHAnsi"/>
        </w:rPr>
      </w:pPr>
      <w:r w:rsidRPr="00100028">
        <w:rPr>
          <w:rFonts w:cstheme="majorHAnsi"/>
        </w:rPr>
        <w:t xml:space="preserve">Despite this theoretical complexity, existing quantitative studies of neighbourhood change in London, including Yee and Dennett (2022) and subsequent extension by Hong and Dennett (2023), primarily conceptualise restructuring through changes in neighbourhood attributes such as housing prices, occupational composition, demographic transition, and </w:t>
      </w:r>
      <w:commentRangeStart w:id="1"/>
      <w:r w:rsidRPr="00100028">
        <w:rPr>
          <w:rFonts w:cstheme="majorHAnsi"/>
        </w:rPr>
        <w:t>residential turnover</w:t>
      </w:r>
      <w:commentRangeEnd w:id="1"/>
      <w:r w:rsidRPr="00100028">
        <w:rPr>
          <w:rStyle w:val="CommentReference"/>
          <w:rFonts w:cstheme="majorHAnsi"/>
          <w:sz w:val="24"/>
          <w:szCs w:val="24"/>
        </w:rPr>
        <w:commentReference w:id="1"/>
      </w:r>
      <w:r w:rsidRPr="00100028">
        <w:rPr>
          <w:rFonts w:cstheme="majorHAnsi"/>
        </w:rPr>
        <w:t xml:space="preserve">. These approaches primarily capture the outcomes of neighbourhood restructuring once socio-economic upgrading becomes observable in the characteristics of places and populations. Because attribute-level upgrading may </w:t>
      </w:r>
      <w:proofErr w:type="gramStart"/>
      <w:r w:rsidRPr="00100028">
        <w:rPr>
          <w:rFonts w:cstheme="majorHAnsi"/>
        </w:rPr>
        <w:t>lag behind</w:t>
      </w:r>
      <w:proofErr w:type="gramEnd"/>
      <w:r w:rsidRPr="00100028">
        <w:rPr>
          <w:rFonts w:cstheme="majorHAnsi"/>
        </w:rPr>
        <w:t xml:space="preserve"> underlying migration restructuring processes, areas experiencing </w:t>
      </w:r>
      <w:commentRangeStart w:id="2"/>
      <w:r w:rsidRPr="00100028">
        <w:rPr>
          <w:rFonts w:cstheme="majorHAnsi"/>
        </w:rPr>
        <w:t>asymmetric inflows from less deprived neighbourhoods alongside disproportionate outflows toward more deprived areas may not yet exhibit sufficiently visible socio-economic transformation to register within conventional gentrification classifications</w:t>
      </w:r>
      <w:commentRangeEnd w:id="2"/>
      <w:r w:rsidRPr="00100028">
        <w:rPr>
          <w:rStyle w:val="CommentReference"/>
          <w:rFonts w:cstheme="majorHAnsi"/>
          <w:sz w:val="24"/>
          <w:szCs w:val="24"/>
        </w:rPr>
        <w:commentReference w:id="2"/>
      </w:r>
      <w:r w:rsidRPr="00100028">
        <w:rPr>
          <w:rFonts w:cstheme="majorHAnsi"/>
        </w:rPr>
        <w:t>.</w:t>
      </w:r>
    </w:p>
    <w:p w14:paraId="7A318734" w14:textId="77777777" w:rsidR="00387F71" w:rsidRPr="00100028" w:rsidRDefault="00387F71" w:rsidP="00387F71">
      <w:pPr>
        <w:rPr>
          <w:rFonts w:cstheme="majorHAnsi"/>
        </w:rPr>
      </w:pPr>
      <w:r w:rsidRPr="00100028">
        <w:rPr>
          <w:rFonts w:cstheme="majorHAnsi"/>
        </w:rPr>
        <w:t xml:space="preserve">To address this methodological gap, this study develops a flow-centred </w:t>
      </w:r>
      <w:proofErr w:type="gramStart"/>
      <w:r w:rsidRPr="00100028">
        <w:rPr>
          <w:rFonts w:cstheme="majorHAnsi"/>
        </w:rPr>
        <w:t>framework  across</w:t>
      </w:r>
      <w:proofErr w:type="gramEnd"/>
      <w:r w:rsidRPr="00100028">
        <w:rPr>
          <w:rFonts w:cstheme="majorHAnsi"/>
        </w:rPr>
        <w:t xml:space="preserve"> London’s socio-economic hierarchy designed to identify restructuring </w:t>
      </w:r>
      <w:proofErr w:type="gramStart"/>
      <w:r w:rsidRPr="00100028">
        <w:rPr>
          <w:rFonts w:cstheme="majorHAnsi"/>
        </w:rPr>
        <w:t>pressures  prior</w:t>
      </w:r>
      <w:proofErr w:type="gramEnd"/>
      <w:r w:rsidRPr="00100028">
        <w:rPr>
          <w:rFonts w:cstheme="majorHAnsi"/>
        </w:rPr>
        <w:t xml:space="preserve"> to their full materialisation in neighbourhood composition. Specifically, the framework conceptualises displacement pressure as a relational mobility structure observable through asymmetric migration flows between neighbourhoods positioned differently within the urban deprivation hierarchy. As illustrated in the diagram, this framework translates structural urban processes (e.g. gentrification) into empirically observable migration patterns that can subsequently be evaluated against independent measures of neighbourhood socio-economic change.</w:t>
      </w:r>
    </w:p>
    <w:p w14:paraId="591CD63E" w14:textId="77777777" w:rsidR="00387F71" w:rsidRPr="00100028" w:rsidRDefault="00387F71" w:rsidP="00387F71">
      <w:pPr>
        <w:rPr>
          <w:rFonts w:cstheme="majorHAnsi"/>
          <w:b/>
          <w:bCs/>
          <w:color w:val="000000"/>
        </w:rPr>
      </w:pPr>
      <w:bookmarkStart w:id="3" w:name="_vkivlie67bx0" w:colFirst="0" w:colLast="0"/>
      <w:bookmarkEnd w:id="3"/>
      <w:r w:rsidRPr="00100028">
        <w:rPr>
          <w:rFonts w:cstheme="majorHAnsi"/>
          <w:b/>
          <w:bCs/>
          <w:color w:val="000000"/>
        </w:rPr>
        <w:t xml:space="preserve">1. Structural Premises </w:t>
      </w:r>
    </w:p>
    <w:p w14:paraId="4253E835" w14:textId="77777777" w:rsidR="00387F71" w:rsidRPr="00100028" w:rsidRDefault="00387F71" w:rsidP="00387F71">
      <w:pPr>
        <w:rPr>
          <w:rFonts w:cstheme="majorHAnsi"/>
        </w:rPr>
      </w:pPr>
      <w:r w:rsidRPr="00100028">
        <w:rPr>
          <w:rFonts w:cstheme="majorHAnsi"/>
        </w:rPr>
        <w:t xml:space="preserve">The framework begins with a set of macro-level structural conditions derived from theories of urban restructuring and displacement. Although these processes are not directly measured by the study, they establish the broader urban context within which neighbourhood transformation occurs. Structural processes, such as gentrification, uneven urban development reinvestment, and disinvestment, generate differentiated housing pressure across the urban system and contribute to the restructuring of residential space.  </w:t>
      </w:r>
    </w:p>
    <w:p w14:paraId="2800115F" w14:textId="77777777" w:rsidR="00387F71" w:rsidRPr="00100028" w:rsidRDefault="00387F71" w:rsidP="00387F71">
      <w:pPr>
        <w:rPr>
          <w:rFonts w:cstheme="majorHAnsi"/>
        </w:rPr>
      </w:pPr>
    </w:p>
    <w:p w14:paraId="25A7345E" w14:textId="77777777" w:rsidR="00387F71" w:rsidRPr="00100028" w:rsidRDefault="00387F71" w:rsidP="00387F71">
      <w:pPr>
        <w:rPr>
          <w:rFonts w:cstheme="majorHAnsi"/>
        </w:rPr>
      </w:pPr>
      <w:r w:rsidRPr="00100028">
        <w:rPr>
          <w:rFonts w:cstheme="majorHAnsi"/>
        </w:rPr>
        <w:t>These pressures operate within an existing socio-economic hierarchy structured though uneven distributions of deprivation and advantage. In this study, this hierarchy is operationalised using the Index of Multiple Deprivation (IMD), which provides a relational ordering of neighbourhoods across London’s urban structure.</w:t>
      </w:r>
    </w:p>
    <w:p w14:paraId="1A90BF3C" w14:textId="77777777" w:rsidR="00387F71" w:rsidRPr="00100028" w:rsidRDefault="00387F71" w:rsidP="00387F71">
      <w:pPr>
        <w:rPr>
          <w:rFonts w:cstheme="majorHAnsi"/>
        </w:rPr>
      </w:pPr>
    </w:p>
    <w:p w14:paraId="3E052668" w14:textId="77777777" w:rsidR="00387F71" w:rsidRPr="00100028" w:rsidRDefault="00387F71" w:rsidP="00387F71">
      <w:pPr>
        <w:rPr>
          <w:rFonts w:cstheme="majorHAnsi"/>
        </w:rPr>
      </w:pPr>
      <w:r w:rsidRPr="00100028">
        <w:rPr>
          <w:rFonts w:cstheme="majorHAnsi"/>
        </w:rPr>
        <w:t xml:space="preserve">The deprivation hierarchy conditions the spatial pathways through which displacement-related mobility may occur. Population movements are therefore not treated as spatially random, but as structured by directional relationship across the urban socio-economic gradient. Within this framework, the deprivation hierarchy functions not merely as a descriptive classification system, but as the broader structural field through which </w:t>
      </w:r>
      <w:commentRangeStart w:id="4"/>
      <w:r w:rsidRPr="00100028">
        <w:rPr>
          <w:rFonts w:cstheme="majorHAnsi"/>
        </w:rPr>
        <w:t>cascading</w:t>
      </w:r>
      <w:commentRangeEnd w:id="4"/>
      <w:r w:rsidR="00B71840" w:rsidRPr="00100028">
        <w:rPr>
          <w:rStyle w:val="CommentReference"/>
          <w:rFonts w:cstheme="majorHAnsi"/>
          <w:sz w:val="24"/>
          <w:szCs w:val="24"/>
        </w:rPr>
        <w:commentReference w:id="4"/>
      </w:r>
      <w:r w:rsidRPr="00100028">
        <w:rPr>
          <w:rFonts w:cstheme="majorHAnsi"/>
        </w:rPr>
        <w:t xml:space="preserve"> residential restructuring unfolds.</w:t>
      </w:r>
    </w:p>
    <w:p w14:paraId="669F33CD" w14:textId="77777777" w:rsidR="00387F71" w:rsidRPr="00100028" w:rsidRDefault="00387F71" w:rsidP="00387F71">
      <w:pPr>
        <w:rPr>
          <w:rFonts w:cstheme="majorHAnsi"/>
          <w:b/>
          <w:bCs/>
          <w:color w:val="000000"/>
        </w:rPr>
      </w:pPr>
      <w:bookmarkStart w:id="5" w:name="_gom5oqqwyek3" w:colFirst="0" w:colLast="0"/>
      <w:bookmarkEnd w:id="5"/>
      <w:r w:rsidRPr="00100028">
        <w:rPr>
          <w:rFonts w:cstheme="majorHAnsi"/>
          <w:b/>
          <w:bCs/>
          <w:color w:val="000000"/>
        </w:rPr>
        <w:t xml:space="preserve">2. Empirical Detection </w:t>
      </w:r>
    </w:p>
    <w:p w14:paraId="04933F61" w14:textId="06BE4030" w:rsidR="00387F71" w:rsidRPr="00100028" w:rsidRDefault="00387F71" w:rsidP="00387F71">
      <w:pPr>
        <w:rPr>
          <w:rFonts w:cstheme="majorHAnsi"/>
        </w:rPr>
      </w:pPr>
      <w:commentRangeStart w:id="6"/>
      <w:r w:rsidRPr="00100028">
        <w:rPr>
          <w:rFonts w:cstheme="majorHAnsi"/>
        </w:rPr>
        <w:t>The empirical component of the framework focuses on the observation of directional migration structures across the deprivation hierarchy.</w:t>
      </w:r>
      <w:r w:rsidR="00B71840">
        <w:rPr>
          <w:rFonts w:cstheme="majorHAnsi"/>
        </w:rPr>
        <w:t xml:space="preserve"> </w:t>
      </w:r>
      <w:r w:rsidRPr="00100028">
        <w:rPr>
          <w:rFonts w:cstheme="majorHAnsi"/>
        </w:rPr>
        <w:t xml:space="preserve">Using Census origin-destination migration data, this study analyses flows between neighbourhoods relative to a fixed deprivation baseline </w:t>
      </w:r>
      <w:proofErr w:type="gramStart"/>
      <w:r w:rsidRPr="00100028">
        <w:rPr>
          <w:rFonts w:cstheme="majorHAnsi"/>
        </w:rPr>
        <w:t>in order to</w:t>
      </w:r>
      <w:proofErr w:type="gramEnd"/>
      <w:r w:rsidRPr="00100028">
        <w:rPr>
          <w:rFonts w:cstheme="majorHAnsi"/>
        </w:rPr>
        <w:t xml:space="preserve"> identify directional migration asymmetries across London’s socio-economic structure.</w:t>
      </w:r>
      <w:commentRangeEnd w:id="6"/>
      <w:r w:rsidR="00B71840" w:rsidRPr="00100028">
        <w:rPr>
          <w:rStyle w:val="CommentReference"/>
          <w:rFonts w:cstheme="majorHAnsi"/>
          <w:sz w:val="24"/>
          <w:szCs w:val="24"/>
        </w:rPr>
        <w:commentReference w:id="6"/>
      </w:r>
    </w:p>
    <w:p w14:paraId="1FF3220A" w14:textId="77777777" w:rsidR="00387F71" w:rsidRPr="00100028" w:rsidRDefault="00387F71" w:rsidP="00387F71">
      <w:pPr>
        <w:rPr>
          <w:rFonts w:cstheme="majorHAnsi"/>
        </w:rPr>
      </w:pPr>
    </w:p>
    <w:p w14:paraId="4D6D9D25" w14:textId="77777777" w:rsidR="00387F71" w:rsidRPr="00100028" w:rsidRDefault="00387F71" w:rsidP="00387F71">
      <w:pPr>
        <w:rPr>
          <w:rFonts w:cstheme="majorHAnsi"/>
        </w:rPr>
      </w:pPr>
      <w:commentRangeStart w:id="7"/>
      <w:commentRangeStart w:id="8"/>
      <w:r w:rsidRPr="00100028">
        <w:rPr>
          <w:rFonts w:cstheme="majorHAnsi"/>
        </w:rPr>
        <w:t>Within this framework, inflows from less deprived neighbourhoods and outflows toward more deprived neighbourhoods represent distinct directional movements across urban hierarchy. The simultaneous co-occurrence of these asymmetric flows constitutes the empirical signature of cascading mobility structures associated with residential restructuring.</w:t>
      </w:r>
      <w:commentRangeEnd w:id="7"/>
      <w:r w:rsidR="00B71840" w:rsidRPr="00100028">
        <w:rPr>
          <w:rStyle w:val="CommentReference"/>
          <w:rFonts w:cstheme="majorHAnsi"/>
          <w:sz w:val="24"/>
          <w:szCs w:val="24"/>
        </w:rPr>
        <w:commentReference w:id="7"/>
      </w:r>
      <w:commentRangeEnd w:id="8"/>
      <w:r w:rsidR="007E28D9" w:rsidRPr="00100028">
        <w:rPr>
          <w:rStyle w:val="CommentReference"/>
          <w:rFonts w:cstheme="majorHAnsi"/>
          <w:sz w:val="24"/>
          <w:szCs w:val="24"/>
        </w:rPr>
        <w:commentReference w:id="8"/>
      </w:r>
    </w:p>
    <w:p w14:paraId="0132612C" w14:textId="77777777" w:rsidR="00387F71" w:rsidRPr="00100028" w:rsidRDefault="00387F71" w:rsidP="00387F71">
      <w:pPr>
        <w:rPr>
          <w:rFonts w:cstheme="majorHAnsi"/>
        </w:rPr>
      </w:pPr>
    </w:p>
    <w:p w14:paraId="04C68877" w14:textId="77777777" w:rsidR="00387F71" w:rsidRPr="00100028" w:rsidRDefault="00387F71" w:rsidP="00387F71">
      <w:pPr>
        <w:rPr>
          <w:rFonts w:cstheme="majorHAnsi"/>
        </w:rPr>
      </w:pPr>
      <w:commentRangeStart w:id="9"/>
      <w:r w:rsidRPr="00100028">
        <w:rPr>
          <w:rFonts w:cstheme="majorHAnsi"/>
        </w:rPr>
        <w:t>Rather than observing displacement directly, the framework identifies aggregate migration patterns consistent with cascading displacement dynamics operating at neighbourhood scale. Residential restructuring is therefore conceptualised as an empirically observable redistribution of population across the depreciation hierarchy, manifested through the concentration, circulation, or dispersal of socio-economic advantage and disadvantage between neighbourhoods.</w:t>
      </w:r>
      <w:commentRangeEnd w:id="9"/>
      <w:r w:rsidR="007E28D9" w:rsidRPr="00100028">
        <w:rPr>
          <w:rStyle w:val="CommentReference"/>
          <w:rFonts w:cstheme="majorHAnsi"/>
          <w:sz w:val="24"/>
          <w:szCs w:val="24"/>
        </w:rPr>
        <w:commentReference w:id="9"/>
      </w:r>
    </w:p>
    <w:p w14:paraId="4F6DE88A" w14:textId="77777777" w:rsidR="00387F71" w:rsidRPr="00100028" w:rsidRDefault="00387F71" w:rsidP="00387F71">
      <w:pPr>
        <w:rPr>
          <w:rFonts w:cstheme="majorHAnsi"/>
        </w:rPr>
      </w:pPr>
    </w:p>
    <w:p w14:paraId="467EDB05" w14:textId="77777777" w:rsidR="00387F71" w:rsidRPr="00100028" w:rsidRDefault="00387F71" w:rsidP="00387F71">
      <w:pPr>
        <w:rPr>
          <w:rFonts w:cstheme="majorHAnsi"/>
        </w:rPr>
      </w:pPr>
      <w:r w:rsidRPr="00100028">
        <w:rPr>
          <w:rFonts w:cstheme="majorHAnsi"/>
        </w:rPr>
        <w:t>By tracing the progression from directional migratory asymmetry to broader cascading mobility structures, the framework places relational population movement at the empirical centre of neighbourhood restructuring analysis.</w:t>
      </w:r>
    </w:p>
    <w:p w14:paraId="0BA52417" w14:textId="77777777" w:rsidR="00387F71" w:rsidRPr="00100028" w:rsidRDefault="00387F71" w:rsidP="00387F71">
      <w:pPr>
        <w:rPr>
          <w:rFonts w:cstheme="majorHAnsi"/>
          <w:b/>
          <w:bCs/>
          <w:color w:val="000000"/>
        </w:rPr>
      </w:pPr>
      <w:bookmarkStart w:id="10" w:name="_k5lcvqnrse0w" w:colFirst="0" w:colLast="0"/>
      <w:bookmarkEnd w:id="10"/>
      <w:r w:rsidRPr="00100028">
        <w:rPr>
          <w:rFonts w:cstheme="majorHAnsi"/>
          <w:b/>
          <w:bCs/>
          <w:color w:val="000000"/>
        </w:rPr>
        <w:t xml:space="preserve">3. Interpretive Claim </w:t>
      </w:r>
    </w:p>
    <w:p w14:paraId="59662E97" w14:textId="77777777" w:rsidR="00387F71" w:rsidRPr="00100028" w:rsidRDefault="00387F71" w:rsidP="00387F71">
      <w:pPr>
        <w:rPr>
          <w:rFonts w:cstheme="majorHAnsi"/>
        </w:rPr>
      </w:pPr>
      <w:r w:rsidRPr="00100028">
        <w:rPr>
          <w:rFonts w:cstheme="majorHAnsi"/>
        </w:rPr>
        <w:t xml:space="preserve">The transition from empirical observation to theoretical interpretation constitutes the interpretive component of the framework. The migration asymmetries and cascading mobility structures identified by the study are treated as empirical signatures of residential restructuring rather than direct observations of involuntary displacement itself. This distinction is epistemically important because the study measures aggregate </w:t>
      </w:r>
      <w:r w:rsidRPr="00100028">
        <w:rPr>
          <w:rFonts w:cstheme="majorHAnsi"/>
        </w:rPr>
        <w:lastRenderedPageBreak/>
        <w:t>migration flows and interprets their structure through the lens of displacement theory rather than claiming to observe individual forced moves directly.</w:t>
      </w:r>
    </w:p>
    <w:p w14:paraId="40164573" w14:textId="77777777" w:rsidR="00387F71" w:rsidRPr="00100028" w:rsidRDefault="00387F71" w:rsidP="00387F71">
      <w:pPr>
        <w:rPr>
          <w:rFonts w:cstheme="majorHAnsi"/>
        </w:rPr>
      </w:pPr>
    </w:p>
    <w:p w14:paraId="31732A84" w14:textId="77777777" w:rsidR="00387F71" w:rsidRPr="00100028" w:rsidRDefault="00387F71" w:rsidP="00387F71">
      <w:pPr>
        <w:rPr>
          <w:rFonts w:cstheme="majorHAnsi"/>
        </w:rPr>
      </w:pPr>
      <w:r w:rsidRPr="00100028">
        <w:rPr>
          <w:rFonts w:cstheme="majorHAnsi"/>
        </w:rPr>
        <w:t xml:space="preserve">Drawing on </w:t>
      </w:r>
      <w:r w:rsidRPr="00100028">
        <w:rPr>
          <w:rFonts w:cstheme="majorHAnsi"/>
          <w:highlight w:val="yellow"/>
        </w:rPr>
        <w:t>Marcuse’s (1985)</w:t>
      </w:r>
      <w:r w:rsidRPr="00100028">
        <w:rPr>
          <w:rFonts w:cstheme="majorHAnsi"/>
        </w:rPr>
        <w:t xml:space="preserve"> typology of displacement, the framework conceptualises displacement not as a singular event but as a broader relational process embedded within urban restructuring. While </w:t>
      </w:r>
      <w:r w:rsidRPr="00100028">
        <w:rPr>
          <w:rFonts w:cstheme="majorHAnsi"/>
          <w:highlight w:val="yellow"/>
        </w:rPr>
        <w:t>Marcuse (1985)</w:t>
      </w:r>
      <w:r w:rsidRPr="00100028">
        <w:rPr>
          <w:rFonts w:cstheme="majorHAnsi"/>
        </w:rPr>
        <w:t xml:space="preserve"> identifies multiple forms of displacement, including direct last-resident displacement and exclusionary displacement, the present framework is primarily concerned with displacement pressure and chain displacement operating at neighbourhood scale.</w:t>
      </w:r>
    </w:p>
    <w:p w14:paraId="2A32C659" w14:textId="77777777" w:rsidR="00387F71" w:rsidRPr="00100028" w:rsidRDefault="00387F71" w:rsidP="00387F71">
      <w:pPr>
        <w:rPr>
          <w:rFonts w:cstheme="majorHAnsi"/>
        </w:rPr>
      </w:pPr>
    </w:p>
    <w:p w14:paraId="78F0073D" w14:textId="77777777" w:rsidR="00387F71" w:rsidRPr="00100028" w:rsidRDefault="00387F71" w:rsidP="00387F71">
      <w:pPr>
        <w:rPr>
          <w:rFonts w:cstheme="majorHAnsi"/>
        </w:rPr>
      </w:pPr>
      <w:commentRangeStart w:id="11"/>
      <w:r w:rsidRPr="00100028">
        <w:rPr>
          <w:rFonts w:cstheme="majorHAnsi"/>
        </w:rPr>
        <w:t xml:space="preserve">Displacement pressure extends beyond households that have already moved by altering affordability, accessibility, and social conditions of neighbourhood life. Because these pressures operate structurally and cumulatively, they are more likely to generate observable migration asymmetries and cascading mobility structures within aggregate origin-destination data. </w:t>
      </w:r>
      <w:commentRangeEnd w:id="11"/>
      <w:r w:rsidR="007E28D9" w:rsidRPr="00100028">
        <w:rPr>
          <w:rStyle w:val="CommentReference"/>
          <w:rFonts w:cstheme="majorHAnsi"/>
          <w:sz w:val="24"/>
          <w:szCs w:val="24"/>
        </w:rPr>
        <w:commentReference w:id="11"/>
      </w:r>
      <w:r w:rsidRPr="00100028">
        <w:rPr>
          <w:rFonts w:cstheme="majorHAnsi"/>
        </w:rPr>
        <w:t>The study therefore interprets persistent directional asymmetries across the depreciation hierarchy as indicators consistent with broader processes of displacement pressure and cascading residential restructuring.</w:t>
      </w:r>
    </w:p>
    <w:p w14:paraId="2B52B73B" w14:textId="77777777" w:rsidR="00387F71" w:rsidRPr="00100028" w:rsidRDefault="00387F71" w:rsidP="00387F71">
      <w:pPr>
        <w:rPr>
          <w:rFonts w:cstheme="majorHAnsi"/>
          <w:b/>
          <w:bCs/>
          <w:color w:val="000000"/>
        </w:rPr>
      </w:pPr>
      <w:bookmarkStart w:id="12" w:name="_tm90obrhi30e" w:colFirst="0" w:colLast="0"/>
      <w:bookmarkEnd w:id="12"/>
      <w:r w:rsidRPr="00100028">
        <w:rPr>
          <w:rFonts w:cstheme="majorHAnsi"/>
          <w:b/>
          <w:bCs/>
          <w:color w:val="000000"/>
        </w:rPr>
        <w:t xml:space="preserve">4. Validation </w:t>
      </w:r>
    </w:p>
    <w:p w14:paraId="1F4C26E1" w14:textId="77777777" w:rsidR="00387F71" w:rsidRPr="00100028" w:rsidRDefault="00387F71" w:rsidP="00387F71">
      <w:pPr>
        <w:rPr>
          <w:rFonts w:cstheme="majorHAnsi"/>
        </w:rPr>
      </w:pPr>
      <w:r w:rsidRPr="00100028">
        <w:rPr>
          <w:rFonts w:cstheme="majorHAnsi"/>
        </w:rPr>
        <w:t xml:space="preserve">The final component of the framework introduced an independent validation layer linking migration restructuring to subsequent neighbourhood socio-economic change. If the cascading mobility structures identified in the empirical stage genuinely reflect broader processes of residential restructuring, then neighbourhoods exhibiting strong cascade signatures would be expected to independently demonstrate socio-economic ascent over the same period. </w:t>
      </w:r>
    </w:p>
    <w:p w14:paraId="477C546A" w14:textId="77777777" w:rsidR="00387F71" w:rsidRPr="00100028" w:rsidRDefault="00387F71" w:rsidP="00387F71">
      <w:pPr>
        <w:rPr>
          <w:rFonts w:cstheme="majorHAnsi"/>
        </w:rPr>
      </w:pPr>
    </w:p>
    <w:p w14:paraId="07BF35B6" w14:textId="77777777" w:rsidR="00387F71" w:rsidRPr="00100028" w:rsidRDefault="00387F71" w:rsidP="00387F71">
      <w:pPr>
        <w:rPr>
          <w:rFonts w:cstheme="majorHAnsi"/>
        </w:rPr>
      </w:pPr>
      <w:r w:rsidRPr="00100028">
        <w:rPr>
          <w:rFonts w:cstheme="majorHAnsi"/>
        </w:rPr>
        <w:t xml:space="preserve">Following the approaches of </w:t>
      </w:r>
      <w:r w:rsidRPr="00100028">
        <w:rPr>
          <w:rFonts w:cstheme="majorHAnsi"/>
          <w:highlight w:val="yellow"/>
        </w:rPr>
        <w:t>Yee and Dennett (2022)</w:t>
      </w:r>
      <w:r w:rsidRPr="00100028">
        <w:rPr>
          <w:rFonts w:cstheme="majorHAnsi"/>
        </w:rPr>
        <w:t xml:space="preserve"> and </w:t>
      </w:r>
      <w:r w:rsidRPr="00100028">
        <w:rPr>
          <w:rFonts w:cstheme="majorHAnsi"/>
          <w:highlight w:val="yellow"/>
        </w:rPr>
        <w:t>Zhu and Dennett (2023)</w:t>
      </w:r>
      <w:r w:rsidRPr="00100028">
        <w:rPr>
          <w:rFonts w:cstheme="majorHAnsi"/>
        </w:rPr>
        <w:t xml:space="preserve">, who identify ascending and gentrifying neighbourhoods through composite socio-economic indicators, this study validates its flow-based framework against changes in the Index of Multiple Deprivation between 2010 and 2019. </w:t>
      </w:r>
    </w:p>
    <w:p w14:paraId="4D7C3A5E" w14:textId="77777777" w:rsidR="00387F71" w:rsidRPr="00100028" w:rsidRDefault="00387F71" w:rsidP="00387F71">
      <w:pPr>
        <w:rPr>
          <w:rFonts w:cstheme="majorHAnsi"/>
        </w:rPr>
      </w:pPr>
    </w:p>
    <w:p w14:paraId="31D80B48" w14:textId="77777777" w:rsidR="00387F71" w:rsidRPr="00100028" w:rsidRDefault="00387F71" w:rsidP="00387F71">
      <w:pPr>
        <w:rPr>
          <w:rFonts w:cstheme="majorHAnsi"/>
        </w:rPr>
      </w:pPr>
      <w:r w:rsidRPr="00100028">
        <w:rPr>
          <w:rFonts w:cstheme="majorHAnsi"/>
        </w:rPr>
        <w:t>Importantly, neighbourhood socio-economic ascent functions as a separate corroboration mechanism rather than part of the metric construction process itself. This separation reduces conceptual circularity by ensuring that the migration indicators are derived entirely from directional mobility structures rather than from the neighbourhood outcome.</w:t>
      </w:r>
    </w:p>
    <w:p w14:paraId="4835888C" w14:textId="77777777" w:rsidR="00387F71" w:rsidRPr="00100028" w:rsidRDefault="00387F71" w:rsidP="00387F71">
      <w:pPr>
        <w:rPr>
          <w:rFonts w:cstheme="majorHAnsi"/>
        </w:rPr>
      </w:pPr>
    </w:p>
    <w:p w14:paraId="48C42FF6" w14:textId="77777777" w:rsidR="00387F71" w:rsidRPr="00100028" w:rsidRDefault="00387F71" w:rsidP="00387F71">
      <w:pPr>
        <w:rPr>
          <w:rFonts w:cstheme="majorHAnsi"/>
        </w:rPr>
      </w:pPr>
      <w:r w:rsidRPr="00100028">
        <w:rPr>
          <w:rFonts w:cstheme="majorHAnsi"/>
        </w:rPr>
        <w:lastRenderedPageBreak/>
        <w:t>The methodology developed in the following chapter operationalises this conceptual framework by translating directional migration asymmetries across the deprivation hierarchy into a series of measurable cascade indicators defined to capture distinct dimensions of residential restructuring.</w:t>
      </w:r>
    </w:p>
    <w:p w14:paraId="68D276FB" w14:textId="77777777" w:rsidR="00387F71" w:rsidRDefault="00387F71" w:rsidP="00387F71"/>
    <w:sectPr w:rsidR="00387F7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am Dennett" w:date="2026-06-03T18:09:00Z" w:initials="AD">
    <w:p w14:paraId="0CDB903E" w14:textId="77777777" w:rsidR="00387F71" w:rsidRDefault="00387F71" w:rsidP="00100028">
      <w:pPr>
        <w:pStyle w:val="CommentText"/>
      </w:pPr>
      <w:r>
        <w:rPr>
          <w:rStyle w:val="CommentReference"/>
        </w:rPr>
        <w:annotationRef/>
      </w:r>
      <w:r>
        <w:t>Might be good just to specify what each of these different displacement types look like</w:t>
      </w:r>
    </w:p>
  </w:comment>
  <w:comment w:id="1" w:author="Adam Dennett" w:date="2026-06-03T18:58:00Z" w:initials="AD">
    <w:p w14:paraId="5E393F3D" w14:textId="77777777" w:rsidR="00387F71" w:rsidRDefault="00387F71" w:rsidP="001221E1">
      <w:pPr>
        <w:pStyle w:val="CommentText"/>
      </w:pPr>
      <w:r>
        <w:rPr>
          <w:rStyle w:val="CommentReference"/>
        </w:rPr>
        <w:annotationRef/>
      </w:r>
      <w:r>
        <w:t>Residential turnover is related to migration restructuring. I used to define turnover as in-migration minus out-migration (with the rate this over total population) - as it’s in- minus out-migration it is directional with more in leaving positive turnover, more out leaving negative turnover, although typically, turnover statistics don’t disaggregate by where people go to and come from and what the characteristics of those places are like</w:t>
      </w:r>
    </w:p>
  </w:comment>
  <w:comment w:id="2" w:author="Adam Dennett" w:date="2026-06-03T18:59:00Z" w:initials="AD">
    <w:p w14:paraId="553BE126" w14:textId="77777777" w:rsidR="00387F71" w:rsidRDefault="00387F71" w:rsidP="001221E1">
      <w:pPr>
        <w:pStyle w:val="CommentText"/>
      </w:pPr>
      <w:r>
        <w:rPr>
          <w:rStyle w:val="CommentReference"/>
        </w:rPr>
        <w:annotationRef/>
      </w:r>
      <w:r>
        <w:t>Paul Norman in Leeds has done a lot of work on migration up and down the socio-economic hierarchy and the sorting that brings - might be worth looking up some of his work</w:t>
      </w:r>
    </w:p>
  </w:comment>
  <w:comment w:id="4" w:author="Adam Dennett" w:date="2026-06-03T19:20:00Z" w:initials="AD">
    <w:p w14:paraId="0691BDB5" w14:textId="77777777" w:rsidR="00B71840" w:rsidRDefault="00B71840" w:rsidP="00B71840">
      <w:pPr>
        <w:pStyle w:val="CommentText"/>
      </w:pPr>
      <w:r>
        <w:rPr>
          <w:rStyle w:val="CommentReference"/>
        </w:rPr>
        <w:annotationRef/>
      </w:r>
      <w:r>
        <w:t>You might want to clarify what you mean by cascading here - diagram could help too</w:t>
      </w:r>
    </w:p>
  </w:comment>
  <w:comment w:id="6" w:author="Adam Dennett" w:date="2026-06-03T19:22:00Z" w:initials="AD">
    <w:p w14:paraId="5E497142" w14:textId="77777777" w:rsidR="00B71840" w:rsidRDefault="00B71840" w:rsidP="00B71840">
      <w:pPr>
        <w:pStyle w:val="CommentText"/>
      </w:pPr>
      <w:r>
        <w:rPr>
          <w:rStyle w:val="CommentReference"/>
        </w:rPr>
        <w:annotationRef/>
      </w:r>
      <w:r>
        <w:t>Thing to think about here - how much detail do you want. For example, are 10 IMD deciles going to give too much detail when looking at migration up and down? Would three (low, medium, high) me more likely to produce a signal? Maybe start with 10, but if the signal gets confused, perhaps aggregate to something a little coarser</w:t>
      </w:r>
    </w:p>
  </w:comment>
  <w:comment w:id="7" w:author="Adam Dennett" w:date="2026-06-03T19:19:00Z" w:initials="AD">
    <w:p w14:paraId="5B477D31" w14:textId="77777777" w:rsidR="00B71840" w:rsidRDefault="00B71840" w:rsidP="00B71840">
      <w:pPr>
        <w:pStyle w:val="CommentText"/>
      </w:pPr>
      <w:r>
        <w:rPr>
          <w:rStyle w:val="CommentReference"/>
        </w:rPr>
        <w:annotationRef/>
      </w:r>
      <w:r>
        <w:t xml:space="preserve">I guess here you could have a matrix of type flows - 1) less to move deprived 2) more to less deprived 3) less to less deprived (horizontal) 4) more to more deprived (horizontal). </w:t>
      </w:r>
    </w:p>
  </w:comment>
  <w:comment w:id="8" w:author="Adam Dennett" w:date="2026-06-03T19:24:00Z" w:initials="AD">
    <w:p w14:paraId="420BFAE0" w14:textId="77777777" w:rsidR="007E28D9" w:rsidRDefault="007E28D9" w:rsidP="007E28D9">
      <w:pPr>
        <w:pStyle w:val="CommentText"/>
      </w:pPr>
      <w:r>
        <w:rPr>
          <w:rStyle w:val="CommentReference"/>
        </w:rPr>
        <w:annotationRef/>
      </w:r>
      <w:r>
        <w:t>You might also want to be clear about which of these you think relates to gentrification. Are we saying inflows from more to less and outflow from less to less are the classic gentrification bump? However you define it - link it back to the literature for justification</w:t>
      </w:r>
    </w:p>
  </w:comment>
  <w:comment w:id="9" w:author="Adam Dennett" w:date="2026-06-03T19:25:00Z" w:initials="AD">
    <w:p w14:paraId="032734E7" w14:textId="13BD0C76" w:rsidR="007E28D9" w:rsidRDefault="007E28D9" w:rsidP="007E28D9">
      <w:pPr>
        <w:pStyle w:val="CommentText"/>
      </w:pPr>
      <w:r>
        <w:rPr>
          <w:rStyle w:val="CommentReference"/>
        </w:rPr>
        <w:annotationRef/>
      </w:r>
      <w:r>
        <w:t>A diagram would be great here</w:t>
      </w:r>
    </w:p>
  </w:comment>
  <w:comment w:id="11" w:author="Adam Dennett" w:date="2026-06-03T19:30:00Z" w:initials="AD">
    <w:p w14:paraId="5693BCB2" w14:textId="77777777" w:rsidR="007E28D9" w:rsidRPr="000D2C76" w:rsidRDefault="007E28D9" w:rsidP="007E28D9">
      <w:pPr>
        <w:pStyle w:val="CommentText"/>
        <w:rPr>
          <w:lang w:val="en-US" w:eastAsia="zh-CN"/>
        </w:rPr>
      </w:pPr>
      <w:r>
        <w:rPr>
          <w:rStyle w:val="CommentReference"/>
        </w:rPr>
        <w:annotationRef/>
      </w:r>
      <w:r>
        <w:t>Might be worth mentioning the lag and accumulation of this effect here and how you might deal with it - for example, if a more affluent family moves into a poorer area, it might not push up house prices immediately. So people aren’t indirectly displaced immediately. But over time as more and more affluent families move in, prices might start creeping up and displacement occurs down the line. This needs to be acknowledged and ideally linked back to the literature. Are you concerned about this lag or not? How might you deal with it if you are concerned. If you’re not, why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DB903E" w15:done="0"/>
  <w15:commentEx w15:paraId="5E393F3D" w15:done="0"/>
  <w15:commentEx w15:paraId="553BE126" w15:done="0"/>
  <w15:commentEx w15:paraId="0691BDB5" w15:done="0"/>
  <w15:commentEx w15:paraId="5E497142" w15:done="0"/>
  <w15:commentEx w15:paraId="5B477D31" w15:done="0"/>
  <w15:commentEx w15:paraId="420BFAE0" w15:paraIdParent="5B477D31" w15:done="0"/>
  <w15:commentEx w15:paraId="032734E7" w15:done="0"/>
  <w15:commentEx w15:paraId="5693BC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CAE86D" w16cex:dateUtc="2026-06-03T17:09:00Z"/>
  <w16cex:commentExtensible w16cex:durableId="5934B735" w16cex:dateUtc="2026-06-03T17:58:00Z"/>
  <w16cex:commentExtensible w16cex:durableId="06E871DE" w16cex:dateUtc="2026-06-03T17:59:00Z"/>
  <w16cex:commentExtensible w16cex:durableId="60C30C5F" w16cex:dateUtc="2026-06-03T18:20:00Z"/>
  <w16cex:commentExtensible w16cex:durableId="4240FBB2" w16cex:dateUtc="2026-06-03T18:22:00Z"/>
  <w16cex:commentExtensible w16cex:durableId="485600F2" w16cex:dateUtc="2026-06-03T18:19:00Z"/>
  <w16cex:commentExtensible w16cex:durableId="4E7515EB" w16cex:dateUtc="2026-06-03T18:24:00Z"/>
  <w16cex:commentExtensible w16cex:durableId="2CD2645F" w16cex:dateUtc="2026-06-03T18:25:00Z"/>
  <w16cex:commentExtensible w16cex:durableId="17BDE73A" w16cex:dateUtc="2026-06-03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DB903E" w16cid:durableId="43CAE86D"/>
  <w16cid:commentId w16cid:paraId="5E393F3D" w16cid:durableId="5934B735"/>
  <w16cid:commentId w16cid:paraId="553BE126" w16cid:durableId="06E871DE"/>
  <w16cid:commentId w16cid:paraId="0691BDB5" w16cid:durableId="60C30C5F"/>
  <w16cid:commentId w16cid:paraId="5E497142" w16cid:durableId="4240FBB2"/>
  <w16cid:commentId w16cid:paraId="5B477D31" w16cid:durableId="485600F2"/>
  <w16cid:commentId w16cid:paraId="420BFAE0" w16cid:durableId="4E7515EB"/>
  <w16cid:commentId w16cid:paraId="032734E7" w16cid:durableId="2CD2645F"/>
  <w16cid:commentId w16cid:paraId="5693BCB2" w16cid:durableId="17BDE7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Dennett">
    <w15:presenceInfo w15:providerId="Windows Live" w15:userId="4076559f3435b4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71"/>
    <w:rsid w:val="000A2CBA"/>
    <w:rsid w:val="000D2C76"/>
    <w:rsid w:val="000E3CCB"/>
    <w:rsid w:val="00311CA6"/>
    <w:rsid w:val="00387F71"/>
    <w:rsid w:val="005858E2"/>
    <w:rsid w:val="005A201D"/>
    <w:rsid w:val="00676BE8"/>
    <w:rsid w:val="007E28D9"/>
    <w:rsid w:val="00933C97"/>
    <w:rsid w:val="00B71840"/>
    <w:rsid w:val="00B9355E"/>
    <w:rsid w:val="00E7396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16F6"/>
  <w15:chartTrackingRefBased/>
  <w15:docId w15:val="{493F7FD8-B60C-490D-9849-50A84CBF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F71"/>
    <w:rPr>
      <w:rFonts w:eastAsiaTheme="majorEastAsia" w:cstheme="majorBidi"/>
      <w:color w:val="272727" w:themeColor="text1" w:themeTint="D8"/>
    </w:rPr>
  </w:style>
  <w:style w:type="paragraph" w:styleId="Title">
    <w:name w:val="Title"/>
    <w:basedOn w:val="Normal"/>
    <w:next w:val="Normal"/>
    <w:link w:val="TitleChar"/>
    <w:uiPriority w:val="10"/>
    <w:qFormat/>
    <w:rsid w:val="00387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F71"/>
    <w:pPr>
      <w:spacing w:before="160"/>
      <w:jc w:val="center"/>
    </w:pPr>
    <w:rPr>
      <w:i/>
      <w:iCs/>
      <w:color w:val="404040" w:themeColor="text1" w:themeTint="BF"/>
    </w:rPr>
  </w:style>
  <w:style w:type="character" w:customStyle="1" w:styleId="QuoteChar">
    <w:name w:val="Quote Char"/>
    <w:basedOn w:val="DefaultParagraphFont"/>
    <w:link w:val="Quote"/>
    <w:uiPriority w:val="29"/>
    <w:rsid w:val="00387F71"/>
    <w:rPr>
      <w:i/>
      <w:iCs/>
      <w:color w:val="404040" w:themeColor="text1" w:themeTint="BF"/>
    </w:rPr>
  </w:style>
  <w:style w:type="paragraph" w:styleId="ListParagraph">
    <w:name w:val="List Paragraph"/>
    <w:basedOn w:val="Normal"/>
    <w:uiPriority w:val="34"/>
    <w:qFormat/>
    <w:rsid w:val="00387F71"/>
    <w:pPr>
      <w:ind w:left="720"/>
      <w:contextualSpacing/>
    </w:pPr>
  </w:style>
  <w:style w:type="character" w:styleId="IntenseEmphasis">
    <w:name w:val="Intense Emphasis"/>
    <w:basedOn w:val="DefaultParagraphFont"/>
    <w:uiPriority w:val="21"/>
    <w:qFormat/>
    <w:rsid w:val="00387F71"/>
    <w:rPr>
      <w:i/>
      <w:iCs/>
      <w:color w:val="0F4761" w:themeColor="accent1" w:themeShade="BF"/>
    </w:rPr>
  </w:style>
  <w:style w:type="paragraph" w:styleId="IntenseQuote">
    <w:name w:val="Intense Quote"/>
    <w:basedOn w:val="Normal"/>
    <w:next w:val="Normal"/>
    <w:link w:val="IntenseQuoteChar"/>
    <w:uiPriority w:val="30"/>
    <w:qFormat/>
    <w:rsid w:val="00387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F71"/>
    <w:rPr>
      <w:i/>
      <w:iCs/>
      <w:color w:val="0F4761" w:themeColor="accent1" w:themeShade="BF"/>
    </w:rPr>
  </w:style>
  <w:style w:type="character" w:styleId="IntenseReference">
    <w:name w:val="Intense Reference"/>
    <w:basedOn w:val="DefaultParagraphFont"/>
    <w:uiPriority w:val="32"/>
    <w:qFormat/>
    <w:rsid w:val="00387F71"/>
    <w:rPr>
      <w:b/>
      <w:bCs/>
      <w:smallCaps/>
      <w:color w:val="0F4761" w:themeColor="accent1" w:themeShade="BF"/>
      <w:spacing w:val="5"/>
    </w:rPr>
  </w:style>
  <w:style w:type="paragraph" w:styleId="CommentText">
    <w:name w:val="annotation text"/>
    <w:basedOn w:val="Normal"/>
    <w:link w:val="CommentTextChar"/>
    <w:uiPriority w:val="99"/>
    <w:unhideWhenUsed/>
    <w:rsid w:val="00387F71"/>
    <w:pPr>
      <w:spacing w:after="0" w:line="240" w:lineRule="auto"/>
    </w:pPr>
    <w:rPr>
      <w:rFonts w:ascii="Arial" w:eastAsia="Arial" w:hAnsi="Arial" w:cs="Arial"/>
      <w:kern w:val="0"/>
      <w:sz w:val="20"/>
      <w:szCs w:val="20"/>
      <w:lang w:val="zh-CN" w:eastAsia="en-GB"/>
      <w14:ligatures w14:val="none"/>
    </w:rPr>
  </w:style>
  <w:style w:type="character" w:customStyle="1" w:styleId="CommentTextChar">
    <w:name w:val="Comment Text Char"/>
    <w:basedOn w:val="DefaultParagraphFont"/>
    <w:link w:val="CommentText"/>
    <w:uiPriority w:val="99"/>
    <w:rsid w:val="00387F71"/>
    <w:rPr>
      <w:rFonts w:ascii="Arial" w:eastAsia="Arial" w:hAnsi="Arial" w:cs="Arial"/>
      <w:kern w:val="0"/>
      <w:sz w:val="20"/>
      <w:szCs w:val="20"/>
      <w:lang w:val="zh-CN" w:eastAsia="en-GB"/>
      <w14:ligatures w14:val="none"/>
    </w:rPr>
  </w:style>
  <w:style w:type="character" w:styleId="CommentReference">
    <w:name w:val="annotation reference"/>
    <w:basedOn w:val="DefaultParagraphFont"/>
    <w:uiPriority w:val="99"/>
    <w:semiHidden/>
    <w:unhideWhenUsed/>
    <w:rsid w:val="00387F71"/>
    <w:rPr>
      <w:sz w:val="16"/>
      <w:szCs w:val="16"/>
    </w:rPr>
  </w:style>
  <w:style w:type="paragraph" w:styleId="CommentSubject">
    <w:name w:val="annotation subject"/>
    <w:basedOn w:val="CommentText"/>
    <w:next w:val="CommentText"/>
    <w:link w:val="CommentSubjectChar"/>
    <w:uiPriority w:val="99"/>
    <w:semiHidden/>
    <w:unhideWhenUsed/>
    <w:rsid w:val="00B71840"/>
    <w:pPr>
      <w:spacing w:after="160"/>
    </w:pPr>
    <w:rPr>
      <w:rFonts w:asciiTheme="minorHAnsi" w:eastAsiaTheme="minorHAnsi" w:hAnsiTheme="minorHAnsi" w:cstheme="minorBidi"/>
      <w:b/>
      <w:bCs/>
      <w:kern w:val="2"/>
      <w:lang w:val="en-GB" w:eastAsia="en-US"/>
      <w14:ligatures w14:val="standardContextual"/>
    </w:rPr>
  </w:style>
  <w:style w:type="character" w:customStyle="1" w:styleId="CommentSubjectChar">
    <w:name w:val="Comment Subject Char"/>
    <w:basedOn w:val="CommentTextChar"/>
    <w:link w:val="CommentSubject"/>
    <w:uiPriority w:val="99"/>
    <w:semiHidden/>
    <w:rsid w:val="00B71840"/>
    <w:rPr>
      <w:rFonts w:ascii="Arial" w:eastAsia="Arial" w:hAnsi="Arial" w:cs="Arial"/>
      <w:b/>
      <w:bCs/>
      <w:kern w:val="0"/>
      <w:sz w:val="20"/>
      <w:szCs w:val="20"/>
      <w:lang w:val="zh-C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Dennett</dc:creator>
  <cp:keywords/>
  <dc:description/>
  <cp:lastModifiedBy>Olivia Xing</cp:lastModifiedBy>
  <cp:revision>3</cp:revision>
  <dcterms:created xsi:type="dcterms:W3CDTF">2026-06-03T18:13:00Z</dcterms:created>
  <dcterms:modified xsi:type="dcterms:W3CDTF">2026-06-18T09:09:00Z</dcterms:modified>
</cp:coreProperties>
</file>