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Dissertation Roadmap — Supervision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 The thesis in one sentence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Migration across London's deprivation hierarchy does not reproduce attribute-defined gentrification through a single universal 'cascade' signature; correspondence is weak in aggregate, selective at mechanism level, and conditional on whether London is treated as a closed or open migration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earlier drafts: the flow framework is positioned as a complement to attribute-based measures, not a rival gentrification detector. The negative aggregate result is itself a finding — it motivates the mechanism decomposition, which delivers the substantive payoff.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 Research questions (Section 2.7) – logic check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31" w:right="0" w:hanging="316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Are independently identified forms of neighbourhood ascent accompanied by distinctive migration across the socioeconomic hierarchy?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31" w:right="0" w:hanging="316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Do wealthier-area arrivals and poorer-directed departures form one consistent combined structure, or do their contributions vary across forms and stages of change?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31" w:right="0" w:hanging="316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How does this structure change when London is treated as an open national migration system rather than a closed internal one?</w:t>
      </w:r>
    </w:p>
    <w:p w:rsidR="00000000" w:rsidDel="00000000" w:rsidP="00000000" w:rsidRDefault="00000000" w:rsidRPr="00000000" w14:paraId="0000000A">
      <w:pPr>
        <w:spacing w:after="1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Note on ordering: the Methodology addresses them in reverse (frames &gt; mechanisms &gt; correspondence) because each question needs the apparatus built for the one below it; the Results chapter follows the same analytical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2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 The argument arc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31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Setup.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Gentrification is heterogeneous restructuring; displacement cannot be read off individual moves; migration is relational (Lee; Dennett &amp; Stillwell); London is an open, escalator-region system.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31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Framework.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Fixed IMD-2010 hierarchy &gt; four elementary flows &gt; Cascade_Dominance and Cross_Decile_Share &gt; four-regime typology &gt; three reference frames (A/B/C) &gt; time-symmetric mechanism tree on Frame C 'Cascade-led'.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31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Negative aggregate result.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'Cascade-led' is neither necessary nor sufficient for attribute-defined ascent; volume beats direction.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31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Mechanism payoff.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Decomposition reveals three substantively different processes hiding under one label — inflow-driven transition (mainstream gentrification, 2011), outflow-internal dominance (super-gentrification), and the expanding 2021 outflow-external profile (the 'exodus', largely separate from gentrification geography).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31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Frame dependence.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The boundary decision, not the decile ladder, drives the temporal story: the 2011-21 counterward shift is principally boundary-crossing departure.</w:t>
      </w:r>
    </w:p>
    <w:p w:rsidR="00000000" w:rsidDel="00000000" w:rsidP="00000000" w:rsidRDefault="00000000" w:rsidRPr="00000000" w14:paraId="00000011">
      <w:pPr>
        <w:pStyle w:val="Heading1"/>
        <w:spacing w:after="12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 Chapter structure and status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700"/>
        <w:gridCol w:w="3160"/>
        <w:tblGridChange w:id="0">
          <w:tblGrid>
            <w:gridCol w:w="1500"/>
            <w:gridCol w:w="4700"/>
            <w:gridCol w:w="3160"/>
          </w:tblGrid>
        </w:tblGridChange>
      </w:tblGrid>
      <w:tr>
        <w:trPr>
          <w:cantSplit w:val="0"/>
          <w:tblHeader w:val="0"/>
        </w:trPr>
        <w:tc>
          <w:tcPr>
            <w:shd w:fill="ea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Chapter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Role in the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 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Motivation, cascade proposition, contributions, thesis outline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To be drafted (last, from the finished spine)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 Literature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Gentrification as heterogeneous restructuring; displacement vs mobility; migration as relational redistribution; London as open system; research gap and RQ1-RQ3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Full draft v2 — one reference to add (2.1)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 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Six-stage framework: hierarchy &gt; four elementary flows &gt; metrics &gt; typology &gt; three reference frames &gt; mechanism tree &gt; comparative design; 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Full draft v16 — figures 3.1-3.2 and appendices to finalise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RQ ordering: flow structure &gt; frame effects &gt; aggregate correspondence (RQ1) &gt; mechanism decomposition (RQ2) &gt; 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Full draft v4 — figures to insert; small count inconsistencies to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 Discussion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Conditional-correspondence interpretation; frame dependence; mechanism meanings; contribution, limitations, future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Full draft 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 Conclusion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Answers to RQ1-RQ3; contribution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To be drafted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12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 Headline results (for quick reference)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6260"/>
        <w:tblGridChange w:id="0">
          <w:tblGrid>
            <w:gridCol w:w="3100"/>
            <w:gridCol w:w="6260"/>
          </w:tblGrid>
        </w:tblGridChange>
      </w:tblGrid>
      <w:tr>
        <w:trPr>
          <w:cantSplit w:val="0"/>
          <w:tblHeader w:val="0"/>
        </w:trPr>
        <w:tc>
          <w:tcPr>
            <w:shd w:fill="ea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RQ1 — Aggregate correspondence is 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Cascade_Dominance vs IMD change r ≈ 0.05-0.09; churn volume r ≈ 0.25-0.28; Yee &amp; Dennett overlap Cramer's V = 0.075, ARI = 0.036.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 Intensity of hierarchy-crossing migration matters more than direction.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RQ2 — 'Cascade-led' is internally heterogeneous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Composition flips from inflow-led (113/213 in 2011) to outflow-led (168/195, ~86% in 2021). Selective subtype links: inflow-driven frame-robust &gt; mainstream gentrification (2011, 8.9% vs 4.0%); outflow-internal-majority &gt; super-gentrification (22.2% and 32.2% vs 9.6%); outflow-external-majority is depleted of gentrification (9.0% vs 21.1%).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RQ3 — The boundary matters more than the ladder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Ladder switch (A&gt;B): modest, CDS falls 16-21%, dominance shifts near zero. Adding external flows (B&gt;C): +85,737 counter-direction moves 2011-21 vs +22,326 internal; external flows explain ~73% (2011) and ~111% (2021) of the A-C gap.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The 2021 counterward shift is principally London-to-external departure.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12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6. Design decisions to confirm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31" w:right="0" w:hanging="25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Frame A as primary lens, Frame C as the frame carrying the mechanism tree — is </w:t>
      </w:r>
      <w:r w:rsidDel="00000000" w:rsidR="00000000" w:rsidRPr="00000000">
        <w:rPr>
          <w:rFonts w:ascii="Arial" w:cs="Arial" w:eastAsia="Arial" w:hAnsi="Arial"/>
          <w:rtl w:val="0"/>
        </w:rPr>
        <w:t xml:space="preserve">valid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31" w:right="0" w:hanging="25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Mechanism-tree thresholds: 0.25 cascade-inflow-share sits in an empty interval between two modes (robust by construction); 0.50 external-arm-share is a majority rule with ±0.05 sensitivity checks. Adequate justification, or more?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31" w:right="0" w:hanging="25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Handling the Yee &amp; Dennett temporal mismatch (their 2001-11 classification vs my 2021 flows): framed as persistence, not validation. Is the caveat prominent enough?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31" w:right="0" w:hanging="25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The 'exodus' label for outflow-external-majority is explicitly an interpretation of a time-symmetric measure, not a rule in the classifier. </w:t>
      </w:r>
      <w:r w:rsidDel="00000000" w:rsidR="00000000" w:rsidRPr="00000000">
        <w:rPr>
          <w:rFonts w:ascii="Arial" w:cs="Arial" w:eastAsia="Arial" w:hAnsi="Arial"/>
          <w:rtl w:val="0"/>
        </w:rPr>
        <w:t xml:space="preserve">Good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31" w:right="0" w:hanging="25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Small-case subtype comparisons (e.g. 5/56 mainstream cases) are reported descriptively without significance tests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should exact tests be added?</w:t>
      </w:r>
    </w:p>
    <w:p w:rsidR="00000000" w:rsidDel="00000000" w:rsidP="00000000" w:rsidRDefault="00000000" w:rsidRPr="00000000" w14:paraId="00000038">
      <w:pPr>
        <w:pStyle w:val="Heading1"/>
        <w:spacing w:after="12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7. Questions for 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31" w:right="0" w:hanging="316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Does the overall structure (heterogeneity &gt; relational flows &gt; conditional correspondence) read as one coherent thesis, or should any chapter be re-weighted?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31" w:right="0" w:hanging="316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Introduction and Conclusion: emphasis for the contribution claim — methodological (the frame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mechanism apparatus) or substantive (the 2021 outward shift)?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31" w:right="0" w:hanging="316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Appendices A, B, D, F are referenced throughout — how much detail in each, and is Appendix F (occupational comparison) worth keeping?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31" w:right="0" w:hanging="316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Word budget across chapters — Results and Methodology are currently the heaviest; any trimming priorities?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31" w:right="0" w:hanging="316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Figures: which are essential in-text vs appendix (typology maps, mechanism maps, alluvial case decompositions, extreme-MSOA maps)?</w:t>
      </w:r>
    </w:p>
    <w:p w:rsidR="00000000" w:rsidDel="00000000" w:rsidP="00000000" w:rsidRDefault="00000000" w:rsidRPr="00000000" w14:paraId="0000003E">
      <w:pPr>
        <w:pStyle w:val="Heading1"/>
        <w:spacing w:after="12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8. Remaining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31" w:right="0" w:hanging="25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Draft Introduction and Conclusion from the settled spine.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31" w:right="0" w:hanging="25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Insert and caption all figures; finalise Appendices A (harmonisation diagnostics), B (metric definitions), D (same-decile sensitivity), F (occupation).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31" w:right="0" w:hanging="25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Consistency pass on Results counts and cross-references (see fix list sent separately).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31" w:right="0" w:hanging="259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ull reference list and formatting pass.</w:t>
      </w:r>
    </w:p>
    <w:sectPr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1" w:hanging="316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431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