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Market Analysis Report - 2025</w:t>
      </w:r>
    </w:p>
    <w:p>
      <w:r>
        <w:t>This report provides an overview of the market trends observed in the first quarter of 2025. The technology sector continues to show robust growth, particularly in AI-driven solutions and cloud services. Companies are increasingly investing in digital transformation initiatives to stay competitive in the evolving landscape.</w:t>
      </w:r>
    </w:p>
    <w:p>
      <w:r>
        <w:t>The following table summarizes the key financial indicators of major tech companies during Q1 2025.</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Company</w:t>
            </w:r>
          </w:p>
        </w:tc>
        <w:tc>
          <w:tcPr>
            <w:tcW w:type="dxa" w:w="2160"/>
          </w:tcPr>
          <w:p>
            <w:r>
              <w:t>Revenue (in $M)</w:t>
            </w:r>
          </w:p>
        </w:tc>
        <w:tc>
          <w:tcPr>
            <w:tcW w:type="dxa" w:w="2160"/>
          </w:tcPr>
          <w:p>
            <w:r>
              <w:t>Profit Margin (%)</w:t>
            </w:r>
          </w:p>
        </w:tc>
        <w:tc>
          <w:tcPr>
            <w:tcW w:type="dxa" w:w="2160"/>
          </w:tcPr>
          <w:p>
            <w:r>
              <w:t>Market Share (%)</w:t>
            </w:r>
          </w:p>
        </w:tc>
      </w:tr>
      <w:tr>
        <w:tc>
          <w:tcPr>
            <w:tcW w:type="dxa" w:w="2160"/>
          </w:tcPr>
          <w:p>
            <w:r>
              <w:t>TechNova</w:t>
            </w:r>
          </w:p>
        </w:tc>
        <w:tc>
          <w:tcPr>
            <w:tcW w:type="dxa" w:w="2160"/>
          </w:tcPr>
          <w:p>
            <w:r>
              <w:t>1200</w:t>
            </w:r>
          </w:p>
        </w:tc>
        <w:tc>
          <w:tcPr>
            <w:tcW w:type="dxa" w:w="2160"/>
          </w:tcPr>
          <w:p>
            <w:r>
              <w:t>15</w:t>
            </w:r>
          </w:p>
        </w:tc>
        <w:tc>
          <w:tcPr>
            <w:tcW w:type="dxa" w:w="2160"/>
          </w:tcPr>
          <w:p>
            <w:r>
              <w:t>10</w:t>
            </w:r>
          </w:p>
        </w:tc>
      </w:tr>
      <w:tr>
        <w:tc>
          <w:tcPr>
            <w:tcW w:type="dxa" w:w="2160"/>
          </w:tcPr>
          <w:p>
            <w:r>
              <w:t>InnovateX</w:t>
            </w:r>
          </w:p>
        </w:tc>
        <w:tc>
          <w:tcPr>
            <w:tcW w:type="dxa" w:w="2160"/>
          </w:tcPr>
          <w:p>
            <w:r>
              <w:t>950</w:t>
            </w:r>
          </w:p>
        </w:tc>
        <w:tc>
          <w:tcPr>
            <w:tcW w:type="dxa" w:w="2160"/>
          </w:tcPr>
          <w:p>
            <w:r>
              <w:t>12</w:t>
            </w:r>
          </w:p>
        </w:tc>
        <w:tc>
          <w:tcPr>
            <w:tcW w:type="dxa" w:w="2160"/>
          </w:tcPr>
          <w:p>
            <w:r>
              <w:t>8</w:t>
            </w:r>
          </w:p>
        </w:tc>
      </w:tr>
      <w:tr>
        <w:tc>
          <w:tcPr>
            <w:tcW w:type="dxa" w:w="2160"/>
          </w:tcPr>
          <w:p>
            <w:r>
              <w:t>Cloudify</w:t>
            </w:r>
          </w:p>
        </w:tc>
        <w:tc>
          <w:tcPr>
            <w:tcW w:type="dxa" w:w="2160"/>
          </w:tcPr>
          <w:p>
            <w:r>
              <w:t>1500</w:t>
            </w:r>
          </w:p>
        </w:tc>
        <w:tc>
          <w:tcPr>
            <w:tcW w:type="dxa" w:w="2160"/>
          </w:tcPr>
          <w:p>
            <w:r>
              <w:t>18</w:t>
            </w:r>
          </w:p>
        </w:tc>
        <w:tc>
          <w:tcPr>
            <w:tcW w:type="dxa" w:w="2160"/>
          </w:tcPr>
          <w:p>
            <w:r>
              <w:t>12</w:t>
            </w:r>
          </w:p>
        </w:tc>
      </w:tr>
    </w:tbl>
    <w:p>
      <w:r>
        <w:t>In conclusion, the market outlook remains positive with continued opportunities in AI, data analytics, and cloud infrastructure services. Organizations that adapt quickly to these trends are likely to achieve sustainable growth in the upcoming quarters.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