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sz w:val="40"/>
          <w:szCs w:val="40"/>
          <w:rtl w:val="0"/>
        </w:rPr>
        <w:t xml:space="preserve">Boletín Tecnológico Piloto</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4"/>
          <w:szCs w:val="24"/>
          <w:rtl w:val="0"/>
        </w:rPr>
        <w:t xml:space="preserve">Observatorio de Semiconductores para Querétaro — Módulo de Vigilancia Tecnológica</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i w:val="1"/>
          <w:iCs w:val="1"/>
          <w:sz w:val="22"/>
          <w:szCs w:val="22"/>
          <w:rtl w:val="0"/>
        </w:rPr>
        <w:t xml:space="preserve">Periodo de análisis: 12 de junio – 11 de julio de 2026</w:t>
      </w: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05">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Este documento presenta el primer Boletín Tecnológico Piloto del Observatorio de Semiconductores para Querétaro, elaborado como ejercicio de validación operativa del Producto Mínimo Viable (MVP) del Módulo de Vigilancia Tecnológica. Su construcción siguió estrictamente la metodología definida en cuatro documentos base: el Modelo Conceptual del Observatorio, el documento metodológico Modelos de Señales, Tendencias y Alertas (STA), la Matriz de Operacionalización y la Guía del Boletín Tecnológico Piloto. No se emplearon criterios, definiciones ni fuentes distintos de los establecidos en dichos documentos.</w:t>
      </w:r>
      <w:r w:rsidDel="00000000" w:rsidR="00000000" w:rsidRPr="00000000">
        <w:rPr>
          <w:rtl w:val="0"/>
        </w:rPr>
      </w:r>
    </w:p>
    <w:p w:rsidR="00000000" w:rsidDel="00000000" w:rsidP="00000000" w:rsidRDefault="00000000" w:rsidRPr="00000000" w14:paraId="00000006">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presente documento se organiza en dos partes claramente diferenciadas, conforme a la distinción metodológica establecida en la Guía del Boletín: la sección 2, "Aplicación del MVP", documenta el proceso analítico completo —captura, clasificación, evaluación, trazabilidad, tendencias y alertas— con fines de evidencia metodológica; la sección 3, "Boletín Tecnológico Piloto", comunica de forma ejecutiva los hallazgos del periodo a las audiencias del Observatorio (academia, industria y gobierno), sin reproducir fichas ni matrices metodológicas. La sección 4 recoge las reflexiones derivadas de este primer ejercicio piloto.</w:t>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Fonts w:ascii="Calibri" w:cs="Calibri" w:eastAsia="Calibri" w:hAnsi="Calibri"/>
          <w:rtl w:val="0"/>
        </w:rPr>
        <w:t xml:space="preserve">2. Aplicación del MVP</w:t>
      </w:r>
      <w:r w:rsidDel="00000000" w:rsidR="00000000" w:rsidRPr="00000000">
        <w:rPr>
          <w:rtl w:val="0"/>
        </w:rPr>
      </w:r>
    </w:p>
    <w:p w:rsidR="00000000" w:rsidDel="00000000" w:rsidP="00000000" w:rsidRDefault="00000000" w:rsidRPr="00000000" w14:paraId="00000008">
      <w:pPr>
        <w:pStyle w:val="Heading2"/>
        <w:spacing w:after="160" w:before="280" w:lineRule="auto"/>
        <w:rPr/>
      </w:pPr>
      <w:r w:rsidDel="00000000" w:rsidR="00000000" w:rsidRPr="00000000">
        <w:rPr>
          <w:rFonts w:ascii="Calibri" w:cs="Calibri" w:eastAsia="Calibri" w:hAnsi="Calibri"/>
          <w:rtl w:val="0"/>
        </w:rPr>
        <w:t xml:space="preserve">2.1 Alcance</w:t>
      </w:r>
      <w:r w:rsidDel="00000000" w:rsidR="00000000" w:rsidRPr="00000000">
        <w:rPr>
          <w:rtl w:val="0"/>
        </w:rPr>
      </w:r>
    </w:p>
    <w:p w:rsidR="00000000" w:rsidDel="00000000" w:rsidP="00000000" w:rsidRDefault="00000000" w:rsidRPr="00000000" w14:paraId="00000009">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Periodo de análisis: ventana móvil de treinta días, del 12 de junio al 11 de julio de 2026, conforme al periodo metodológico acordado para este primer ciclo.</w:t>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Cobertura geográfica: alcance global, con énfasis en México, Querétaro y Norteamérica, en correspondencia con el objeto del Observatorio.</w:t>
      </w:r>
      <w:r w:rsidDel="00000000" w:rsidR="00000000" w:rsidRPr="00000000">
        <w:rPr>
          <w:rtl w:val="0"/>
        </w:rPr>
      </w:r>
    </w:p>
    <w:p w:rsidR="00000000" w:rsidDel="00000000" w:rsidP="00000000" w:rsidRDefault="00000000" w:rsidRPr="00000000" w14:paraId="0000000B">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Estrategia de selección de fuentes: se revisaron exclusivamente fuentes pertenecientes al Banco Maestro de Fuentes de la Matriz de Operacionalización (gratuitas, de registro gratuito, de suscripción e institucionales), priorizando aquellas con mayor probabilidad de generar publicaciones dentro de la ventana de análisis.</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Distribución por FCV: no se establecieron cuotas predeterminadas por Factor Crítico de Vigilancia; la distribución final de señales refleja exclusivamente la evidencia disponible dentro del periodo y del catálogo de fuentes.</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Regla de Veracidad aplicada: conforme al criterio adoptado para este primer boletín, la evidencia documental que sustenta cada señal debe provenir de una publicación perteneciente al Banco Maestro de Fuentes; no basta con que el actor que genera el hecho forme parte del ecosistema del Observatorio. El catálogo no fue modificado durante la elaboración de este ejercicio.</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Calibri" w:cs="Calibri" w:eastAsia="Calibri" w:hAnsi="Calibri"/>
          <w:rtl w:val="0"/>
        </w:rPr>
        <w:t xml:space="preserve">2.2 Señales capturadas</w:t>
      </w:r>
      <w:r w:rsidDel="00000000" w:rsidR="00000000" w:rsidRPr="00000000">
        <w:rPr>
          <w:rtl w:val="0"/>
        </w:rPr>
      </w:r>
    </w:p>
    <w:p w:rsidR="00000000" w:rsidDel="00000000" w:rsidP="00000000" w:rsidRDefault="00000000" w:rsidRPr="00000000" w14:paraId="0000000F">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Se realizó una búsqueda sistemática, fuente por fuente, dentro del catálogo del Banco Maestro, revisando más de sesenta publicaciones y páginas de fuentes candidatas. Cada publicación candidata fue evaluada frente a los cinco criterios de calidad para el registro definidos en el STA (sección 1.1.1): Relevancia, Oportunidad, Veracidad, Trazabilidad y Clasificabilidad, así como frente a la regla estricta de Veracidad descrita en 2.1. Como resultado de este proceso se registraron veintitrés casos candidatos: veinte fueron aceptados como señales válidas y tres fueron descartados por no poder sustentarse en una publicación exacta del catálogo dentro de la ventana de análisis. La tabla completa de trazabilidad, incluidos los casos descartados y el motivo específico de cada descarte, se presenta en la sección 2.5.</w:t>
      </w: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rFonts w:ascii="Calibri" w:cs="Calibri" w:eastAsia="Calibri" w:hAnsi="Calibri"/>
          <w:rtl w:val="0"/>
        </w:rPr>
        <w:t xml:space="preserve">2.3 Veinte señales clasificadas</w:t>
      </w:r>
      <w:r w:rsidDel="00000000" w:rsidR="00000000" w:rsidRPr="00000000">
        <w:rPr>
          <w:rtl w:val="0"/>
        </w:rPr>
      </w:r>
    </w:p>
    <w:p w:rsidR="00000000" w:rsidDel="00000000" w:rsidP="00000000" w:rsidRDefault="00000000" w:rsidRPr="00000000" w14:paraId="00000011">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tabla siguiente presenta las veinte señales aceptadas, cada una vinculada a su Factor Crítico de Vigilancia, la fuente del Banco Maestro que la sustenta y la referencia documental correspondiente.</w:t>
      </w:r>
      <w:r w:rsidDel="00000000" w:rsidR="00000000" w:rsidRPr="00000000">
        <w:rPr>
          <w:rtl w:val="0"/>
        </w:rPr>
      </w:r>
    </w:p>
    <w:tbl>
      <w:tblPr>
        <w:tblStyle w:val="Table1"/>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500"/>
        <w:gridCol w:w="1500"/>
        <w:gridCol w:w="4000"/>
        <w:gridCol w:w="2400"/>
        <w:gridCol w:w="900"/>
        <w:gridCol w:w="1500"/>
        <w:tblGridChange w:id="0">
          <w:tblGrid>
            <w:gridCol w:w="500"/>
            <w:gridCol w:w="1500"/>
            <w:gridCol w:w="4000"/>
            <w:gridCol w:w="2400"/>
            <w:gridCol w:w="900"/>
            <w:gridCol w:w="15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sz w:val="15"/>
                <w:szCs w:val="15"/>
                <w:rtl w:val="0"/>
              </w:rPr>
              <w:t xml:space="preserv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15"/>
                <w:szCs w:val="15"/>
                <w:rtl w:val="0"/>
              </w:rPr>
              <w:t xml:space="preserve">FCV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1"/>
                <w:bCs w:val="1"/>
                <w:sz w:val="15"/>
                <w:szCs w:val="15"/>
                <w:rtl w:val="0"/>
              </w:rPr>
              <w:t xml:space="preserve">Título del hecho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sz w:val="15"/>
                <w:szCs w:val="15"/>
                <w:rtl w:val="0"/>
              </w:rPr>
              <w:t xml:space="preserve">Fuente del catálogo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1"/>
                <w:bCs w:val="1"/>
                <w:sz w:val="15"/>
                <w:szCs w:val="15"/>
                <w:rtl w:val="0"/>
              </w:rPr>
              <w:t xml:space="preserve">Fecha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sz w:val="15"/>
                <w:szCs w:val="15"/>
                <w:rtl w:val="0"/>
              </w:rPr>
              <w:t xml:space="preserve">Referencia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0"/>
                <w:bCs w:val="0"/>
                <w:sz w:val="15"/>
                <w:szCs w:val="15"/>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15"/>
                <w:szCs w:val="15"/>
                <w:rtl w:val="0"/>
              </w:rPr>
              <w:t xml:space="preserve">Manufactura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15"/>
                <w:szCs w:val="15"/>
                <w:rtl w:val="0"/>
              </w:rPr>
              <w:t xml:space="preserve">Brecha oferta-demanda de CoWoS de TSMC se reduce de 20% a 10% para fin de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15"/>
                <w:szCs w:val="15"/>
                <w:rtl w:val="0"/>
              </w:rPr>
              <w:t xml:space="preserve">TrendForce / DRAMeXchange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15"/>
                <w:szCs w:val="15"/>
                <w:rtl w:val="0"/>
              </w:rPr>
              <w:t xml:space="preserve">15-jun-2026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rPr/>
            </w:pPr>
            <w:hyperlink r:id="rId6">
              <w:r w:rsidDel="00000000" w:rsidR="00000000" w:rsidRPr="00000000">
                <w:rPr>
                  <w:rFonts w:ascii="Calibri" w:cs="Calibri" w:eastAsia="Calibri" w:hAnsi="Calibri"/>
                  <w:color w:val="0563c1"/>
                  <w:sz w:val="15"/>
                  <w:szCs w:val="15"/>
                  <w:u w:val="single"/>
                  <w:rtl w:val="0"/>
                </w:rPr>
                <w:t xml:space="preserve">trendforce.com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sz w:val="15"/>
                <w:szCs w:val="15"/>
                <w:rtl w:val="0"/>
              </w:rPr>
              <w:t xml:space="preserve">Tecnología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15"/>
                <w:szCs w:val="15"/>
                <w:rtl w:val="0"/>
              </w:rPr>
              <w:t xml:space="preserve">Publicación IEEE sobre regulador LDO en tecnología GaN híbrida (JSSC,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15"/>
                <w:szCs w:val="15"/>
                <w:rtl w:val="0"/>
              </w:rPr>
              <w:t xml:space="preserve">IEEE Xplore (BM-002)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sz w:val="15"/>
                <w:szCs w:val="15"/>
                <w:rtl w:val="0"/>
              </w:rPr>
              <w:t xml:space="preserve">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3">
            <w:pPr>
              <w:rPr/>
            </w:pPr>
            <w:hyperlink r:id="rId7">
              <w:r w:rsidDel="00000000" w:rsidR="00000000" w:rsidRPr="00000000">
                <w:rPr>
                  <w:rFonts w:ascii="Calibri" w:cs="Calibri" w:eastAsia="Calibri" w:hAnsi="Calibri"/>
                  <w:color w:val="0563c1"/>
                  <w:sz w:val="15"/>
                  <w:szCs w:val="15"/>
                  <w:u w:val="single"/>
                  <w:rtl w:val="0"/>
                </w:rPr>
                <w:t xml:space="preserve">DOI 10.1109/JSSC.2026.3702962</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0"/>
                <w:bCs w:val="0"/>
                <w:sz w:val="15"/>
                <w:szCs w:val="15"/>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15"/>
                <w:szCs w:val="15"/>
                <w:rtl w:val="0"/>
              </w:rPr>
              <w:t xml:space="preserve">Cuello de botella de empaquetado avanzado de TSMC desborda demanda a toda la 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15"/>
                <w:szCs w:val="15"/>
                <w:rtl w:val="0"/>
              </w:rPr>
              <w:t xml:space="preserve">DIGITIMES Asia (BM-056)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5"/>
                <w:szCs w:val="15"/>
                <w:rtl w:val="0"/>
              </w:rPr>
              <w:t xml:space="preserve">7-jul-2026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9">
            <w:pPr>
              <w:rPr/>
            </w:pPr>
            <w:hyperlink r:id="rId8">
              <w:r w:rsidDel="00000000" w:rsidR="00000000" w:rsidRPr="00000000">
                <w:rPr>
                  <w:rFonts w:ascii="Calibri" w:cs="Calibri" w:eastAsia="Calibri" w:hAnsi="Calibri"/>
                  <w:color w:val="0563c1"/>
                  <w:sz w:val="15"/>
                  <w:szCs w:val="15"/>
                  <w:u w:val="single"/>
                  <w:rtl w:val="0"/>
                </w:rPr>
                <w:t xml:space="preserve">digitimes.com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0"/>
                <w:bCs w:val="0"/>
                <w:sz w:val="15"/>
                <w:szCs w:val="15"/>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5"/>
                <w:szCs w:val="15"/>
                <w:rtl w:val="0"/>
              </w:rPr>
              <w:t xml:space="preserve">Mercado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15"/>
                <w:szCs w:val="15"/>
                <w:rtl w:val="0"/>
              </w:rPr>
              <w:t xml:space="preserve">Samsung busca alza de hasta 20% en precios DRAM para 3T26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5"/>
                <w:szCs w:val="15"/>
                <w:rtl w:val="0"/>
              </w:rPr>
              <w:t xml:space="preserve">TrendForce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5"/>
                <w:szCs w:val="15"/>
                <w:rtl w:val="0"/>
              </w:rPr>
              <w:t xml:space="preserve">3-jul-2026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F">
            <w:pPr>
              <w:rPr/>
            </w:pPr>
            <w:hyperlink r:id="rId9">
              <w:r w:rsidDel="00000000" w:rsidR="00000000" w:rsidRPr="00000000">
                <w:rPr>
                  <w:rFonts w:ascii="Calibri" w:cs="Calibri" w:eastAsia="Calibri" w:hAnsi="Calibri"/>
                  <w:color w:val="0563c1"/>
                  <w:sz w:val="15"/>
                  <w:szCs w:val="15"/>
                  <w:u w:val="single"/>
                  <w:rtl w:val="0"/>
                </w:rPr>
                <w:t xml:space="preserve">trendforce.com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15"/>
                <w:szCs w:val="15"/>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15"/>
                <w:szCs w:val="15"/>
                <w:rtl w:val="0"/>
              </w:rPr>
              <w:t xml:space="preserve">Mercado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5"/>
                <w:szCs w:val="15"/>
                <w:rtl w:val="0"/>
              </w:rPr>
              <w:t xml:space="preserve">Contratos de largo plazo (LTA) limitan alzas; DRAM de servidor subiría 13-18% QoQ en 3T26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15"/>
                <w:szCs w:val="15"/>
                <w:rtl w:val="0"/>
              </w:rPr>
              <w:t xml:space="preserve">TrendForce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5"/>
                <w:szCs w:val="15"/>
                <w:rtl w:val="0"/>
              </w:rPr>
              <w:t xml:space="preserve">9-jul-2026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5">
            <w:pPr>
              <w:rPr/>
            </w:pPr>
            <w:hyperlink r:id="rId10">
              <w:r w:rsidDel="00000000" w:rsidR="00000000" w:rsidRPr="00000000">
                <w:rPr>
                  <w:rFonts w:ascii="Calibri" w:cs="Calibri" w:eastAsia="Calibri" w:hAnsi="Calibri"/>
                  <w:color w:val="0563c1"/>
                  <w:sz w:val="15"/>
                  <w:szCs w:val="15"/>
                  <w:u w:val="single"/>
                  <w:rtl w:val="0"/>
                </w:rPr>
                <w:t xml:space="preserve">trendforce.com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5"/>
                <w:szCs w:val="15"/>
                <w:rtl w:val="0"/>
              </w:rPr>
              <w:t xml:space="preserve">onsemi adquiere Synaptics (~7,000 mdd, transacción accionaria)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5"/>
                <w:szCs w:val="15"/>
                <w:rtl w:val="0"/>
              </w:rPr>
              <w:t xml:space="preserve">SEC EDGAR (BM-017)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5"/>
                <w:szCs w:val="15"/>
                <w:rtl w:val="0"/>
              </w:rPr>
              <w:t xml:space="preserve">25-jun-2026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B">
            <w:pPr>
              <w:rPr/>
            </w:pPr>
            <w:hyperlink r:id="rId11">
              <w:r w:rsidDel="00000000" w:rsidR="00000000" w:rsidRPr="00000000">
                <w:rPr>
                  <w:rFonts w:ascii="Calibri" w:cs="Calibri" w:eastAsia="Calibri" w:hAnsi="Calibri"/>
                  <w:color w:val="0563c1"/>
                  <w:sz w:val="15"/>
                  <w:szCs w:val="15"/>
                  <w:u w:val="single"/>
                  <w:rtl w:val="0"/>
                </w:rPr>
                <w:t xml:space="preserve">sec.gov (8-K)</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0"/>
                <w:bCs w:val="0"/>
                <w:sz w:val="15"/>
                <w:szCs w:val="15"/>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sz w:val="15"/>
                <w:szCs w:val="15"/>
                <w:rtl w:val="0"/>
              </w:rPr>
              <w:t xml:space="preserve">Regulación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sz w:val="15"/>
                <w:szCs w:val="15"/>
                <w:rtl w:val="0"/>
              </w:rPr>
              <w:t xml:space="preserve">Comisión Europea aprueba ayuda estatal de €76M a QuantumDiamonds (metrología de semiconductores)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sz w:val="15"/>
                <w:szCs w:val="15"/>
                <w:rtl w:val="0"/>
              </w:rPr>
              <w:t xml:space="preserve">Comisión Europea — European Chips Act (BM-065)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sz w:val="15"/>
                <w:szCs w:val="15"/>
                <w:rtl w:val="0"/>
              </w:rPr>
              <w:t xml:space="preserve">23-jun-2026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rPr/>
            </w:pPr>
            <w:hyperlink r:id="rId12">
              <w:r w:rsidDel="00000000" w:rsidR="00000000" w:rsidRPr="00000000">
                <w:rPr>
                  <w:rFonts w:ascii="Calibri" w:cs="Calibri" w:eastAsia="Calibri" w:hAnsi="Calibri"/>
                  <w:color w:val="0563c1"/>
                  <w:sz w:val="15"/>
                  <w:szCs w:val="15"/>
                  <w:u w:val="single"/>
                  <w:rtl w:val="0"/>
                </w:rPr>
                <w:t xml:space="preserve">digital-strategy.ec.europa.eu</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sz w:val="15"/>
                <w:szCs w:val="15"/>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15"/>
                <w:szCs w:val="15"/>
                <w:rtl w:val="0"/>
              </w:rPr>
              <w:t xml:space="preserve">CHIPS R&amp;D: acuerdo definitivo de $250M con I-Pulse para semiconductores de carburo de silicio (SiC)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5"/>
                <w:szCs w:val="15"/>
                <w:rtl w:val="0"/>
              </w:rPr>
              <w:t xml:space="preserve">25-jun-2026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rPr/>
            </w:pPr>
            <w:hyperlink r:id="rId13">
              <w:r w:rsidDel="00000000" w:rsidR="00000000" w:rsidRPr="00000000">
                <w:rPr>
                  <w:rFonts w:ascii="Calibri" w:cs="Calibri" w:eastAsia="Calibri" w:hAnsi="Calibri"/>
                  <w:color w:val="0563c1"/>
                  <w:sz w:val="15"/>
                  <w:szCs w:val="15"/>
                  <w:u w:val="single"/>
                  <w:rtl w:val="0"/>
                </w:rPr>
                <w:t xml:space="preserve">nist.gov</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0"/>
                <w:bCs w:val="0"/>
                <w:sz w:val="15"/>
                <w:szCs w:val="15"/>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15"/>
                <w:szCs w:val="15"/>
                <w:rtl w:val="0"/>
              </w:rPr>
              <w:t xml:space="preserve">CHIPS R&amp;D: acuerdo definitivo de $500M con SandboxAQ para descubrimiento de materiales con 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5"/>
                <w:szCs w:val="15"/>
                <w:rtl w:val="0"/>
              </w:rPr>
              <w:t xml:space="preserve">17-jun-2026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D">
            <w:pPr>
              <w:rPr/>
            </w:pPr>
            <w:hyperlink r:id="rId14">
              <w:r w:rsidDel="00000000" w:rsidR="00000000" w:rsidRPr="00000000">
                <w:rPr>
                  <w:rFonts w:ascii="Calibri" w:cs="Calibri" w:eastAsia="Calibri" w:hAnsi="Calibri"/>
                  <w:color w:val="0563c1"/>
                  <w:sz w:val="15"/>
                  <w:szCs w:val="15"/>
                  <w:u w:val="single"/>
                  <w:rtl w:val="0"/>
                </w:rPr>
                <w:t xml:space="preserve">nist.gov</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5"/>
                <w:szCs w:val="15"/>
                <w:rtl w:val="0"/>
              </w:rPr>
              <w:t xml:space="preserve">Manufactura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5"/>
                <w:szCs w:val="15"/>
                <w:rtl w:val="0"/>
              </w:rPr>
              <w:t xml:space="preserve">Carta de intención CHIPS de $50M con Coherent para planta de InP en Sherman, TX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5"/>
                <w:szCs w:val="15"/>
                <w:rtl w:val="0"/>
              </w:rPr>
              <w:t xml:space="preserve">16-jun-2026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3">
            <w:pPr>
              <w:rPr/>
            </w:pPr>
            <w:hyperlink r:id="rId15">
              <w:r w:rsidDel="00000000" w:rsidR="00000000" w:rsidRPr="00000000">
                <w:rPr>
                  <w:rFonts w:ascii="Calibri" w:cs="Calibri" w:eastAsia="Calibri" w:hAnsi="Calibri"/>
                  <w:color w:val="0563c1"/>
                  <w:sz w:val="15"/>
                  <w:szCs w:val="15"/>
                  <w:u w:val="single"/>
                  <w:rtl w:val="0"/>
                </w:rPr>
                <w:t xml:space="preserve">nist.gov</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15"/>
                <w:szCs w:val="15"/>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15"/>
                <w:szCs w:val="15"/>
                <w:rtl w:val="0"/>
              </w:rPr>
              <w:t xml:space="preserve">SIA presenta comentarios ante el ITC sobre transparencia en procedimientos de la Sección 337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15"/>
                <w:szCs w:val="15"/>
                <w:rtl w:val="0"/>
              </w:rPr>
              <w:t xml:space="preserve">SIA (BM-026/031/035)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sz w:val="15"/>
                <w:szCs w:val="15"/>
                <w:rtl w:val="0"/>
              </w:rPr>
              <w:t xml:space="preserve">29-jun-2026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9">
            <w:pPr>
              <w:rPr/>
            </w:pPr>
            <w:hyperlink r:id="rId16">
              <w:r w:rsidDel="00000000" w:rsidR="00000000" w:rsidRPr="00000000">
                <w:rPr>
                  <w:rFonts w:ascii="Calibri" w:cs="Calibri" w:eastAsia="Calibri" w:hAnsi="Calibri"/>
                  <w:color w:val="0563c1"/>
                  <w:sz w:val="15"/>
                  <w:szCs w:val="15"/>
                  <w:u w:val="single"/>
                  <w:rtl w:val="0"/>
                </w:rPr>
                <w:t xml:space="preserve">semiconductors.org (PDF)</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0"/>
                <w:bCs w:val="0"/>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15"/>
                <w:szCs w:val="15"/>
                <w:rtl w:val="0"/>
              </w:rPr>
              <w:t xml:space="preserve">SEMICON West 2026 anuncia pabellón dedicado de desarrollo de talento (Workforce Development Pavilion)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15"/>
                <w:szCs w:val="15"/>
                <w:rtl w:val="0"/>
              </w:rPr>
              <w:t xml:space="preserve">SEMI (BM-008)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sz w:val="15"/>
                <w:szCs w:val="15"/>
                <w:rtl w:val="0"/>
              </w:rPr>
              <w:t xml:space="preserve">23-jun-2026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F">
            <w:pPr>
              <w:rPr/>
            </w:pPr>
            <w:hyperlink r:id="rId17">
              <w:r w:rsidDel="00000000" w:rsidR="00000000" w:rsidRPr="00000000">
                <w:rPr>
                  <w:rFonts w:ascii="Calibri" w:cs="Calibri" w:eastAsia="Calibri" w:hAnsi="Calibri"/>
                  <w:color w:val="0563c1"/>
                  <w:sz w:val="15"/>
                  <w:szCs w:val="15"/>
                  <w:u w:val="single"/>
                  <w:rtl w:val="0"/>
                </w:rPr>
                <w:t xml:space="preserve">semi.org</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sz w:val="15"/>
                <w:szCs w:val="15"/>
                <w:rtl w:val="0"/>
              </w:rPr>
              <w:t xml:space="preserve">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15"/>
                <w:szCs w:val="15"/>
                <w:rtl w:val="0"/>
              </w:rPr>
              <w:t xml:space="preserve">Sostenibilidad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sz w:val="15"/>
                <w:szCs w:val="15"/>
                <w:rtl w:val="0"/>
              </w:rPr>
              <w:t xml:space="preserve">Samsung Semiconductor publica su Reporte de Sostenibilidad 2026 (reposición hídrica, meta net-zero)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sz w:val="15"/>
                <w:szCs w:val="15"/>
                <w:rtl w:val="0"/>
              </w:rPr>
              <w:t xml:space="preserve">Samsung Semiconductor Global (BM-060)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sz w:val="15"/>
                <w:szCs w:val="15"/>
                <w:rtl w:val="0"/>
              </w:rPr>
              <w:t xml:space="preserve">26-jun-2026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5">
            <w:pPr>
              <w:rPr/>
            </w:pPr>
            <w:hyperlink r:id="rId18">
              <w:r w:rsidDel="00000000" w:rsidR="00000000" w:rsidRPr="00000000">
                <w:rPr>
                  <w:rFonts w:ascii="Calibri" w:cs="Calibri" w:eastAsia="Calibri" w:hAnsi="Calibri"/>
                  <w:color w:val="0563c1"/>
                  <w:sz w:val="15"/>
                  <w:szCs w:val="15"/>
                  <w:u w:val="single"/>
                  <w:rtl w:val="0"/>
                </w:rPr>
                <w:t xml:space="preserve">semiconductor.samsung.com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0"/>
                <w:bCs w:val="0"/>
                <w:sz w:val="15"/>
                <w:szCs w:val="15"/>
                <w:rtl w:val="0"/>
              </w:rPr>
              <w:t xml:space="preserve">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15"/>
                <w:szCs w:val="15"/>
                <w:rtl w:val="0"/>
              </w:rPr>
              <w:t xml:space="preserve">Tecnología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15"/>
                <w:szCs w:val="15"/>
                <w:rtl w:val="0"/>
              </w:rPr>
              <w:t xml:space="preserve">Apple M5 Pro: análisis de empaque revela hybrid bonding SoIC-X de TSMC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15"/>
                <w:szCs w:val="15"/>
                <w:rtl w:val="0"/>
              </w:rPr>
              <w:t xml:space="preserve">TechInsights (BM-055)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15"/>
                <w:szCs w:val="15"/>
                <w:rtl w:val="0"/>
              </w:rPr>
              <w:t xml:space="preserve">30-jun-2026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B">
            <w:pPr>
              <w:rPr/>
            </w:pPr>
            <w:hyperlink r:id="rId19">
              <w:r w:rsidDel="00000000" w:rsidR="00000000" w:rsidRPr="00000000">
                <w:rPr>
                  <w:rFonts w:ascii="Calibri" w:cs="Calibri" w:eastAsia="Calibri" w:hAnsi="Calibri"/>
                  <w:color w:val="0563c1"/>
                  <w:sz w:val="15"/>
                  <w:szCs w:val="15"/>
                  <w:u w:val="single"/>
                  <w:rtl w:val="0"/>
                </w:rPr>
                <w:t xml:space="preserve">techinsights.com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sz w:val="15"/>
                <w:szCs w:val="15"/>
                <w:rtl w:val="0"/>
              </w:rPr>
              <w:t xml:space="preserve">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15"/>
                <w:szCs w:val="15"/>
                <w:rtl w:val="0"/>
              </w:rPr>
              <w:t xml:space="preserve">Análisis NNME/SEMI/NSF/McKinsey: la industria de EE. UU. necesitará 189K trabajadores adicionales para 2030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1">
            <w:pPr>
              <w:rPr/>
            </w:pPr>
            <w:hyperlink r:id="rId20">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15"/>
                <w:szCs w:val="15"/>
                <w:rtl w:val="0"/>
              </w:rPr>
              <w:t xml:space="preserve">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5"/>
                <w:szCs w:val="15"/>
                <w:rtl w:val="0"/>
              </w:rPr>
              <w:t xml:space="preserve">ITC reafirma que Innoscience infringió una patente de Infineon (GaN); prohibición de importación y venta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7">
            <w:pPr>
              <w:rPr/>
            </w:pPr>
            <w:hyperlink r:id="rId21">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sz w:val="15"/>
                <w:szCs w:val="15"/>
                <w:rtl w:val="0"/>
              </w:rPr>
              <w:t xml:space="preserve">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15"/>
                <w:szCs w:val="15"/>
                <w:rtl w:val="0"/>
              </w:rPr>
              <w:t xml:space="preserve">Wolfspeed demanda a Navitas por infracción de patentes GaN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D">
            <w:pPr>
              <w:rPr/>
            </w:pPr>
            <w:hyperlink r:id="rId22">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0"/>
                <w:bCs w:val="0"/>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15"/>
                <w:szCs w:val="15"/>
                <w:rtl w:val="0"/>
              </w:rPr>
              <w:t xml:space="preserve">Micron eleva su inversión en EE. UU. a $250,000 mdd al 2035; meta de 40% de su DRAM producida en EE. UU.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3">
            <w:pPr>
              <w:rPr/>
            </w:pPr>
            <w:hyperlink r:id="rId23">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sz w:val="15"/>
                <w:szCs w:val="15"/>
                <w:rtl w:val="0"/>
              </w:rPr>
              <w:t xml:space="preserve">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15"/>
                <w:szCs w:val="15"/>
                <w:rtl w:val="0"/>
              </w:rPr>
              <w:t xml:space="preserve">SK hynix comienza a cotizar en Nasdaq (ADR), recauda ~$26,500 mdd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rPr/>
            </w:pPr>
            <w:hyperlink r:id="rId24">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0"/>
                <w:bCs w:val="0"/>
                <w:sz w:val="15"/>
                <w:szCs w:val="15"/>
                <w:rtl w:val="0"/>
              </w:rPr>
              <w:t xml:space="preserve">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15"/>
                <w:szCs w:val="15"/>
                <w:rtl w:val="0"/>
              </w:rPr>
              <w:t xml:space="preserve">Micron invierte $3,000 mdd en cadena de suministro de IC en EE. UU., incl. planta de obleas de GlobalWafers en Sherman, TX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5"/>
                <w:szCs w:val="15"/>
                <w:rtl w:val="0"/>
              </w:rPr>
              <w:t xml:space="preserve">10-jul-2026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F">
            <w:pPr>
              <w:rPr/>
            </w:pPr>
            <w:hyperlink r:id="rId25">
              <w:r w:rsidDel="00000000" w:rsidR="00000000" w:rsidRPr="00000000">
                <w:rPr>
                  <w:rFonts w:ascii="Calibri" w:cs="Calibri" w:eastAsia="Calibri" w:hAnsi="Calibri"/>
                  <w:color w:val="0563c1"/>
                  <w:sz w:val="15"/>
                  <w:szCs w:val="15"/>
                  <w:u w:val="single"/>
                  <w:rtl w:val="0"/>
                </w:rPr>
                <w:t xml:space="preserve">semiengineering.com</w:t>
              </w:r>
            </w:hyperlink>
            <w:r w:rsidDel="00000000" w:rsidR="00000000" w:rsidRPr="00000000">
              <w:rPr>
                <w:rtl w:val="0"/>
              </w:rPr>
            </w:r>
          </w:p>
        </w:tc>
      </w:tr>
    </w:tbl>
    <w:p w:rsidR="00000000" w:rsidDel="00000000" w:rsidP="00000000" w:rsidRDefault="00000000" w:rsidRPr="00000000" w14:paraId="00000090">
      <w:pPr>
        <w:pStyle w:val="Heading2"/>
        <w:spacing w:after="160" w:before="280" w:lineRule="auto"/>
        <w:rPr/>
      </w:pPr>
      <w:r w:rsidDel="00000000" w:rsidR="00000000" w:rsidRPr="00000000">
        <w:rPr>
          <w:rFonts w:ascii="Calibri" w:cs="Calibri" w:eastAsia="Calibri" w:hAnsi="Calibri"/>
          <w:rtl w:val="0"/>
        </w:rPr>
        <w:t xml:space="preserve">2.4 Evaluación mediante Impacto, Urgencia y Confiabilidad (IPS)</w:t>
      </w: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Cada señal fue evaluada de forma independiente mediante los instrumentos de Impacto (Tabla 3 del STA), Urgencia (Tabla 5) y Confiabilidad (Tabla 7), y el Índice de Prioridad de la Señal se calculó como IPS = Impacto × Urgencia × Confiabilidad. Para el criterio de Confiabilidad se reutilizó la preclasificación de fuente ya registrada en el Banco Maestro para las categorías A (Identificación y trazabilidad) y B (Autoridad de la fuente), y se evaluaron de forma específica las categorías C (Calidad documental) y D (Consistencia y corroboración) para cada documento particular, conforme al procedimiento de preclasificación descrito en la sección 1.2.2.1.3 del STA.</w:t>
      </w:r>
      <w:r w:rsidDel="00000000" w:rsidR="00000000" w:rsidRPr="00000000">
        <w:rPr>
          <w:rtl w:val="0"/>
        </w:rPr>
      </w:r>
    </w:p>
    <w:tbl>
      <w:tblPr>
        <w:tblStyle w:val="Table2"/>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500"/>
        <w:gridCol w:w="2400"/>
        <w:gridCol w:w="2400"/>
        <w:gridCol w:w="2500"/>
        <w:gridCol w:w="1000"/>
        <w:gridCol w:w="2000"/>
        <w:tblGridChange w:id="0">
          <w:tblGrid>
            <w:gridCol w:w="500"/>
            <w:gridCol w:w="2400"/>
            <w:gridCol w:w="2400"/>
            <w:gridCol w:w="2500"/>
            <w:gridCol w:w="1000"/>
            <w:gridCol w:w="20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1"/>
                <w:bCs w:val="1"/>
                <w:sz w:val="15"/>
                <w:szCs w:val="15"/>
                <w:rtl w:val="0"/>
              </w:rPr>
              <w:t xml:space="preserv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sz w:val="15"/>
                <w:szCs w:val="15"/>
                <w:rtl w:val="0"/>
              </w:rPr>
              <w:t xml:space="preserve">Impacto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1"/>
                <w:bCs w:val="1"/>
                <w:sz w:val="15"/>
                <w:szCs w:val="15"/>
                <w:rtl w:val="0"/>
              </w:rPr>
              <w:t xml:space="preserve">Urgencia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1"/>
                <w:bCs w:val="1"/>
                <w:sz w:val="15"/>
                <w:szCs w:val="15"/>
                <w:rtl w:val="0"/>
              </w:rPr>
              <w:t xml:space="preserve">Confiabilidad</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1"/>
                <w:bCs w:val="1"/>
                <w:sz w:val="15"/>
                <w:szCs w:val="15"/>
                <w:rtl w:val="0"/>
              </w:rPr>
              <w:t xml:space="preserve">IPS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1"/>
                <w:bCs w:val="1"/>
                <w:sz w:val="15"/>
                <w:szCs w:val="15"/>
                <w:rtl w:val="0"/>
              </w:rPr>
              <w:t xml:space="preserve">Clasificación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sz w:val="15"/>
                <w:szCs w:val="15"/>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sz w:val="15"/>
                <w:szCs w:val="15"/>
                <w:rtl w:val="0"/>
              </w:rPr>
              <w:t xml:space="preserve">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15"/>
                <w:szCs w:val="15"/>
                <w:rtl w:val="0"/>
              </w:rPr>
              <w:t xml:space="preserve">~80%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sz w:val="15"/>
                <w:szCs w:val="15"/>
                <w:rtl w:val="0"/>
              </w:rPr>
              <w:t xml:space="preserve">5 → Medio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15"/>
                <w:szCs w:val="15"/>
                <w:rtl w:val="0"/>
              </w:rPr>
              <w:t xml:space="preserve">0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15"/>
                <w:szCs w:val="15"/>
                <w:rtl w:val="0"/>
              </w:rPr>
              <w:t xml:space="preserve">~92%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15"/>
                <w:szCs w:val="15"/>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15"/>
                <w:szCs w:val="15"/>
                <w:rtl w:val="0"/>
              </w:rPr>
              <w:t xml:space="preserve">~65%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0"/>
                <w:bCs w:val="0"/>
                <w:sz w:val="15"/>
                <w:szCs w:val="15"/>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15"/>
                <w:szCs w:val="15"/>
                <w:rtl w:val="0"/>
              </w:rPr>
              <w:t xml:space="preserve">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15"/>
                <w:szCs w:val="15"/>
                <w:rtl w:val="0"/>
              </w:rPr>
              <w:t xml:space="preserve">~68%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0"/>
                <w:bCs w:val="0"/>
                <w:sz w:val="15"/>
                <w:szCs w:val="15"/>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15"/>
                <w:szCs w:val="15"/>
                <w:rtl w:val="0"/>
              </w:rPr>
              <w:t xml:space="preserve">8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sz w:val="15"/>
                <w:szCs w:val="15"/>
                <w:rtl w:val="0"/>
              </w:rPr>
              <w:t xml:space="preserve">~78%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0"/>
                <w:bCs w:val="0"/>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sz w:val="15"/>
                <w:szCs w:val="15"/>
                <w:rtl w:val="0"/>
              </w:rPr>
              <w:t xml:space="preserve">~90%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0"/>
                <w:bCs w:val="0"/>
                <w:sz w:val="15"/>
                <w:szCs w:val="15"/>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sz w:val="15"/>
                <w:szCs w:val="15"/>
                <w:rtl w:val="0"/>
              </w:rPr>
              <w:t xml:space="preserve">5 → Medio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sz w:val="15"/>
                <w:szCs w:val="15"/>
                <w:rtl w:val="0"/>
              </w:rPr>
              <w:t xml:space="preserve">~90%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0"/>
                <w:bCs w:val="0"/>
                <w:sz w:val="15"/>
                <w:szCs w:val="15"/>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sz w:val="15"/>
                <w:szCs w:val="15"/>
                <w:rtl w:val="0"/>
              </w:rPr>
              <w:t xml:space="preserve">8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sz w:val="15"/>
                <w:szCs w:val="15"/>
                <w:rtl w:val="0"/>
              </w:rPr>
              <w:t xml:space="preserve">~90%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0"/>
                <w:bCs w:val="0"/>
                <w:sz w:val="15"/>
                <w:szCs w:val="15"/>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sz w:val="15"/>
                <w:szCs w:val="15"/>
                <w:rtl w:val="0"/>
              </w:rPr>
              <w:t xml:space="preserve">~90%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0"/>
                <w:bCs w:val="0"/>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sz w:val="15"/>
                <w:szCs w:val="15"/>
                <w:rtl w:val="0"/>
              </w:rPr>
              <w:t xml:space="preserve">5 → Medio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sz w:val="15"/>
                <w:szCs w:val="15"/>
                <w:rtl w:val="0"/>
              </w:rPr>
              <w:t xml:space="preserve">3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15"/>
                <w:szCs w:val="15"/>
                <w:rtl w:val="0"/>
              </w:rPr>
              <w:t xml:space="preserve">~90%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4">
            <w:pPr>
              <w:jc w:val="center"/>
              <w:rPr/>
            </w:pPr>
            <w:r w:rsidDel="00000000" w:rsidR="00000000" w:rsidRPr="00000000">
              <w:rPr>
                <w:rFonts w:ascii="Calibri" w:cs="Calibri" w:eastAsia="Calibri" w:hAnsi="Calibri"/>
                <w:b w:val="0"/>
                <w:bCs w:val="0"/>
                <w:sz w:val="15"/>
                <w:szCs w:val="15"/>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15"/>
                <w:szCs w:val="15"/>
                <w:rtl w:val="0"/>
              </w:rPr>
              <w:t xml:space="preserve">8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15"/>
                <w:szCs w:val="15"/>
                <w:rtl w:val="0"/>
              </w:rPr>
              <w:t xml:space="preserve">3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sz w:val="15"/>
                <w:szCs w:val="15"/>
                <w:rtl w:val="0"/>
              </w:rPr>
              <w:t xml:space="preserve">~85%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sz w:val="15"/>
                <w:szCs w:val="15"/>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0"/>
                <w:bCs w:val="0"/>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sz w:val="15"/>
                <w:szCs w:val="15"/>
                <w:rtl w:val="0"/>
              </w:rPr>
              <w:t xml:space="preserve">5 → Medio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sz w:val="15"/>
                <w:szCs w:val="15"/>
                <w:rtl w:val="0"/>
              </w:rPr>
              <w:t xml:space="preserve">~85%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1"/>
                <w:bCs w:val="1"/>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0"/>
                <w:bCs w:val="0"/>
                <w:sz w:val="15"/>
                <w:szCs w:val="15"/>
                <w:rtl w:val="0"/>
              </w:rPr>
              <w:t xml:space="preserve">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sz w:val="15"/>
                <w:szCs w:val="15"/>
                <w:rtl w:val="0"/>
              </w:rPr>
              <w:t xml:space="preserve">0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sz w:val="15"/>
                <w:szCs w:val="15"/>
                <w:rtl w:val="0"/>
              </w:rPr>
              <w:t xml:space="preserve">~65%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b w:val="0"/>
                <w:bCs w:val="0"/>
                <w:sz w:val="15"/>
                <w:szCs w:val="15"/>
                <w:rtl w:val="0"/>
              </w:rPr>
              <w:t xml:space="preserve">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sz w:val="15"/>
                <w:szCs w:val="15"/>
                <w:rtl w:val="0"/>
              </w:rPr>
              <w:t xml:space="preserve">10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sz w:val="15"/>
                <w:szCs w:val="15"/>
                <w:rtl w:val="0"/>
              </w:rPr>
              <w:t xml:space="preserve">3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sz w:val="15"/>
                <w:szCs w:val="15"/>
                <w:rtl w:val="0"/>
              </w:rPr>
              <w:t xml:space="preserve">~85%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A">
            <w:pPr>
              <w:jc w:val="center"/>
              <w:rPr/>
            </w:pPr>
            <w:r w:rsidDel="00000000" w:rsidR="00000000" w:rsidRPr="00000000">
              <w:rPr>
                <w:rFonts w:ascii="Calibri" w:cs="Calibri" w:eastAsia="Calibri" w:hAnsi="Calibri"/>
                <w:b w:val="1"/>
                <w:bCs w:val="1"/>
                <w:sz w:val="15"/>
                <w:szCs w:val="15"/>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0"/>
                <w:bCs w:val="0"/>
                <w:sz w:val="15"/>
                <w:szCs w:val="15"/>
                <w:rtl w:val="0"/>
              </w:rPr>
              <w:t xml:space="preserve">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sz w:val="15"/>
                <w:szCs w:val="15"/>
                <w:rtl w:val="0"/>
              </w:rPr>
              <w:t xml:space="preserve">10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sz w:val="15"/>
                <w:szCs w:val="15"/>
                <w:rtl w:val="0"/>
              </w:rPr>
              <w:t xml:space="preserve">1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15"/>
                <w:szCs w:val="15"/>
                <w:rtl w:val="0"/>
              </w:rPr>
              <w:t xml:space="preserve">~60%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0"/>
                <w:bCs w:val="0"/>
                <w:sz w:val="15"/>
                <w:szCs w:val="15"/>
                <w:rtl w:val="0"/>
              </w:rPr>
              <w:t xml:space="preserve">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sz w:val="15"/>
                <w:szCs w:val="15"/>
                <w:rtl w:val="0"/>
              </w:rPr>
              <w:t xml:space="preserve">8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sz w:val="15"/>
                <w:szCs w:val="15"/>
                <w:rtl w:val="0"/>
              </w:rPr>
              <w:t xml:space="preserve">8 → Alta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sz w:val="15"/>
                <w:szCs w:val="15"/>
                <w:rtl w:val="0"/>
              </w:rPr>
              <w:t xml:space="preserve">~60%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0"/>
                <w:bCs w:val="0"/>
                <w:sz w:val="15"/>
                <w:szCs w:val="15"/>
                <w:rtl w:val="0"/>
              </w:rPr>
              <w:t xml:space="preserve">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sz w:val="15"/>
                <w:szCs w:val="15"/>
                <w:rtl w:val="0"/>
              </w:rPr>
              <w:t xml:space="preserve">5 → Medio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sz w:val="15"/>
                <w:szCs w:val="15"/>
                <w:rtl w:val="0"/>
              </w:rPr>
              <w:t xml:space="preserve">3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15"/>
                <w:szCs w:val="15"/>
                <w:rtl w:val="0"/>
              </w:rPr>
              <w:t xml:space="preserve">~55%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sz w:val="15"/>
                <w:szCs w:val="15"/>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0"/>
                <w:bCs w:val="0"/>
                <w:sz w:val="15"/>
                <w:szCs w:val="15"/>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sz w:val="15"/>
                <w:szCs w:val="15"/>
                <w:rtl w:val="0"/>
              </w:rPr>
              <w:t xml:space="preserve">10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sz w:val="15"/>
                <w:szCs w:val="15"/>
                <w:rtl w:val="0"/>
              </w:rPr>
              <w:t xml:space="preserve">1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sz w:val="15"/>
                <w:szCs w:val="15"/>
                <w:rtl w:val="0"/>
              </w:rPr>
              <w:t xml:space="preserve">~65%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4">
            <w:pPr>
              <w:jc w:val="center"/>
              <w:rPr/>
            </w:pPr>
            <w:r w:rsidDel="00000000" w:rsidR="00000000" w:rsidRPr="00000000">
              <w:rPr>
                <w:rFonts w:ascii="Calibri" w:cs="Calibri" w:eastAsia="Calibri" w:hAnsi="Calibri"/>
                <w:b w:val="0"/>
                <w:bCs w:val="0"/>
                <w:sz w:val="15"/>
                <w:szCs w:val="15"/>
                <w:rtl w:val="0"/>
              </w:rPr>
              <w:t xml:space="preserve">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sz w:val="15"/>
                <w:szCs w:val="15"/>
                <w:rtl w:val="0"/>
              </w:rPr>
              <w:t xml:space="preserve">8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sz w:val="15"/>
                <w:szCs w:val="15"/>
                <w:rtl w:val="0"/>
              </w:rPr>
              <w:t xml:space="preserve">4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sz w:val="15"/>
                <w:szCs w:val="15"/>
                <w:rtl w:val="0"/>
              </w:rPr>
              <w:t xml:space="preserve">~60%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sz w:val="15"/>
                <w:szCs w:val="15"/>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1"/>
                <w:bCs w:val="1"/>
                <w:sz w:val="15"/>
                <w:szCs w:val="15"/>
                <w:rtl w:val="0"/>
              </w:rPr>
              <w:t xml:space="preserve">Media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0"/>
                <w:bCs w:val="0"/>
                <w:sz w:val="15"/>
                <w:szCs w:val="15"/>
                <w:rtl w:val="0"/>
              </w:rPr>
              <w:t xml:space="preserve">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sz w:val="15"/>
                <w:szCs w:val="15"/>
                <w:rtl w:val="0"/>
              </w:rPr>
              <w:t xml:space="preserve">9 → Alto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sz w:val="15"/>
                <w:szCs w:val="15"/>
                <w:rtl w:val="0"/>
              </w:rPr>
              <w:t xml:space="preserve">1 → Baja (1)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sz w:val="15"/>
                <w:szCs w:val="15"/>
                <w:rtl w:val="0"/>
              </w:rPr>
              <w:t xml:space="preserve">~60% → Media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sz w:val="15"/>
                <w:szCs w:val="15"/>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1"/>
                <w:bCs w:val="1"/>
                <w:sz w:val="15"/>
                <w:szCs w:val="15"/>
                <w:rtl w:val="0"/>
              </w:rPr>
              <w:t xml:space="preserve">Débil</w:t>
            </w:r>
            <w:r w:rsidDel="00000000" w:rsidR="00000000" w:rsidRPr="00000000">
              <w:rPr>
                <w:rtl w:val="0"/>
              </w:rPr>
            </w:r>
          </w:p>
        </w:tc>
      </w:tr>
    </w:tbl>
    <w:p w:rsidR="00000000" w:rsidDel="00000000" w:rsidP="00000000" w:rsidRDefault="00000000" w:rsidRPr="00000000" w14:paraId="00000110">
      <w:pPr>
        <w:spacing w:after="160" w:before="160" w:lineRule="auto"/>
        <w:jc w:val="both"/>
        <w:rPr/>
      </w:pPr>
      <w:r w:rsidDel="00000000" w:rsidR="00000000" w:rsidRPr="00000000">
        <w:rPr>
          <w:rFonts w:ascii="Calibri" w:cs="Calibri" w:eastAsia="Calibri" w:hAnsi="Calibri"/>
          <w:b w:val="0"/>
          <w:bCs w:val="0"/>
          <w:i w:val="0"/>
          <w:iCs w:val="0"/>
          <w:sz w:val="22"/>
          <w:szCs w:val="22"/>
          <w:rtl w:val="0"/>
        </w:rPr>
        <w:t xml:space="preserve">Distribución resultante: 0 señales Fuerte (IPS 19–27), 11 señales Media (IPS 10–18) y 9 señales Débil (IPS 1–9). Ninguna señal alcanzó el nivel Fuerte: al ser el IPS un producto de valores enteros {1, 2, 3}, ese rango únicamente es alcanzable cuando Impacto, Urgencia y Confiabilidad son simultáneamente Altos (3×3×3=27); en este periodo, las señales de mayor impacto presentaron predominantemente urgencia media o baja, por tratarse de compromisos o hallazgos de mediano y largo plazo. Este es un resultado empírico esperable y no una limitación del cálculo.</w:t>
      </w:r>
      <w:r w:rsidDel="00000000" w:rsidR="00000000" w:rsidRPr="00000000">
        <w:rPr>
          <w:rtl w:val="0"/>
        </w:rPr>
      </w:r>
    </w:p>
    <w:p w:rsidR="00000000" w:rsidDel="00000000" w:rsidP="00000000" w:rsidRDefault="00000000" w:rsidRPr="00000000" w14:paraId="00000111">
      <w:pPr>
        <w:pStyle w:val="Heading2"/>
        <w:spacing w:after="160" w:before="280" w:lineRule="auto"/>
        <w:rPr/>
      </w:pPr>
      <w:r w:rsidDel="00000000" w:rsidR="00000000" w:rsidRPr="00000000">
        <w:rPr>
          <w:rFonts w:ascii="Calibri" w:cs="Calibri" w:eastAsia="Calibri" w:hAnsi="Calibri"/>
          <w:rtl w:val="0"/>
        </w:rPr>
        <w:t xml:space="preserve">2.5 Trazabilidad</w:t>
      </w: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siguiente tabla documenta, para los veintitrés casos candidatos evaluados (veinte aceptados y tres descartados), el FCV correspondiente, el hecho identificado, la fuente donde se localizó inicialmente, la o las fuentes del catálogo consultadas para la verificación, el resultado de dicha verificación y, cuando aplica, el motivo del descarte. Esta tabla no forma parte del Boletín Tecnológico (sección 3); constituye evidencia metodológica del proceso de captura y servirá para evaluar futuras actualizaciones del Banco Maestro de Fuentes.</w:t>
      </w:r>
      <w:r w:rsidDel="00000000" w:rsidR="00000000" w:rsidRPr="00000000">
        <w:rPr>
          <w:rtl w:val="0"/>
        </w:rPr>
      </w:r>
    </w:p>
    <w:tbl>
      <w:tblPr>
        <w:tblStyle w:val="Table3"/>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300"/>
        <w:gridCol w:w="2600"/>
        <w:gridCol w:w="1900"/>
        <w:gridCol w:w="2200"/>
        <w:gridCol w:w="1400"/>
        <w:gridCol w:w="1400"/>
        <w:tblGridChange w:id="0">
          <w:tblGrid>
            <w:gridCol w:w="1300"/>
            <w:gridCol w:w="2600"/>
            <w:gridCol w:w="1900"/>
            <w:gridCol w:w="2200"/>
            <w:gridCol w:w="1400"/>
            <w:gridCol w:w="14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1"/>
                <w:bCs w:val="1"/>
                <w:sz w:val="15"/>
                <w:szCs w:val="15"/>
                <w:rtl w:val="0"/>
              </w:rPr>
              <w:t xml:space="preserve">FCV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1"/>
                <w:bCs w:val="1"/>
                <w:sz w:val="15"/>
                <w:szCs w:val="15"/>
                <w:rtl w:val="0"/>
              </w:rPr>
              <w:t xml:space="preserve">Título del hecho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b w:val="1"/>
                <w:bCs w:val="1"/>
                <w:sz w:val="15"/>
                <w:szCs w:val="15"/>
                <w:rtl w:val="0"/>
              </w:rPr>
              <w:t xml:space="preserve">Fuente de identificación inicial</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1"/>
                <w:bCs w:val="1"/>
                <w:sz w:val="15"/>
                <w:szCs w:val="15"/>
                <w:rtl w:val="0"/>
              </w:rPr>
              <w:t xml:space="preserve">Fuente(s) del catálogo consultada(s)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1"/>
                <w:bCs w:val="1"/>
                <w:sz w:val="15"/>
                <w:szCs w:val="15"/>
                <w:rtl w:val="0"/>
              </w:rPr>
              <w:t xml:space="preserve">Resultado de la verificación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sz w:val="15"/>
                <w:szCs w:val="15"/>
                <w:rtl w:val="0"/>
              </w:rPr>
              <w:t xml:space="preserve">Motivo del descarte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sz w:val="15"/>
                <w:szCs w:val="15"/>
                <w:rtl w:val="0"/>
              </w:rPr>
              <w:t xml:space="preserve">Manufactura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sz w:val="15"/>
                <w:szCs w:val="15"/>
                <w:rtl w:val="0"/>
              </w:rPr>
              <w:t xml:space="preserve">Brecha oferta-demanda de CoWoS de TSMC se reduce de 20% a 10% para fin de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sz w:val="15"/>
                <w:szCs w:val="15"/>
                <w:rtl w:val="0"/>
              </w:rPr>
              <w:t xml:space="preserve">TrendForce / DRAMeXchange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sz w:val="15"/>
                <w:szCs w:val="15"/>
                <w:rtl w:val="0"/>
              </w:rPr>
              <w:t xml:space="preserve">Tecnología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sz w:val="15"/>
                <w:szCs w:val="15"/>
                <w:rtl w:val="0"/>
              </w:rPr>
              <w:t xml:space="preserve">Publicación IEEE sobre regulador LDO en tecnología GaN híbrida (JSSC,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sz w:val="15"/>
                <w:szCs w:val="15"/>
                <w:rtl w:val="0"/>
              </w:rPr>
              <w:t xml:space="preserve">IEEE Xplore (BM-002)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sz w:val="15"/>
                <w:szCs w:val="15"/>
                <w:rtl w:val="0"/>
              </w:rPr>
              <w:t xml:space="preserve">Cuello de botella de empaquetado avanzado de TSMC desborda demanda a toda la 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sz w:val="15"/>
                <w:szCs w:val="15"/>
                <w:rtl w:val="0"/>
              </w:rPr>
              <w:t xml:space="preserve">DIGITIMES Asia (BM-056)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sz w:val="15"/>
                <w:szCs w:val="15"/>
                <w:rtl w:val="0"/>
              </w:rPr>
              <w:t xml:space="preserve">Mercado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sz w:val="15"/>
                <w:szCs w:val="15"/>
                <w:rtl w:val="0"/>
              </w:rPr>
              <w:t xml:space="preserve">Samsung busca alza de hasta 20% en precios DRAM para 3T26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sz w:val="15"/>
                <w:szCs w:val="15"/>
                <w:rtl w:val="0"/>
              </w:rPr>
              <w:t xml:space="preserve">TrendForce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sz w:val="15"/>
                <w:szCs w:val="15"/>
                <w:rtl w:val="0"/>
              </w:rPr>
              <w:t xml:space="preserve">Mercado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sz w:val="15"/>
                <w:szCs w:val="15"/>
                <w:rtl w:val="0"/>
              </w:rPr>
              <w:t xml:space="preserve">Contratos de largo plazo (LTA) limitan alzas; DRAM de servidor subiría 13-18% QoQ en 3T26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sz w:val="15"/>
                <w:szCs w:val="15"/>
                <w:rtl w:val="0"/>
              </w:rPr>
              <w:t xml:space="preserve">TrendForce (BM-053)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sz w:val="15"/>
                <w:szCs w:val="15"/>
                <w:rtl w:val="0"/>
              </w:rPr>
              <w:t xml:space="preserve">onsemi adquiere Synaptics (~7,000 mdd, transacción accionaria)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sz w:val="15"/>
                <w:szCs w:val="15"/>
                <w:rtl w:val="0"/>
              </w:rPr>
              <w:t xml:space="preserve">SEC EDGAR (BM-017)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sz w:val="15"/>
                <w:szCs w:val="15"/>
                <w:rtl w:val="0"/>
              </w:rPr>
              <w:t xml:space="preserve">Regulación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sz w:val="15"/>
                <w:szCs w:val="15"/>
                <w:rtl w:val="0"/>
              </w:rPr>
              <w:t xml:space="preserve">Comisión Europea aprueba ayuda estatal de €76M a QuantumDiamonds (metrología de semiconductores)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sz w:val="15"/>
                <w:szCs w:val="15"/>
                <w:rtl w:val="0"/>
              </w:rPr>
              <w:t xml:space="preserve">Comisión Europea — European Chips Act (BM-065)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sz w:val="15"/>
                <w:szCs w:val="15"/>
                <w:rtl w:val="0"/>
              </w:rPr>
              <w:t xml:space="preserve">CHIPS R&amp;D: acuerdo definitivo de $250M con I-Pulse para semiconductores de carburo de silicio (SiC)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sz w:val="15"/>
                <w:szCs w:val="15"/>
                <w:rtl w:val="0"/>
              </w:rPr>
              <w:t xml:space="preserve">CHIPS R&amp;D: acuerdo definitivo de $500M con SandboxAQ para descubrimiento de materiales con 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sz w:val="15"/>
                <w:szCs w:val="15"/>
                <w:rtl w:val="0"/>
              </w:rPr>
              <w:t xml:space="preserve">Manufactura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sz w:val="15"/>
                <w:szCs w:val="15"/>
                <w:rtl w:val="0"/>
              </w:rPr>
              <w:t xml:space="preserve">Carta de intención CHIPS de $50M con Coherent para planta de InP en Sherman, TX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sz w:val="15"/>
                <w:szCs w:val="15"/>
                <w:rtl w:val="0"/>
              </w:rPr>
              <w:t xml:space="preserve">NIST — CHIPS for America (BM-064)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sz w:val="15"/>
                <w:szCs w:val="15"/>
                <w:rtl w:val="0"/>
              </w:rPr>
              <w:t xml:space="preserve">SIA presenta comentarios ante el ITC sobre transparencia en procedimientos de la Sección 337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sz w:val="15"/>
                <w:szCs w:val="15"/>
                <w:rtl w:val="0"/>
              </w:rPr>
              <w:t xml:space="preserve">SIA (BM-026/031/035)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sz w:val="15"/>
                <w:szCs w:val="15"/>
                <w:rtl w:val="0"/>
              </w:rPr>
              <w:t xml:space="preserve">SEMICON West 2026 anuncia pabellón dedicado de desarrollo de talento (Workforce Development Pavilion)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sz w:val="15"/>
                <w:szCs w:val="15"/>
                <w:rtl w:val="0"/>
              </w:rPr>
              <w:t xml:space="preserve">SEMI (BM-008)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sz w:val="15"/>
                <w:szCs w:val="15"/>
                <w:rtl w:val="0"/>
              </w:rPr>
              <w:t xml:space="preserve">Sostenibilidad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0"/>
                <w:bCs w:val="0"/>
                <w:sz w:val="15"/>
                <w:szCs w:val="15"/>
                <w:rtl w:val="0"/>
              </w:rPr>
              <w:t xml:space="preserve">Samsung Semiconductor publica su Reporte de Sostenibilidad 2026 (reposición hídrica, meta net-zero)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sz w:val="15"/>
                <w:szCs w:val="15"/>
                <w:rtl w:val="0"/>
              </w:rPr>
              <w:t xml:space="preserve">news.samsung.com (indicio) → confirmado en semiconductor.samsung.com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sz w:val="15"/>
                <w:szCs w:val="15"/>
                <w:rtl w:val="0"/>
              </w:rPr>
              <w:t xml:space="preserve">Samsung Semiconductor Global (BM-060)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sz w:val="15"/>
                <w:szCs w:val="15"/>
                <w:rtl w:val="0"/>
              </w:rPr>
              <w:t xml:space="preserve">Tecnología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sz w:val="15"/>
                <w:szCs w:val="15"/>
                <w:rtl w:val="0"/>
              </w:rPr>
              <w:t xml:space="preserve">Apple M5 Pro: análisis de empaque revela hybrid bonding SoIC-X de TSMC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sz w:val="15"/>
                <w:szCs w:val="15"/>
                <w:rtl w:val="0"/>
              </w:rPr>
              <w:t xml:space="preserve">TechInsights (BM-055)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sz w:val="15"/>
                <w:szCs w:val="15"/>
                <w:rtl w:val="0"/>
              </w:rPr>
              <w:t xml:space="preserve">Análisis NNME/SEMI/NSF/McKinsey: la industria de EE. UU. necesitará 189K trabajadores adicionales para 2030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sz w:val="15"/>
                <w:szCs w:val="15"/>
                <w:rtl w:val="0"/>
              </w:rPr>
              <w:t xml:space="preserve">ITC reafirma que Innoscience infringió una patente de Infineon (GaN); prohibición de importación y venta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sz w:val="15"/>
                <w:szCs w:val="15"/>
                <w:rtl w:val="0"/>
              </w:rPr>
              <w:t xml:space="preserve">Wolfspeed demanda a Navitas por infracción de patentes GaN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0"/>
                <w:bCs w:val="0"/>
                <w:sz w:val="15"/>
                <w:szCs w:val="15"/>
                <w:rtl w:val="0"/>
              </w:rPr>
              <w:t xml:space="preserve">Micron eleva su inversión en EE. UU. a $250,000 mdd al 2035; meta de 40% de su DRAM producida en EE. UU.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3">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sz w:val="15"/>
                <w:szCs w:val="15"/>
                <w:rtl w:val="0"/>
              </w:rPr>
              <w:t xml:space="preserve">SK hynix comienza a cotizar en Nasdaq (ADR), recauda ~$26,500 mdd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C">
            <w:pPr>
              <w:jc w:val="left"/>
              <w:rPr/>
            </w:pPr>
            <w:r w:rsidDel="00000000" w:rsidR="00000000" w:rsidRPr="00000000">
              <w:rPr>
                <w:rFonts w:ascii="Calibri" w:cs="Calibri" w:eastAsia="Calibri" w:hAnsi="Calibri"/>
                <w:b w:val="0"/>
                <w:bCs w:val="0"/>
                <w:sz w:val="15"/>
                <w:szCs w:val="15"/>
                <w:rtl w:val="0"/>
              </w:rPr>
              <w:t xml:space="preserve">Micron invierte $3,000 mdd en cadena de suministro de IC en EE. UU., incl. planta de obleas de GlobalWafers en Sherman, TX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sz w:val="15"/>
                <w:szCs w:val="15"/>
                <w:rtl w:val="0"/>
              </w:rPr>
              <w:t xml:space="preserve">Búsqueda directa en la fuente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E">
            <w:pPr>
              <w:jc w:val="left"/>
              <w:rPr/>
            </w:pPr>
            <w:r w:rsidDel="00000000" w:rsidR="00000000" w:rsidRPr="00000000">
              <w:rPr>
                <w:rFonts w:ascii="Calibri" w:cs="Calibri" w:eastAsia="Calibri" w:hAnsi="Calibri"/>
                <w:b w:val="0"/>
                <w:bCs w:val="0"/>
                <w:sz w:val="15"/>
                <w:szCs w:val="15"/>
                <w:rtl w:val="0"/>
              </w:rPr>
              <w:t xml:space="preserve">Semiconductor Engineering (BM-004/028/040)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F">
            <w:pPr>
              <w:jc w:val="left"/>
              <w:rPr/>
            </w:pPr>
            <w:r w:rsidDel="00000000" w:rsidR="00000000" w:rsidRPr="00000000">
              <w:rPr>
                <w:rFonts w:ascii="Calibri" w:cs="Calibri" w:eastAsia="Calibri" w:hAnsi="Calibri"/>
                <w:b w:val="0"/>
                <w:bCs w:val="0"/>
                <w:sz w:val="15"/>
                <w:szCs w:val="15"/>
                <w:rtl w:val="0"/>
              </w:rPr>
              <w:t xml:space="preserve">Aceptada — evidencia publicada directamente por la fuente del catálogo, dentro de la ventana de análisis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sz w:val="15"/>
                <w:szCs w:val="15"/>
                <w:rtl w:val="0"/>
              </w:rPr>
              <w:t xml:space="preserve">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1">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sz w:val="15"/>
                <w:szCs w:val="15"/>
                <w:rtl w:val="0"/>
              </w:rPr>
              <w:t xml:space="preserve">Concentración de exportaciones pone en riesgo al ramo electrónico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sz w:val="15"/>
                <w:szCs w:val="15"/>
                <w:rtl w:val="0"/>
              </w:rPr>
              <w:t xml:space="preserve">La Jornada (medio no catalogado)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0"/>
                <w:bCs w:val="0"/>
                <w:sz w:val="15"/>
                <w:szCs w:val="15"/>
                <w:rtl w:val="0"/>
              </w:rPr>
              <w:t xml:space="preserve">INEGI (BM-038)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sz w:val="15"/>
                <w:szCs w:val="15"/>
                <w:rtl w:val="0"/>
              </w:rPr>
              <w:t xml:space="preserve">Descartada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sz w:val="15"/>
                <w:szCs w:val="15"/>
                <w:rtl w:val="0"/>
              </w:rPr>
              <w:t xml:space="preserve">El boletín de INEGI localizado (Balanza Comercial 30/26) es de comercio general, fechado 27-ene-2026 (datos dic-2025); no es específico de electrónica/semiconductores y queda fuera de la ventana de análisis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sz w:val="15"/>
                <w:szCs w:val="15"/>
                <w:rtl w:val="0"/>
              </w:rPr>
              <w:t xml:space="preserve">Alianza CIDESI/SEDESU Querétaro para talento en semiconductores (B-CHIPS)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0"/>
                <w:bCs w:val="0"/>
                <w:sz w:val="15"/>
                <w:szCs w:val="15"/>
                <w:rtl w:val="0"/>
              </w:rPr>
              <w:t xml:space="preserve">Medio no catalogado (referencia indirecta)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sz w:val="15"/>
                <w:szCs w:val="15"/>
                <w:rtl w:val="0"/>
              </w:rPr>
              <w:t xml:space="preserve">CANIETI (BM-009/010/023); Gobierno de Querétaro/SEDESU (BM-016)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sz w:val="15"/>
                <w:szCs w:val="15"/>
                <w:rtl w:val="0"/>
              </w:rPr>
              <w:t xml:space="preserve">Descartada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sz w:val="15"/>
                <w:szCs w:val="15"/>
                <w:rtl w:val="0"/>
              </w:rPr>
              <w:t xml:space="preserve">No se localizó, tras búsqueda razonable, una publicación directa en canieti.org ni en queretaro.gob.mx que documente este hecho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sz w:val="15"/>
                <w:szCs w:val="15"/>
                <w:rtl w:val="0"/>
              </w:rPr>
              <w:t xml:space="preserve">Caso de la Sección 337 (ITC) relacionado con TSMC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sz w:val="15"/>
                <w:szCs w:val="15"/>
                <w:rtl w:val="0"/>
              </w:rPr>
              <w:t xml:space="preserve">Medio no catalogado (referencia indirecta)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sz w:val="15"/>
                <w:szCs w:val="15"/>
                <w:rtl w:val="0"/>
              </w:rPr>
              <w:t xml:space="preserve">USPTO (BM-047/050); CourtListener (BM-051); WIPO/PATENTSCOPE (BM-045)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sz w:val="15"/>
                <w:szCs w:val="15"/>
                <w:rtl w:val="0"/>
              </w:rPr>
              <w:t xml:space="preserve">Descartada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sz w:val="15"/>
                <w:szCs w:val="15"/>
                <w:rtl w:val="0"/>
              </w:rPr>
              <w:t xml:space="preserve">Se localizó cobertura en DIGITIMES (fuente del catálogo) pero fechada 11-jun-2026, un día fuera de la ventana de análisis; el USITC no es una fuente del catálogo y no se encontró registro accesible en las fuentes catalogadas</w:t>
            </w:r>
            <w:r w:rsidDel="00000000" w:rsidR="00000000" w:rsidRPr="00000000">
              <w:rPr>
                <w:rtl w:val="0"/>
              </w:rPr>
            </w:r>
          </w:p>
        </w:tc>
      </w:tr>
    </w:tbl>
    <w:p w:rsidR="00000000" w:rsidDel="00000000" w:rsidP="00000000" w:rsidRDefault="00000000" w:rsidRPr="00000000" w14:paraId="000001A3">
      <w:pPr>
        <w:pStyle w:val="Heading2"/>
        <w:spacing w:after="160" w:before="280" w:lineRule="auto"/>
        <w:rPr/>
      </w:pPr>
      <w:r w:rsidDel="00000000" w:rsidR="00000000" w:rsidRPr="00000000">
        <w:rPr>
          <w:rFonts w:ascii="Calibri" w:cs="Calibri" w:eastAsia="Calibri" w:hAnsi="Calibri"/>
          <w:rtl w:val="0"/>
        </w:rPr>
        <w:t xml:space="preserve">2.6 Tendencias identificadas</w:t>
      </w:r>
      <w:r w:rsidDel="00000000" w:rsidR="00000000" w:rsidRPr="00000000">
        <w:rPr>
          <w:rtl w:val="0"/>
        </w:rPr>
      </w:r>
    </w:p>
    <w:p w:rsidR="00000000" w:rsidDel="00000000" w:rsidP="00000000" w:rsidRDefault="00000000" w:rsidRPr="00000000" w14:paraId="000001A4">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Conforme a la Tabla 19 del STA (Escala de interpretación del Nivel de Madurez), el nivel más bajo de madurez de una tendencia ("Emergente") exige el cumplimiento simultáneo de tres umbrales: un mínimo de tres señales vinculadas, una antigüedad de al menos seis meses entre la señal más antigua y la más reciente del grupo, y un mínimo de dos fuentes distintas. Debido a que las veinte señales de este primer boletín provienen de una única ventana de captura de treinta días, ningún agrupamiento posible de señales puede satisfacer el umbral de antigüedad, con independencia del número de señales o de la diversidad de fuentes que comparta. El STA establece explícitamente que, si no se alcanza el umbral de Emergente, el conjunto no puede registrarse como tendencia (sección 2.2.3.1.2).</w:t>
      </w:r>
      <w:r w:rsidDel="00000000" w:rsidR="00000000" w:rsidRPr="00000000">
        <w:rPr>
          <w:rtl w:val="0"/>
        </w:rPr>
      </w:r>
    </w:p>
    <w:p w:rsidR="00000000" w:rsidDel="00000000" w:rsidP="00000000" w:rsidRDefault="00000000" w:rsidRPr="00000000" w14:paraId="000001A5">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En consecuencia, este primer boletín no reporta tendencias formalmente validadas. Esta ausencia es una limitación estructural de contar con un único corte temporal, no una carencia de evidencia: se espera que, a partir de la acumulación de señales en ciclos sucesivos del Observatorio, sea posible evaluar y validar tendencias conforme a los umbrales establecidos.</w:t>
      </w:r>
      <w:r w:rsidDel="00000000" w:rsidR="00000000" w:rsidRPr="00000000">
        <w:rPr>
          <w:rtl w:val="0"/>
        </w:rPr>
      </w:r>
    </w:p>
    <w:p w:rsidR="00000000" w:rsidDel="00000000" w:rsidP="00000000" w:rsidRDefault="00000000" w:rsidRPr="00000000" w14:paraId="000001A6">
      <w:pPr>
        <w:pStyle w:val="Heading2"/>
        <w:spacing w:after="160" w:before="280" w:lineRule="auto"/>
        <w:rPr/>
      </w:pPr>
      <w:r w:rsidDel="00000000" w:rsidR="00000000" w:rsidRPr="00000000">
        <w:rPr>
          <w:rFonts w:ascii="Calibri" w:cs="Calibri" w:eastAsia="Calibri" w:hAnsi="Calibri"/>
          <w:rtl w:val="0"/>
        </w:rPr>
        <w:t xml:space="preserve">2.7 Alertas generadas</w:t>
      </w:r>
      <w:r w:rsidDel="00000000" w:rsidR="00000000" w:rsidRPr="00000000">
        <w:rPr>
          <w:rtl w:val="0"/>
        </w:rPr>
      </w:r>
    </w:p>
    <w:p w:rsidR="00000000" w:rsidDel="00000000" w:rsidP="00000000" w:rsidRDefault="00000000" w:rsidRPr="00000000" w14:paraId="000001A7">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Modelo de Alertas del STA (sección 3.2.2.2.1) define dos vías de activación: la Vía 1, aplicable a una señal individual validada con Impacto = Alto y Urgencia = Alta simultáneamente, cuya única salida posible es la Alerta Roja; y la Vía 2, aplicable a una tendencia con Nivel de Madurez de En Consolidación o Consolidada, que en este ciclo se encuentra bloqueada por lo descrito en la sección 2.6.</w:t>
      </w:r>
      <w:r w:rsidDel="00000000" w:rsidR="00000000" w:rsidRPr="00000000">
        <w:rPr>
          <w:rtl w:val="0"/>
        </w:rPr>
      </w:r>
    </w:p>
    <w:p w:rsidR="00000000" w:rsidDel="00000000" w:rsidP="00000000" w:rsidRDefault="00000000" w:rsidRPr="00000000" w14:paraId="000001A8">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De las veinte señales evaluadas, únicamente la señal #16 ("ITC reafirma que Innoscience infringió una patente de Infineon en tecnología GaN; prohibición de importación y venta", Impacto Alto, Urgencia Alta) cumple la condición de activación de la Vía 1. En consecuencia, este boletín reporta una Alerta Roja, generada de forma individual a partir de dicha señal.</w:t>
      </w:r>
      <w:r w:rsidDel="00000000" w:rsidR="00000000" w:rsidRPr="00000000">
        <w:rPr>
          <w:rtl w:val="0"/>
        </w:rPr>
      </w:r>
    </w:p>
    <w:p w:rsidR="00000000" w:rsidDel="00000000" w:rsidP="00000000" w:rsidRDefault="00000000" w:rsidRPr="00000000" w14:paraId="000001A9">
      <w:pPr>
        <w:pStyle w:val="Heading1"/>
        <w:spacing w:after="200" w:before="360" w:lineRule="auto"/>
        <w:rPr/>
      </w:pPr>
      <w:r w:rsidDel="00000000" w:rsidR="00000000" w:rsidRPr="00000000">
        <w:rPr>
          <w:rFonts w:ascii="Calibri" w:cs="Calibri" w:eastAsia="Calibri" w:hAnsi="Calibri"/>
          <w:rtl w:val="0"/>
        </w:rPr>
        <w:t xml:space="preserve">3. Boletín Tecnológico Piloto</w:t>
      </w:r>
      <w:r w:rsidDel="00000000" w:rsidR="00000000" w:rsidRPr="00000000">
        <w:rPr>
          <w:rtl w:val="0"/>
        </w:rPr>
      </w:r>
    </w:p>
    <w:p w:rsidR="00000000" w:rsidDel="00000000" w:rsidP="00000000" w:rsidRDefault="00000000" w:rsidRPr="00000000" w14:paraId="000001AA">
      <w:pPr>
        <w:spacing w:after="160" w:lineRule="auto"/>
        <w:jc w:val="both"/>
        <w:rPr/>
      </w:pPr>
      <w:r w:rsidDel="00000000" w:rsidR="00000000" w:rsidRPr="00000000">
        <w:rPr>
          <w:rFonts w:ascii="Calibri" w:cs="Calibri" w:eastAsia="Calibri" w:hAnsi="Calibri"/>
          <w:b w:val="0"/>
          <w:bCs w:val="0"/>
          <w:i w:val="1"/>
          <w:iCs w:val="1"/>
          <w:sz w:val="22"/>
          <w:szCs w:val="22"/>
          <w:rtl w:val="0"/>
        </w:rPr>
        <w:t xml:space="preserve">Esta sección comunica, en formato ejecutivo y dirigido a las audiencias del Observatorio (academia, industria y gobierno), los hallazgos del periodo del 12 de junio al 11 de julio de 2026. No reproduce fichas, matrices ni criterios metodológicos; estos se documentan íntegramente en la sección 2.</w:t>
      </w:r>
      <w:r w:rsidDel="00000000" w:rsidR="00000000" w:rsidRPr="00000000">
        <w:rPr>
          <w:rtl w:val="0"/>
        </w:rPr>
      </w:r>
    </w:p>
    <w:p w:rsidR="00000000" w:rsidDel="00000000" w:rsidP="00000000" w:rsidRDefault="00000000" w:rsidRPr="00000000" w14:paraId="000001AB">
      <w:pPr>
        <w:pStyle w:val="Heading2"/>
        <w:spacing w:after="160" w:before="280" w:lineRule="auto"/>
        <w:rPr/>
      </w:pPr>
      <w:r w:rsidDel="00000000" w:rsidR="00000000" w:rsidRPr="00000000">
        <w:rPr>
          <w:rFonts w:ascii="Calibri" w:cs="Calibri" w:eastAsia="Calibri" w:hAnsi="Calibri"/>
          <w:rtl w:val="0"/>
        </w:rPr>
        <w:t xml:space="preserve">Resumen Ejecutivo</w:t>
      </w:r>
      <w:r w:rsidDel="00000000" w:rsidR="00000000" w:rsidRPr="00000000">
        <w:rPr>
          <w:rtl w:val="0"/>
        </w:rPr>
      </w:r>
    </w:p>
    <w:p w:rsidR="00000000" w:rsidDel="00000000" w:rsidP="00000000" w:rsidRDefault="00000000" w:rsidRPr="00000000" w14:paraId="000001A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Durante el periodo analizado, el Observatorio registró veinte señales tecnológicas provenientes de fuentes oficiales, académicas, regulatorias y especializadas del Banco Maestro, distribuidas en los nueve Factores Críticos de Vigilancia, con mayor actividad en Inversión (cinco señales) y Propiedad Intelectual (tres señales). El periodo estuvo marcado por una intensa actividad de financiamiento público y privado hacia la manufactura de semiconductores en Estados Unidos —incluyendo tres acuerdos del programa CHIPS for America y una expansión histórica de inversión anunciada por Micron—, por presiones sostenidas sobre la capacidad de empaquetado avanzado ligadas a la demanda de inteligencia artificial, y por litigios de propiedad intelectual en torno a tecnología de nitruro de galio (GaN) que derivaron en la única alerta estratégica de este ciclo. No se identificaron tendencias consolidadas en este primer corte de treinta días; su validación formal requiere la acumulación de señales a lo largo de ciclos sucesivos del Observatorio.</w:t>
      </w:r>
      <w:r w:rsidDel="00000000" w:rsidR="00000000" w:rsidRPr="00000000">
        <w:rPr>
          <w:rtl w:val="0"/>
        </w:rPr>
      </w:r>
    </w:p>
    <w:p w:rsidR="00000000" w:rsidDel="00000000" w:rsidP="00000000" w:rsidRDefault="00000000" w:rsidRPr="00000000" w14:paraId="000001AD">
      <w:pPr>
        <w:pStyle w:val="Heading2"/>
        <w:spacing w:after="160" w:before="280" w:lineRule="auto"/>
        <w:rPr/>
      </w:pPr>
      <w:r w:rsidDel="00000000" w:rsidR="00000000" w:rsidRPr="00000000">
        <w:rPr>
          <w:rFonts w:ascii="Calibri" w:cs="Calibri" w:eastAsia="Calibri" w:hAnsi="Calibri"/>
          <w:rtl w:val="0"/>
        </w:rPr>
        <w:t xml:space="preserve">Alertas Estratégicas</w:t>
      </w:r>
      <w:r w:rsidDel="00000000" w:rsidR="00000000" w:rsidRPr="00000000">
        <w:rPr>
          <w:rtl w:val="0"/>
        </w:rPr>
      </w:r>
    </w:p>
    <w:p w:rsidR="00000000" w:rsidDel="00000000" w:rsidP="00000000" w:rsidRDefault="00000000" w:rsidRPr="00000000" w14:paraId="000001AE">
      <w:pPr>
        <w:spacing w:after="60" w:lineRule="auto"/>
        <w:jc w:val="both"/>
        <w:rPr/>
      </w:pPr>
      <w:r w:rsidDel="00000000" w:rsidR="00000000" w:rsidRPr="00000000">
        <w:rPr>
          <w:rFonts w:ascii="Calibri" w:cs="Calibri" w:eastAsia="Calibri" w:hAnsi="Calibri"/>
          <w:b w:val="1"/>
          <w:bCs w:val="1"/>
          <w:i w:val="0"/>
          <w:iCs w:val="0"/>
          <w:sz w:val="22"/>
          <w:szCs w:val="22"/>
          <w:rtl w:val="0"/>
        </w:rPr>
        <w:t xml:space="preserve">Litigio de propiedad intelectual en tecnología GaN deriva en prohibición de importación y abre un frente de riesgo regulatorio para proveedores de semiconductores de potencia</w:t>
      </w:r>
      <w:r w:rsidDel="00000000" w:rsidR="00000000" w:rsidRPr="00000000">
        <w:rPr>
          <w:rtl w:val="0"/>
        </w:rPr>
      </w:r>
    </w:p>
    <w:p w:rsidR="00000000" w:rsidDel="00000000" w:rsidP="00000000" w:rsidRDefault="00000000" w:rsidRPr="00000000" w14:paraId="000001AF">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Comisión de Comercio Internacional de Estados Unidos (ITC) reafirmó que Innoscience infringió una patente de Infineon relacionada con tecnología de nitruro de galio (GaN), lo que resulta en una prohibición de importación y venta contra el fabricante chino. De forma paralela, Wolfspeed inició una demanda contra Navitas por presunta infracción de patentes en la misma familia tecnológica. Ambos eventos, ocurridos en la misma semana, señalan una intensificación del litigio de propiedad intelectual en el segmento de semiconductores de potencia basados en GaN, de creciente relevancia para aplicaciones de vehículos eléctricos, centros de datos y electrónica de potencia. Actores del ecosistema de Querétaro con interés en proveeduría o diseño en esta tecnología deben dar seguimiento a la evolución de estos casos, dado su potencial para redefinir el mapa de proveedores habilitados en el corto plazo.</w:t>
      </w:r>
      <w:r w:rsidDel="00000000" w:rsidR="00000000" w:rsidRPr="00000000">
        <w:rPr>
          <w:rtl w:val="0"/>
        </w:rPr>
      </w:r>
    </w:p>
    <w:p w:rsidR="00000000" w:rsidDel="00000000" w:rsidP="00000000" w:rsidRDefault="00000000" w:rsidRPr="00000000" w14:paraId="000001B0">
      <w:pPr>
        <w:spacing w:after="160" w:lineRule="auto"/>
        <w:jc w:val="both"/>
        <w:rPr/>
      </w:pPr>
      <w:r w:rsidDel="00000000" w:rsidR="00000000" w:rsidRPr="00000000">
        <w:rPr>
          <w:rFonts w:ascii="Calibri" w:cs="Calibri" w:eastAsia="Calibri" w:hAnsi="Calibri"/>
          <w:b w:val="0"/>
          <w:bCs w:val="0"/>
          <w:i w:val="1"/>
          <w:iCs w:val="1"/>
          <w:sz w:val="18"/>
          <w:szCs w:val="18"/>
          <w:rtl w:val="0"/>
        </w:rPr>
        <w:t xml:space="preserve">Fuentes: Semiconductor Engineering (2026).</w:t>
      </w:r>
      <w:r w:rsidDel="00000000" w:rsidR="00000000" w:rsidRPr="00000000">
        <w:rPr>
          <w:rtl w:val="0"/>
        </w:rPr>
      </w:r>
    </w:p>
    <w:p w:rsidR="00000000" w:rsidDel="00000000" w:rsidP="00000000" w:rsidRDefault="00000000" w:rsidRPr="00000000" w14:paraId="000001B1">
      <w:pPr>
        <w:pStyle w:val="Heading2"/>
        <w:spacing w:after="160" w:before="280" w:lineRule="auto"/>
        <w:rPr/>
      </w:pPr>
      <w:r w:rsidDel="00000000" w:rsidR="00000000" w:rsidRPr="00000000">
        <w:rPr>
          <w:rFonts w:ascii="Calibri" w:cs="Calibri" w:eastAsia="Calibri" w:hAnsi="Calibri"/>
          <w:rtl w:val="0"/>
        </w:rPr>
        <w:t xml:space="preserve">Principales Tendencias</w:t>
      </w:r>
      <w:r w:rsidDel="00000000" w:rsidR="00000000" w:rsidRPr="00000000">
        <w:rPr>
          <w:rtl w:val="0"/>
        </w:rPr>
      </w:r>
    </w:p>
    <w:p w:rsidR="00000000" w:rsidDel="00000000" w:rsidP="00000000" w:rsidRDefault="00000000" w:rsidRPr="00000000" w14:paraId="000001B2">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En este primer ciclo de treinta días no se identificaron tendencias formalmente consolidadas: la metodología del Observatorio exige observar señales relacionadas a lo largo de una ventana mínima de seis meses antes de poder validar una tendencia, umbral que un único corte temporal no puede satisfacer. No obstante, se observan patrones incipientes que ameritan seguimiento en los próximos ciclos del Observatorio:</w:t>
      </w:r>
      <w:r w:rsidDel="00000000" w:rsidR="00000000" w:rsidRPr="00000000">
        <w:rPr>
          <w:rtl w:val="0"/>
        </w:rPr>
      </w:r>
    </w:p>
    <w:p w:rsidR="00000000" w:rsidDel="00000000" w:rsidP="00000000" w:rsidRDefault="00000000" w:rsidRPr="00000000" w14:paraId="000001B3">
      <w:pPr>
        <w:spacing w:after="160" w:before="60" w:lineRule="auto"/>
        <w:jc w:val="both"/>
        <w:rPr/>
      </w:pPr>
      <w:r w:rsidDel="00000000" w:rsidR="00000000" w:rsidRPr="00000000">
        <w:rPr>
          <w:rFonts w:ascii="Calibri" w:cs="Calibri" w:eastAsia="Calibri" w:hAnsi="Calibri"/>
          <w:b w:val="0"/>
          <w:bCs w:val="0"/>
          <w:i w:val="0"/>
          <w:iCs w:val="0"/>
          <w:sz w:val="22"/>
          <w:szCs w:val="22"/>
          <w:rtl w:val="0"/>
        </w:rPr>
        <w:t xml:space="preserve">Inversión sostenida en manufactura de memoria y materiales críticos en Estados Unidos, con anuncios sucesivos de Micron, del programa CHIPS for America y de SK hynix. De mantenerse esta dinámica en los próximos ciclos, podría consolidarse como una tendencia de relocalización de capacidad productiva hacia Norteamérica, con oportunidades para la cadena de proveeduría regional.</w:t>
      </w:r>
      <w:r w:rsidDel="00000000" w:rsidR="00000000" w:rsidRPr="00000000">
        <w:rPr>
          <w:rtl w:val="0"/>
        </w:rPr>
      </w:r>
    </w:p>
    <w:p w:rsidR="00000000" w:rsidDel="00000000" w:rsidP="00000000" w:rsidRDefault="00000000" w:rsidRPr="00000000" w14:paraId="000001B4">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Presión continua sobre la capacidad de empaquetado avanzado (CoWoS y tecnologías afines) asociada a la demanda de inteligencia artificial, documentada de forma consistente por TrendForce, DIGITIMES y TechInsights.</w:t>
      </w:r>
      <w:r w:rsidDel="00000000" w:rsidR="00000000" w:rsidRPr="00000000">
        <w:rPr>
          <w:rtl w:val="0"/>
        </w:rPr>
      </w:r>
    </w:p>
    <w:p w:rsidR="00000000" w:rsidDel="00000000" w:rsidP="00000000" w:rsidRDefault="00000000" w:rsidRPr="00000000" w14:paraId="000001B5">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Intensificación de litigios de propiedad intelectual en torno a semiconductores de potencia GaN, con dos casos independientes registrados en la misma semana.</w:t>
      </w:r>
      <w:r w:rsidDel="00000000" w:rsidR="00000000" w:rsidRPr="00000000">
        <w:rPr>
          <w:rtl w:val="0"/>
        </w:rPr>
      </w:r>
    </w:p>
    <w:p w:rsidR="00000000" w:rsidDel="00000000" w:rsidP="00000000" w:rsidRDefault="00000000" w:rsidRPr="00000000" w14:paraId="000001B6">
      <w:pPr>
        <w:spacing w:after="160" w:lineRule="auto"/>
        <w:jc w:val="both"/>
        <w:rPr/>
      </w:pPr>
      <w:r w:rsidDel="00000000" w:rsidR="00000000" w:rsidRPr="00000000">
        <w:rPr>
          <w:rFonts w:ascii="Calibri" w:cs="Calibri" w:eastAsia="Calibri" w:hAnsi="Calibri"/>
          <w:b w:val="0"/>
          <w:bCs w:val="0"/>
          <w:i w:val="1"/>
          <w:iCs w:val="1"/>
          <w:sz w:val="18"/>
          <w:szCs w:val="18"/>
          <w:rtl w:val="0"/>
        </w:rPr>
        <w:t xml:space="preserve">Fuentes: TrendForce, DIGITIMES Asia, TechInsights, Semiconductor Engineering, NIST — CHIPS for America (2026).</w:t>
      </w:r>
      <w:r w:rsidDel="00000000" w:rsidR="00000000" w:rsidRPr="00000000">
        <w:rPr>
          <w:rtl w:val="0"/>
        </w:rPr>
      </w:r>
    </w:p>
    <w:p w:rsidR="00000000" w:rsidDel="00000000" w:rsidP="00000000" w:rsidRDefault="00000000" w:rsidRPr="00000000" w14:paraId="000001B7">
      <w:pPr>
        <w:pStyle w:val="Heading2"/>
        <w:spacing w:after="160" w:before="280" w:lineRule="auto"/>
        <w:rPr/>
      </w:pPr>
      <w:r w:rsidDel="00000000" w:rsidR="00000000" w:rsidRPr="00000000">
        <w:rPr>
          <w:rFonts w:ascii="Calibri" w:cs="Calibri" w:eastAsia="Calibri" w:hAnsi="Calibri"/>
          <w:rtl w:val="0"/>
        </w:rPr>
        <w:t xml:space="preserve">Señales Destacadas</w:t>
      </w:r>
      <w:r w:rsidDel="00000000" w:rsidR="00000000" w:rsidRPr="00000000">
        <w:rPr>
          <w:rtl w:val="0"/>
        </w:rPr>
      </w:r>
    </w:p>
    <w:p w:rsidR="00000000" w:rsidDel="00000000" w:rsidP="00000000" w:rsidRDefault="00000000" w:rsidRPr="00000000" w14:paraId="000001B8">
      <w:pPr>
        <w:spacing w:after="40" w:before="120" w:lineRule="auto"/>
        <w:jc w:val="both"/>
        <w:rPr/>
      </w:pPr>
      <w:r w:rsidDel="00000000" w:rsidR="00000000" w:rsidRPr="00000000">
        <w:rPr>
          <w:rFonts w:ascii="Calibri" w:cs="Calibri" w:eastAsia="Calibri" w:hAnsi="Calibri"/>
          <w:b w:val="1"/>
          <w:bCs w:val="1"/>
          <w:i w:val="0"/>
          <w:iCs w:val="0"/>
          <w:sz w:val="22"/>
          <w:szCs w:val="22"/>
          <w:rtl w:val="0"/>
        </w:rPr>
        <w:t xml:space="preserve">Micron eleva a $250,000 millones de dólares su plan de inversión en Estados Unidos hacia 2035</w:t>
      </w:r>
      <w:r w:rsidDel="00000000" w:rsidR="00000000" w:rsidRPr="00000000">
        <w:rPr>
          <w:rtl w:val="0"/>
        </w:rPr>
      </w:r>
    </w:p>
    <w:p w:rsidR="00000000" w:rsidDel="00000000" w:rsidP="00000000" w:rsidRDefault="00000000" w:rsidRPr="00000000" w14:paraId="000001B9">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Micron anunció una ampliación histórica de su inversión doméstica, con la meta de producir el 40% de su memoria DRAM en territorio estadounidense. El anuncio incluye además 3,000 millones de dólares adicionales para fortalecer la cadena de suministro de circuitos integrados, incluyendo una planta de obleas de silicio de GlobalWafers en Sherman, Texas. Esta señal sustenta el patrón de relocalización de inversión descrito en la sección anterior.</w:t>
      </w:r>
      <w:r w:rsidDel="00000000" w:rsidR="00000000" w:rsidRPr="00000000">
        <w:rPr>
          <w:rtl w:val="0"/>
        </w:rPr>
      </w:r>
    </w:p>
    <w:p w:rsidR="00000000" w:rsidDel="00000000" w:rsidP="00000000" w:rsidRDefault="00000000" w:rsidRPr="00000000" w14:paraId="000001BA">
      <w:pPr>
        <w:spacing w:after="160" w:lineRule="auto"/>
        <w:jc w:val="both"/>
        <w:rPr/>
      </w:pPr>
      <w:r w:rsidDel="00000000" w:rsidR="00000000" w:rsidRPr="00000000">
        <w:rPr>
          <w:rFonts w:ascii="Calibri" w:cs="Calibri" w:eastAsia="Calibri" w:hAnsi="Calibri"/>
          <w:b w:val="0"/>
          <w:bCs w:val="0"/>
          <w:i w:val="1"/>
          <w:iCs w:val="1"/>
          <w:sz w:val="18"/>
          <w:szCs w:val="18"/>
          <w:rtl w:val="0"/>
        </w:rPr>
        <w:t xml:space="preserve">Fuente: Semiconductor Engineering (2026).</w:t>
      </w:r>
      <w:r w:rsidDel="00000000" w:rsidR="00000000" w:rsidRPr="00000000">
        <w:rPr>
          <w:rtl w:val="0"/>
        </w:rPr>
      </w:r>
    </w:p>
    <w:p w:rsidR="00000000" w:rsidDel="00000000" w:rsidP="00000000" w:rsidRDefault="00000000" w:rsidRPr="00000000" w14:paraId="000001BB">
      <w:pPr>
        <w:spacing w:after="40" w:before="120" w:lineRule="auto"/>
        <w:jc w:val="both"/>
        <w:rPr/>
      </w:pPr>
      <w:r w:rsidDel="00000000" w:rsidR="00000000" w:rsidRPr="00000000">
        <w:rPr>
          <w:rFonts w:ascii="Calibri" w:cs="Calibri" w:eastAsia="Calibri" w:hAnsi="Calibri"/>
          <w:b w:val="1"/>
          <w:bCs w:val="1"/>
          <w:i w:val="0"/>
          <w:iCs w:val="0"/>
          <w:sz w:val="22"/>
          <w:szCs w:val="22"/>
          <w:rtl w:val="0"/>
        </w:rPr>
        <w:t xml:space="preserve">Programa CHIPS for America firma dos acuerdos de investigación y desarrollo por $750 millones de dólares</w:t>
      </w:r>
      <w:r w:rsidDel="00000000" w:rsidR="00000000" w:rsidRPr="00000000">
        <w:rPr>
          <w:rtl w:val="0"/>
        </w:rPr>
      </w:r>
    </w:p>
    <w:p w:rsidR="00000000" w:rsidDel="00000000" w:rsidP="00000000" w:rsidRDefault="00000000" w:rsidRPr="00000000" w14:paraId="000001B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Departamento de Comercio de Estados Unidos formalizó acuerdos definitivos con I-Pulse ($250 millones, semiconductores de carburo de silicio) y SandboxAQ ($500 millones, descubrimiento de materiales asistido por inteligencia artificial), reforzando el componente de investigación y desarrollo del programa CHIPS. Ambos acuerdos refuerzan el papel del financiamiento público en el fortalecimiento de capacidades tecnológicas críticas para la cadena de suministro de semiconductores.</w:t>
      </w:r>
      <w:r w:rsidDel="00000000" w:rsidR="00000000" w:rsidRPr="00000000">
        <w:rPr>
          <w:rtl w:val="0"/>
        </w:rPr>
      </w:r>
    </w:p>
    <w:p w:rsidR="00000000" w:rsidDel="00000000" w:rsidP="00000000" w:rsidRDefault="00000000" w:rsidRPr="00000000" w14:paraId="000001BD">
      <w:pPr>
        <w:spacing w:after="160" w:lineRule="auto"/>
        <w:jc w:val="both"/>
        <w:rPr/>
      </w:pPr>
      <w:r w:rsidDel="00000000" w:rsidR="00000000" w:rsidRPr="00000000">
        <w:rPr>
          <w:rFonts w:ascii="Calibri" w:cs="Calibri" w:eastAsia="Calibri" w:hAnsi="Calibri"/>
          <w:b w:val="0"/>
          <w:bCs w:val="0"/>
          <w:i w:val="1"/>
          <w:iCs w:val="1"/>
          <w:sz w:val="18"/>
          <w:szCs w:val="18"/>
          <w:rtl w:val="0"/>
        </w:rPr>
        <w:t xml:space="preserve">Fuente: NIST — CHIPS for America (2026).</w:t>
      </w:r>
      <w:r w:rsidDel="00000000" w:rsidR="00000000" w:rsidRPr="00000000">
        <w:rPr>
          <w:rtl w:val="0"/>
        </w:rPr>
      </w:r>
    </w:p>
    <w:p w:rsidR="00000000" w:rsidDel="00000000" w:rsidP="00000000" w:rsidRDefault="00000000" w:rsidRPr="00000000" w14:paraId="000001BE">
      <w:pPr>
        <w:spacing w:after="40" w:before="120" w:lineRule="auto"/>
        <w:jc w:val="both"/>
        <w:rPr/>
      </w:pPr>
      <w:r w:rsidDel="00000000" w:rsidR="00000000" w:rsidRPr="00000000">
        <w:rPr>
          <w:rFonts w:ascii="Calibri" w:cs="Calibri" w:eastAsia="Calibri" w:hAnsi="Calibri"/>
          <w:b w:val="1"/>
          <w:bCs w:val="1"/>
          <w:i w:val="0"/>
          <w:iCs w:val="0"/>
          <w:sz w:val="22"/>
          <w:szCs w:val="22"/>
          <w:rtl w:val="0"/>
        </w:rPr>
        <w:t xml:space="preserve">TSMC reduce a la mitad la brecha entre oferta y demanda de empaquetado avanzado CoWoS</w:t>
      </w:r>
      <w:r w:rsidDel="00000000" w:rsidR="00000000" w:rsidRPr="00000000">
        <w:rPr>
          <w:rtl w:val="0"/>
        </w:rPr>
      </w:r>
    </w:p>
    <w:p w:rsidR="00000000" w:rsidDel="00000000" w:rsidP="00000000" w:rsidRDefault="00000000" w:rsidRPr="00000000" w14:paraId="000001BF">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De acuerdo con TrendForce, la brecha entre la oferta y la demanda de capacidad CoWoS de TSMC se reduciría de 20% a 10% hacia finales de 2026 conforme se amplía la capacidad instalada. Esta señal, junto con el análisis de empaque del procesador Apple M5 Pro que documentó por primera vez el uso comercial de la tecnología de unión híbrida SoIC-X de TSMC, ilustra la centralidad del empaquetado avanzado como cuello de botella y como frontera de innovación de la industria durante este periodo.</w:t>
      </w:r>
      <w:r w:rsidDel="00000000" w:rsidR="00000000" w:rsidRPr="00000000">
        <w:rPr>
          <w:rtl w:val="0"/>
        </w:rPr>
      </w:r>
    </w:p>
    <w:p w:rsidR="00000000" w:rsidDel="00000000" w:rsidP="00000000" w:rsidRDefault="00000000" w:rsidRPr="00000000" w14:paraId="000001C0">
      <w:pPr>
        <w:spacing w:after="160" w:lineRule="auto"/>
        <w:jc w:val="both"/>
        <w:rPr/>
      </w:pPr>
      <w:r w:rsidDel="00000000" w:rsidR="00000000" w:rsidRPr="00000000">
        <w:rPr>
          <w:rFonts w:ascii="Calibri" w:cs="Calibri" w:eastAsia="Calibri" w:hAnsi="Calibri"/>
          <w:b w:val="0"/>
          <w:bCs w:val="0"/>
          <w:i w:val="1"/>
          <w:iCs w:val="1"/>
          <w:sz w:val="18"/>
          <w:szCs w:val="18"/>
          <w:rtl w:val="0"/>
        </w:rPr>
        <w:t xml:space="preserve">Fuentes: TrendForce; TechInsights (2026).</w:t>
      </w:r>
      <w:r w:rsidDel="00000000" w:rsidR="00000000" w:rsidRPr="00000000">
        <w:rPr>
          <w:rtl w:val="0"/>
        </w:rPr>
      </w:r>
    </w:p>
    <w:p w:rsidR="00000000" w:rsidDel="00000000" w:rsidP="00000000" w:rsidRDefault="00000000" w:rsidRPr="00000000" w14:paraId="000001C1">
      <w:pPr>
        <w:pStyle w:val="Heading2"/>
        <w:spacing w:after="160" w:before="280" w:lineRule="auto"/>
        <w:rPr/>
      </w:pPr>
      <w:r w:rsidDel="00000000" w:rsidR="00000000" w:rsidRPr="00000000">
        <w:rPr>
          <w:rFonts w:ascii="Calibri" w:cs="Calibri" w:eastAsia="Calibri" w:hAnsi="Calibri"/>
          <w:rtl w:val="0"/>
        </w:rPr>
        <w:t xml:space="preserve">Indicadores del Observatorio</w:t>
      </w:r>
      <w:r w:rsidDel="00000000" w:rsidR="00000000" w:rsidRPr="00000000">
        <w:rPr>
          <w:rtl w:val="0"/>
        </w:rPr>
      </w:r>
    </w:p>
    <w:tbl>
      <w:tblPr>
        <w:tblStyle w:val="Table4"/>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6000"/>
        <w:gridCol w:w="4800"/>
        <w:tblGridChange w:id="0">
          <w:tblGrid>
            <w:gridCol w:w="6000"/>
            <w:gridCol w:w="4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1"/>
                <w:bCs w:val="1"/>
                <w:sz w:val="15"/>
                <w:szCs w:val="15"/>
                <w:rtl w:val="0"/>
              </w:rPr>
              <w:t xml:space="preserve">Indicador</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1"/>
                <w:bCs w:val="1"/>
                <w:sz w:val="15"/>
                <w:szCs w:val="15"/>
                <w:rtl w:val="0"/>
              </w:rPr>
              <w:t xml:space="preserve">Valor del periodo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sz w:val="15"/>
                <w:szCs w:val="15"/>
                <w:rtl w:val="0"/>
              </w:rPr>
              <w:t xml:space="preserve">Publicaciones y páginas de fuentes del catálogo revisadas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sz w:val="15"/>
                <w:szCs w:val="15"/>
                <w:rtl w:val="0"/>
              </w:rPr>
              <w:t xml:space="preserve">Más de 60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sz w:val="15"/>
                <w:szCs w:val="15"/>
                <w:rtl w:val="0"/>
              </w:rPr>
              <w:t xml:space="preserve">Señales candidatas registradas (aceptadas + descartadas)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sz w:val="15"/>
                <w:szCs w:val="15"/>
                <w:rtl w:val="0"/>
              </w:rPr>
              <w:t xml:space="preserve">23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sz w:val="15"/>
                <w:szCs w:val="15"/>
                <w:rtl w:val="0"/>
              </w:rPr>
              <w:t xml:space="preserve">Señales clasificadas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sz w:val="15"/>
                <w:szCs w:val="15"/>
                <w:rtl w:val="0"/>
              </w:rPr>
              <w:t xml:space="preserve">20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sz w:val="15"/>
                <w:szCs w:val="15"/>
                <w:rtl w:val="0"/>
              </w:rPr>
              <w:t xml:space="preserve">Señales Media (10–18 IPS)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sz w:val="15"/>
                <w:szCs w:val="15"/>
                <w:rtl w:val="0"/>
              </w:rPr>
              <w:t xml:space="preserve">11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sz w:val="15"/>
                <w:szCs w:val="15"/>
                <w:rtl w:val="0"/>
              </w:rPr>
              <w:t xml:space="preserve">Señales Débil (1–9 IPS)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0"/>
                <w:bCs w:val="0"/>
                <w:sz w:val="15"/>
                <w:szCs w:val="15"/>
                <w:rtl w:val="0"/>
              </w:rPr>
              <w:t xml:space="preserve">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sz w:val="15"/>
                <w:szCs w:val="15"/>
                <w:rtl w:val="0"/>
              </w:rPr>
              <w:t xml:space="preserve">Señales Fuerte (19–27 IPS)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b w:val="0"/>
                <w:bCs w:val="0"/>
                <w:sz w:val="15"/>
                <w:szCs w:val="15"/>
                <w:rtl w:val="0"/>
              </w:rPr>
              <w:t xml:space="preserve">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0"/>
                <w:bCs w:val="0"/>
                <w:sz w:val="15"/>
                <w:szCs w:val="15"/>
                <w:rtl w:val="0"/>
              </w:rPr>
              <w:t xml:space="preserve">Tendencias identificadas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sz w:val="15"/>
                <w:szCs w:val="15"/>
                <w:rtl w:val="0"/>
              </w:rPr>
              <w:t xml:space="preserve">0 (ventana de 30 días insuficiente; umbral mínimo de antigüedad: 6 meses)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sz w:val="15"/>
                <w:szCs w:val="15"/>
                <w:rtl w:val="0"/>
              </w:rPr>
              <w:t xml:space="preserve">Alertas emitidas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sz w:val="15"/>
                <w:szCs w:val="15"/>
                <w:rtl w:val="0"/>
              </w:rPr>
              <w:t xml:space="preserve">1 (Roja)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sz w:val="15"/>
                <w:szCs w:val="15"/>
                <w:rtl w:val="0"/>
              </w:rPr>
              <w:t xml:space="preserve">FCV con mayor actividad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sz w:val="15"/>
                <w:szCs w:val="15"/>
                <w:rtl w:val="0"/>
              </w:rPr>
              <w:t xml:space="preserve">Inversión (5 señales)</w:t>
            </w:r>
            <w:r w:rsidDel="00000000" w:rsidR="00000000" w:rsidRPr="00000000">
              <w:rPr>
                <w:rtl w:val="0"/>
              </w:rPr>
            </w:r>
          </w:p>
        </w:tc>
      </w:tr>
    </w:tbl>
    <w:p w:rsidR="00000000" w:rsidDel="00000000" w:rsidP="00000000" w:rsidRDefault="00000000" w:rsidRPr="00000000" w14:paraId="000001D6">
      <w:pPr>
        <w:spacing w:after="80" w:before="200" w:lineRule="auto"/>
        <w:jc w:val="both"/>
        <w:rPr/>
      </w:pPr>
      <w:r w:rsidDel="00000000" w:rsidR="00000000" w:rsidRPr="00000000">
        <w:rPr>
          <w:rFonts w:ascii="Calibri" w:cs="Calibri" w:eastAsia="Calibri" w:hAnsi="Calibri"/>
          <w:b w:val="1"/>
          <w:bCs w:val="1"/>
          <w:i w:val="0"/>
          <w:iCs w:val="0"/>
          <w:sz w:val="22"/>
          <w:szCs w:val="22"/>
          <w:rtl w:val="0"/>
        </w:rPr>
        <w:t xml:space="preserve">Distribución de señales por FCV</w:t>
      </w:r>
      <w:r w:rsidDel="00000000" w:rsidR="00000000" w:rsidRPr="00000000">
        <w:rPr>
          <w:rtl w:val="0"/>
        </w:rPr>
      </w:r>
    </w:p>
    <w:tbl>
      <w:tblPr>
        <w:tblStyle w:val="Table5"/>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000"/>
        <w:gridCol w:w="2400"/>
        <w:gridCol w:w="4400"/>
        <w:tblGridChange w:id="0">
          <w:tblGrid>
            <w:gridCol w:w="4000"/>
            <w:gridCol w:w="2400"/>
            <w:gridCol w:w="44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1"/>
                <w:bCs w:val="1"/>
                <w:sz w:val="15"/>
                <w:szCs w:val="15"/>
                <w:rtl w:val="0"/>
              </w:rPr>
              <w:t xml:space="preserve">FCV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1"/>
                <w:bCs w:val="1"/>
                <w:sz w:val="15"/>
                <w:szCs w:val="15"/>
                <w:rtl w:val="0"/>
              </w:rPr>
              <w:t xml:space="preserve">Señales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1"/>
                <w:bCs w:val="1"/>
                <w:sz w:val="15"/>
                <w:szCs w:val="15"/>
                <w:rtl w:val="0"/>
              </w:rPr>
              <w:t xml:space="preserve">Referencia (# tabla 2.3)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sz w:val="15"/>
                <w:szCs w:val="15"/>
                <w:rtl w:val="0"/>
              </w:rPr>
              <w:t xml:space="preserve">Inversión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B">
            <w:pPr>
              <w:jc w:val="center"/>
              <w:rPr/>
            </w:pPr>
            <w:r w:rsidDel="00000000" w:rsidR="00000000" w:rsidRPr="00000000">
              <w:rPr>
                <w:rFonts w:ascii="Calibri" w:cs="Calibri" w:eastAsia="Calibri" w:hAnsi="Calibri"/>
                <w:b w:val="0"/>
                <w:bCs w:val="0"/>
                <w:sz w:val="15"/>
                <w:szCs w:val="15"/>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0"/>
                <w:bCs w:val="0"/>
                <w:sz w:val="15"/>
                <w:szCs w:val="15"/>
                <w:rtl w:val="0"/>
              </w:rPr>
              <w:t xml:space="preserve">#6, 8, 9, 18, 19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sz w:val="15"/>
                <w:szCs w:val="15"/>
                <w:rtl w:val="0"/>
              </w:rPr>
              <w:t xml:space="preserve">Propiedad Intelectual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E">
            <w:pPr>
              <w:jc w:val="center"/>
              <w:rPr/>
            </w:pPr>
            <w:r w:rsidDel="00000000" w:rsidR="00000000" w:rsidRPr="00000000">
              <w:rPr>
                <w:rFonts w:ascii="Calibri" w:cs="Calibri" w:eastAsia="Calibri" w:hAnsi="Calibri"/>
                <w:b w:val="0"/>
                <w:bCs w:val="0"/>
                <w:sz w:val="15"/>
                <w:szCs w:val="15"/>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sz w:val="15"/>
                <w:szCs w:val="15"/>
                <w:rtl w:val="0"/>
              </w:rPr>
              <w:t xml:space="preserve">#11, 16, 17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sz w:val="15"/>
                <w:szCs w:val="15"/>
                <w:rtl w:val="0"/>
              </w:rPr>
              <w:t xml:space="preserve">Mercado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1">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2">
            <w:pPr>
              <w:jc w:val="left"/>
              <w:rPr/>
            </w:pPr>
            <w:r w:rsidDel="00000000" w:rsidR="00000000" w:rsidRPr="00000000">
              <w:rPr>
                <w:rFonts w:ascii="Calibri" w:cs="Calibri" w:eastAsia="Calibri" w:hAnsi="Calibri"/>
                <w:b w:val="0"/>
                <w:bCs w:val="0"/>
                <w:sz w:val="15"/>
                <w:szCs w:val="15"/>
                <w:rtl w:val="0"/>
              </w:rPr>
              <w:t xml:space="preserve">#4, 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3">
            <w:pPr>
              <w:jc w:val="left"/>
              <w:rPr/>
            </w:pPr>
            <w:r w:rsidDel="00000000" w:rsidR="00000000" w:rsidRPr="00000000">
              <w:rPr>
                <w:rFonts w:ascii="Calibri" w:cs="Calibri" w:eastAsia="Calibri" w:hAnsi="Calibri"/>
                <w:b w:val="0"/>
                <w:bCs w:val="0"/>
                <w:sz w:val="15"/>
                <w:szCs w:val="15"/>
                <w:rtl w:val="0"/>
              </w:rPr>
              <w:t xml:space="preserve">Manufactura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sz w:val="15"/>
                <w:szCs w:val="15"/>
                <w:rtl w:val="0"/>
              </w:rPr>
              <w:t xml:space="preserve">#1, 10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6">
            <w:pPr>
              <w:jc w:val="left"/>
              <w:rPr/>
            </w:pPr>
            <w:r w:rsidDel="00000000" w:rsidR="00000000" w:rsidRPr="00000000">
              <w:rPr>
                <w:rFonts w:ascii="Calibri" w:cs="Calibri" w:eastAsia="Calibri" w:hAnsi="Calibri"/>
                <w:b w:val="0"/>
                <w:bCs w:val="0"/>
                <w:sz w:val="15"/>
                <w:szCs w:val="15"/>
                <w:rtl w:val="0"/>
              </w:rPr>
              <w:t xml:space="preserve">Tecnología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7">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8">
            <w:pPr>
              <w:jc w:val="left"/>
              <w:rPr/>
            </w:pPr>
            <w:r w:rsidDel="00000000" w:rsidR="00000000" w:rsidRPr="00000000">
              <w:rPr>
                <w:rFonts w:ascii="Calibri" w:cs="Calibri" w:eastAsia="Calibri" w:hAnsi="Calibri"/>
                <w:b w:val="0"/>
                <w:bCs w:val="0"/>
                <w:sz w:val="15"/>
                <w:szCs w:val="15"/>
                <w:rtl w:val="0"/>
              </w:rPr>
              <w:t xml:space="preserve">#2, 14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sz w:val="15"/>
                <w:szCs w:val="15"/>
                <w:rtl w:val="0"/>
              </w:rPr>
              <w:t xml:space="preserve">Talento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A">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0"/>
                <w:bCs w:val="0"/>
                <w:sz w:val="15"/>
                <w:szCs w:val="15"/>
                <w:rtl w:val="0"/>
              </w:rPr>
              <w:t xml:space="preserve">#12, 15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sz w:val="15"/>
                <w:szCs w:val="15"/>
                <w:rtl w:val="0"/>
              </w:rPr>
              <w:t xml:space="preserve">Cadena de Suministro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D">
            <w:pPr>
              <w:jc w:val="center"/>
              <w:rPr/>
            </w:pPr>
            <w:r w:rsidDel="00000000" w:rsidR="00000000" w:rsidRPr="00000000">
              <w:rPr>
                <w:rFonts w:ascii="Calibri" w:cs="Calibri" w:eastAsia="Calibri" w:hAnsi="Calibri"/>
                <w:b w:val="0"/>
                <w:bCs w:val="0"/>
                <w:sz w:val="15"/>
                <w:szCs w:val="15"/>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sz w:val="15"/>
                <w:szCs w:val="15"/>
                <w:rtl w:val="0"/>
              </w:rPr>
              <w:t xml:space="preserve">#3, 20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sz w:val="15"/>
                <w:szCs w:val="15"/>
                <w:rtl w:val="0"/>
              </w:rPr>
              <w:t xml:space="preserve">Regulación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0">
            <w:pPr>
              <w:jc w:val="center"/>
              <w:rPr/>
            </w:pPr>
            <w:r w:rsidDel="00000000" w:rsidR="00000000" w:rsidRPr="00000000">
              <w:rPr>
                <w:rFonts w:ascii="Calibri" w:cs="Calibri" w:eastAsia="Calibri" w:hAnsi="Calibri"/>
                <w:b w:val="0"/>
                <w:bCs w:val="0"/>
                <w:sz w:val="15"/>
                <w:szCs w:val="15"/>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sz w:val="15"/>
                <w:szCs w:val="15"/>
                <w:rtl w:val="0"/>
              </w:rPr>
              <w:t xml:space="preserve">#7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sz w:val="15"/>
                <w:szCs w:val="15"/>
                <w:rtl w:val="0"/>
              </w:rPr>
              <w:t xml:space="preserve">Sostenibilidad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3">
            <w:pPr>
              <w:jc w:val="center"/>
              <w:rPr/>
            </w:pPr>
            <w:r w:rsidDel="00000000" w:rsidR="00000000" w:rsidRPr="00000000">
              <w:rPr>
                <w:rFonts w:ascii="Calibri" w:cs="Calibri" w:eastAsia="Calibri" w:hAnsi="Calibri"/>
                <w:b w:val="0"/>
                <w:bCs w:val="0"/>
                <w:sz w:val="15"/>
                <w:szCs w:val="15"/>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jc w:val="left"/>
              <w:rPr/>
            </w:pPr>
            <w:r w:rsidDel="00000000" w:rsidR="00000000" w:rsidRPr="00000000">
              <w:rPr>
                <w:rFonts w:ascii="Calibri" w:cs="Calibri" w:eastAsia="Calibri" w:hAnsi="Calibri"/>
                <w:b w:val="0"/>
                <w:bCs w:val="0"/>
                <w:sz w:val="15"/>
                <w:szCs w:val="15"/>
                <w:rtl w:val="0"/>
              </w:rPr>
              <w:t xml:space="preserve">#13</w:t>
            </w:r>
            <w:r w:rsidDel="00000000" w:rsidR="00000000" w:rsidRPr="00000000">
              <w:rPr>
                <w:rtl w:val="0"/>
              </w:rPr>
            </w:r>
          </w:p>
        </w:tc>
      </w:tr>
    </w:tbl>
    <w:p w:rsidR="00000000" w:rsidDel="00000000" w:rsidP="00000000" w:rsidRDefault="00000000" w:rsidRPr="00000000" w14:paraId="000001F5">
      <w:pPr>
        <w:pStyle w:val="Heading2"/>
        <w:spacing w:after="160" w:before="280" w:lineRule="auto"/>
        <w:rPr/>
      </w:pPr>
      <w:r w:rsidDel="00000000" w:rsidR="00000000" w:rsidRPr="00000000">
        <w:rPr>
          <w:rFonts w:ascii="Calibri" w:cs="Calibri" w:eastAsia="Calibri" w:hAnsi="Calibri"/>
          <w:rtl w:val="0"/>
        </w:rPr>
        <w:t xml:space="preserve">Referencias</w:t>
      </w:r>
      <w:r w:rsidDel="00000000" w:rsidR="00000000" w:rsidRPr="00000000">
        <w:rPr>
          <w:rtl w:val="0"/>
        </w:rPr>
      </w:r>
    </w:p>
    <w:p w:rsidR="00000000" w:rsidDel="00000000" w:rsidP="00000000" w:rsidRDefault="00000000" w:rsidRPr="00000000" w14:paraId="000001F6">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Se presenta a continuación la relación de fuentes del Banco Maestro consultadas para sustentar las señales de este boletín. El detalle documento por documento, con fecha y URL específicos, se encuentra en la tabla de la sección 2.3.</w:t>
      </w:r>
      <w:r w:rsidDel="00000000" w:rsidR="00000000" w:rsidRPr="00000000">
        <w:rPr>
          <w:rtl w:val="0"/>
        </w:rPr>
      </w:r>
    </w:p>
    <w:tbl>
      <w:tblPr>
        <w:tblStyle w:val="Table6"/>
        <w:tblW w:w="1080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200"/>
        <w:gridCol w:w="900"/>
        <w:gridCol w:w="5700"/>
        <w:tblGridChange w:id="0">
          <w:tblGrid>
            <w:gridCol w:w="4200"/>
            <w:gridCol w:w="900"/>
            <w:gridCol w:w="57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F7">
            <w:pPr>
              <w:jc w:val="left"/>
              <w:rPr/>
            </w:pPr>
            <w:r w:rsidDel="00000000" w:rsidR="00000000" w:rsidRPr="00000000">
              <w:rPr>
                <w:rFonts w:ascii="Calibri" w:cs="Calibri" w:eastAsia="Calibri" w:hAnsi="Calibri"/>
                <w:b w:val="1"/>
                <w:bCs w:val="1"/>
                <w:sz w:val="15"/>
                <w:szCs w:val="15"/>
                <w:rtl w:val="0"/>
              </w:rPr>
              <w:t xml:space="preserve">Fuente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F8">
            <w:pPr>
              <w:jc w:val="left"/>
              <w:rPr/>
            </w:pPr>
            <w:r w:rsidDel="00000000" w:rsidR="00000000" w:rsidRPr="00000000">
              <w:rPr>
                <w:rFonts w:ascii="Calibri" w:cs="Calibri" w:eastAsia="Calibri" w:hAnsi="Calibri"/>
                <w:b w:val="1"/>
                <w:bCs w:val="1"/>
                <w:sz w:val="15"/>
                <w:szCs w:val="15"/>
                <w:rtl w:val="0"/>
              </w:rPr>
              <w:t xml:space="preserve">Año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F9">
            <w:pPr>
              <w:jc w:val="left"/>
              <w:rPr/>
            </w:pPr>
            <w:r w:rsidDel="00000000" w:rsidR="00000000" w:rsidRPr="00000000">
              <w:rPr>
                <w:rFonts w:ascii="Calibri" w:cs="Calibri" w:eastAsia="Calibri" w:hAnsi="Calibri"/>
                <w:b w:val="1"/>
                <w:bCs w:val="1"/>
                <w:sz w:val="15"/>
                <w:szCs w:val="15"/>
                <w:rtl w:val="0"/>
              </w:rPr>
              <w:t xml:space="preserve">Referencia / URL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A">
            <w:pPr>
              <w:jc w:val="left"/>
              <w:rPr/>
            </w:pPr>
            <w:r w:rsidDel="00000000" w:rsidR="00000000" w:rsidRPr="00000000">
              <w:rPr>
                <w:rFonts w:ascii="Calibri" w:cs="Calibri" w:eastAsia="Calibri" w:hAnsi="Calibri"/>
                <w:b w:val="0"/>
                <w:bCs w:val="0"/>
                <w:sz w:val="15"/>
                <w:szCs w:val="15"/>
                <w:rtl w:val="0"/>
              </w:rPr>
              <w:t xml:space="preserve">TrendForce / DRAMeXchange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B">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sz w:val="15"/>
                <w:szCs w:val="15"/>
                <w:rtl w:val="0"/>
              </w:rPr>
              <w:t xml:space="preserve">trendforce.com/news/2026/06/15/... ; .../2026/07/03/... ; presscenter/news/20260709-13140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D">
            <w:pPr>
              <w:jc w:val="left"/>
              <w:rPr/>
            </w:pPr>
            <w:r w:rsidDel="00000000" w:rsidR="00000000" w:rsidRPr="00000000">
              <w:rPr>
                <w:rFonts w:ascii="Calibri" w:cs="Calibri" w:eastAsia="Calibri" w:hAnsi="Calibri"/>
                <w:b w:val="0"/>
                <w:bCs w:val="0"/>
                <w:sz w:val="15"/>
                <w:szCs w:val="15"/>
                <w:rtl w:val="0"/>
              </w:rPr>
              <w:t xml:space="preserve">IEEE Xplore (Institute of Electrical and Electronics Engineers)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b w:val="0"/>
                <w:bCs w:val="0"/>
                <w:sz w:val="15"/>
                <w:szCs w:val="15"/>
                <w:rtl w:val="0"/>
              </w:rPr>
              <w:t xml:space="preserve">doi.org/10.1109/JSSC.2026.3702962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0">
            <w:pPr>
              <w:jc w:val="left"/>
              <w:rPr/>
            </w:pPr>
            <w:r w:rsidDel="00000000" w:rsidR="00000000" w:rsidRPr="00000000">
              <w:rPr>
                <w:rFonts w:ascii="Calibri" w:cs="Calibri" w:eastAsia="Calibri" w:hAnsi="Calibri"/>
                <w:b w:val="0"/>
                <w:bCs w:val="0"/>
                <w:sz w:val="15"/>
                <w:szCs w:val="15"/>
                <w:rtl w:val="0"/>
              </w:rPr>
              <w:t xml:space="preserve">DIGITIMES Asia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1">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sz w:val="15"/>
                <w:szCs w:val="15"/>
                <w:rtl w:val="0"/>
              </w:rPr>
              <w:t xml:space="preserve">digitimes.com/news/a20260707PD209/...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3">
            <w:pPr>
              <w:jc w:val="left"/>
              <w:rPr/>
            </w:pPr>
            <w:r w:rsidDel="00000000" w:rsidR="00000000" w:rsidRPr="00000000">
              <w:rPr>
                <w:rFonts w:ascii="Calibri" w:cs="Calibri" w:eastAsia="Calibri" w:hAnsi="Calibri"/>
                <w:b w:val="0"/>
                <w:bCs w:val="0"/>
                <w:sz w:val="15"/>
                <w:szCs w:val="15"/>
                <w:rtl w:val="0"/>
              </w:rPr>
              <w:t xml:space="preserve">SEC EDGAR (U.S. Securities and Exchange Commission)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4">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5">
            <w:pPr>
              <w:jc w:val="left"/>
              <w:rPr/>
            </w:pPr>
            <w:r w:rsidDel="00000000" w:rsidR="00000000" w:rsidRPr="00000000">
              <w:rPr>
                <w:rFonts w:ascii="Calibri" w:cs="Calibri" w:eastAsia="Calibri" w:hAnsi="Calibri"/>
                <w:b w:val="0"/>
                <w:bCs w:val="0"/>
                <w:sz w:val="15"/>
                <w:szCs w:val="15"/>
                <w:rtl w:val="0"/>
              </w:rPr>
              <w:t xml:space="preserve">sec.gov/Archives/edgar/data/0000817720/...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6">
            <w:pPr>
              <w:jc w:val="left"/>
              <w:rPr/>
            </w:pPr>
            <w:r w:rsidDel="00000000" w:rsidR="00000000" w:rsidRPr="00000000">
              <w:rPr>
                <w:rFonts w:ascii="Calibri" w:cs="Calibri" w:eastAsia="Calibri" w:hAnsi="Calibri"/>
                <w:b w:val="0"/>
                <w:bCs w:val="0"/>
                <w:sz w:val="15"/>
                <w:szCs w:val="15"/>
                <w:rtl w:val="0"/>
              </w:rPr>
              <w:t xml:space="preserve">Comisión Europea — European Chips Act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7">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8">
            <w:pPr>
              <w:jc w:val="left"/>
              <w:rPr/>
            </w:pPr>
            <w:r w:rsidDel="00000000" w:rsidR="00000000" w:rsidRPr="00000000">
              <w:rPr>
                <w:rFonts w:ascii="Calibri" w:cs="Calibri" w:eastAsia="Calibri" w:hAnsi="Calibri"/>
                <w:b w:val="0"/>
                <w:bCs w:val="0"/>
                <w:sz w:val="15"/>
                <w:szCs w:val="15"/>
                <w:rtl w:val="0"/>
              </w:rPr>
              <w:t xml:space="preserve">digital-strategy.ec.europa.eu/en/news/european-chips-act-update-latest-milestones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9">
            <w:pPr>
              <w:jc w:val="left"/>
              <w:rPr/>
            </w:pPr>
            <w:r w:rsidDel="00000000" w:rsidR="00000000" w:rsidRPr="00000000">
              <w:rPr>
                <w:rFonts w:ascii="Calibri" w:cs="Calibri" w:eastAsia="Calibri" w:hAnsi="Calibri"/>
                <w:b w:val="0"/>
                <w:bCs w:val="0"/>
                <w:sz w:val="15"/>
                <w:szCs w:val="15"/>
                <w:rtl w:val="0"/>
              </w:rPr>
              <w:t xml:space="preserve">NIST — CHIPS for America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A">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sz w:val="15"/>
                <w:szCs w:val="15"/>
                <w:rtl w:val="0"/>
              </w:rPr>
              <w:t xml:space="preserve">nist.gov/news-events/news/2026/06/... (I-Pulse, SandboxAQ, Coherent)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sz w:val="15"/>
                <w:szCs w:val="15"/>
                <w:rtl w:val="0"/>
              </w:rPr>
              <w:t xml:space="preserve">SIA (Semiconductor Industry Association)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sz w:val="15"/>
                <w:szCs w:val="15"/>
                <w:rtl w:val="0"/>
              </w:rPr>
              <w:t xml:space="preserve">semiconductors.org/wp-content/uploads/2026/06/SIA-Comments-on-Section-337-NPRM_Docket-MISC-051.pdf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sz w:val="15"/>
                <w:szCs w:val="15"/>
                <w:rtl w:val="0"/>
              </w:rPr>
              <w:t xml:space="preserve">SEMI (Semiconductor Equipment and Materials International)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sz w:val="15"/>
                <w:szCs w:val="15"/>
                <w:rtl w:val="0"/>
              </w:rPr>
              <w:t xml:space="preserve">semi.org/en/semi-press-release/semicon-west-2026-...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sz w:val="15"/>
                <w:szCs w:val="15"/>
                <w:rtl w:val="0"/>
              </w:rPr>
              <w:t xml:space="preserve">Samsung Semiconductor Global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3">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sz w:val="15"/>
                <w:szCs w:val="15"/>
                <w:rtl w:val="0"/>
              </w:rPr>
              <w:t xml:space="preserve">semiconductor.samsung.com/sustainability/highlights/downloads/sustainability-report/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sz w:val="15"/>
                <w:szCs w:val="15"/>
                <w:rtl w:val="0"/>
              </w:rPr>
              <w:t xml:space="preserve">TechInsights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6">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sz w:val="15"/>
                <w:szCs w:val="15"/>
                <w:rtl w:val="0"/>
              </w:rPr>
              <w:t xml:space="preserve">techinsights.com/blog/apple-m5-pro-package-analysis-TSMC-hybrid-bonding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b w:val="0"/>
                <w:bCs w:val="0"/>
                <w:sz w:val="15"/>
                <w:szCs w:val="15"/>
                <w:rtl w:val="0"/>
              </w:rPr>
              <w:t xml:space="preserve">Semiconductor Engineering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9">
            <w:pPr>
              <w:jc w:val="center"/>
              <w:rPr/>
            </w:pPr>
            <w:r w:rsidDel="00000000" w:rsidR="00000000" w:rsidRPr="00000000">
              <w:rPr>
                <w:rFonts w:ascii="Calibri" w:cs="Calibri" w:eastAsia="Calibri" w:hAnsi="Calibri"/>
                <w:b w:val="0"/>
                <w:bCs w:val="0"/>
                <w:sz w:val="15"/>
                <w:szCs w:val="15"/>
                <w:rtl w:val="0"/>
              </w:rPr>
              <w:t xml:space="preserve">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sz w:val="15"/>
                <w:szCs w:val="15"/>
                <w:rtl w:val="0"/>
              </w:rPr>
              <w:t xml:space="preserve">semiengineering.com/chip-industry-week-in-review-146/</w:t>
            </w:r>
            <w:r w:rsidDel="00000000" w:rsidR="00000000" w:rsidRPr="00000000">
              <w:rPr>
                <w:rtl w:val="0"/>
              </w:rPr>
            </w:r>
          </w:p>
        </w:tc>
      </w:tr>
    </w:tbl>
    <w:p w:rsidR="00000000" w:rsidDel="00000000" w:rsidP="00000000" w:rsidRDefault="00000000" w:rsidRPr="00000000" w14:paraId="0000021B">
      <w:pPr>
        <w:pStyle w:val="Heading1"/>
        <w:spacing w:after="200" w:before="360" w:lineRule="auto"/>
        <w:rPr/>
      </w:pPr>
      <w:r w:rsidDel="00000000" w:rsidR="00000000" w:rsidRPr="00000000">
        <w:rPr>
          <w:rFonts w:ascii="Calibri" w:cs="Calibri" w:eastAsia="Calibri" w:hAnsi="Calibri"/>
          <w:rtl w:val="0"/>
        </w:rPr>
        <w:t xml:space="preserve">4. Reflexiones finales</w:t>
      </w:r>
      <w:r w:rsidDel="00000000" w:rsidR="00000000" w:rsidRPr="00000000">
        <w:rPr>
          <w:rtl w:val="0"/>
        </w:rPr>
      </w:r>
    </w:p>
    <w:p w:rsidR="00000000" w:rsidDel="00000000" w:rsidP="00000000" w:rsidRDefault="00000000" w:rsidRPr="00000000" w14:paraId="0000021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regla estricta de Veracidad adoptada para este primer boletín —exigir que la evidencia documental de cada señal, y no solo el actor que genera el hecho, pertenezca al Banco Maestro de Fuentes— resultó exigente pero metodológicamente valiosa: de veintitrés casos candidatos evaluados a fondo, tres no pudieron sustentarse en una publicación exacta del catálogo dentro de la ventana de análisis. Esto confirma la importancia de mantener el Banco Maestro como fuente única y autorizada de evidencia para el Observatorio.</w:t>
      </w:r>
      <w:r w:rsidDel="00000000" w:rsidR="00000000" w:rsidRPr="00000000">
        <w:rPr>
          <w:rtl w:val="0"/>
        </w:rPr>
      </w:r>
    </w:p>
    <w:p w:rsidR="00000000" w:rsidDel="00000000" w:rsidP="00000000" w:rsidRDefault="00000000" w:rsidRPr="00000000" w14:paraId="0000021D">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Durante la captura se identificó un patrón recurrente de información estratégica relevante —el boletín general de comercio exterior de INEGI, la alianza CIDESI/SEDESU en Querétaro y el caso de propiedad intelectual ante el ITC relacionado con TSMC— proveniente de fuentes no catalogadas o de organismos no cubiertos actualmente por el catálogo (como el USITC). Conforme a lo acordado, estos casos se documentan como oportunidades de mejora del Banco Maestro de Fuentes para su evaluación futura por el Comité de Vigilancia Tecnológica, y no se manejaron como excepciones durante la elaboración de este ejercicio.</w:t>
      </w:r>
      <w:r w:rsidDel="00000000" w:rsidR="00000000" w:rsidRPr="00000000">
        <w:rPr>
          <w:rtl w:val="0"/>
        </w:rPr>
      </w:r>
    </w:p>
    <w:p w:rsidR="00000000" w:rsidDel="00000000" w:rsidP="00000000" w:rsidRDefault="00000000" w:rsidRPr="00000000" w14:paraId="0000021E">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umbral de antigüedad de seis meses requerido para validar incluso el nivel de madurez más bajo de una tendencia (Emergente) reveló que un solo ciclo piloto de treinta días no permite, por diseño metodológico, la identificación de tendencias formales. Se recomienda mantener un registro acumulativo de señales entre ciclos sucesivos del Observatorio, de manera que a partir del segundo o tercer boletín sea posible evaluar tendencias con la ventana temporal requerida por el STA.</w:t>
      </w:r>
      <w:r w:rsidDel="00000000" w:rsidR="00000000" w:rsidRPr="00000000">
        <w:rPr>
          <w:rtl w:val="0"/>
        </w:rPr>
      </w:r>
    </w:p>
    <w:p w:rsidR="00000000" w:rsidDel="00000000" w:rsidP="00000000" w:rsidRDefault="00000000" w:rsidRPr="00000000" w14:paraId="0000021F">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instrumento de Confiabilidad de diecinueve criterios demostró ser operativamente viable gracias a la preclasificación de fuente (categorías A y B) ya disponible en el Banco Maestro, validando la solución metodológica adoptada durante la fase de enriquecimiento de la Matriz de Operacionalización para evitar la duplicación de contenido entre esta y el documento STA.</w:t>
      </w:r>
      <w:r w:rsidDel="00000000" w:rsidR="00000000" w:rsidRPr="00000000">
        <w:rPr>
          <w:rtl w:val="0"/>
        </w:rPr>
      </w:r>
    </w:p>
    <w:p w:rsidR="00000000" w:rsidDel="00000000" w:rsidP="00000000" w:rsidRDefault="00000000" w:rsidRPr="00000000" w14:paraId="00000220">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Como siguiente paso, se recomienda iniciar el segundo ciclo de captura del Observatorio (12 de julio a 10 de agosto de 2026) bajo la misma metodología, lo que permitirá comenzar a acumular la ventana temporal necesaria para la identificación de tendencias formales en boletines subsecuentes.</w:t>
      </w:r>
      <w:r w:rsidDel="00000000" w:rsidR="00000000" w:rsidRPr="00000000">
        <w:rPr>
          <w:rtl w:val="0"/>
        </w:rPr>
      </w:r>
    </w:p>
    <w:sectPr>
      <w:headerReference r:id="rId26" w:type="default"/>
      <w:footerReference r:id="rId27" w:type="default"/>
      <w:pgSz w:h="15840" w:w="12240"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jc w:val="center"/>
      <w:rPr/>
    </w:pPr>
    <w:r w:rsidDel="00000000" w:rsidR="00000000" w:rsidRPr="00000000">
      <w:rPr>
        <w:rFonts w:ascii="Calibri" w:cs="Calibri" w:eastAsia="Calibri" w:hAnsi="Calibri"/>
        <w:sz w:val="18"/>
        <w:szCs w:val="18"/>
        <w:rtl w:val="0"/>
      </w:rPr>
      <w:t xml:space="preserve">Página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right"/>
      <w:rPr/>
    </w:pPr>
    <w:r w:rsidDel="00000000" w:rsidR="00000000" w:rsidRPr="00000000">
      <w:rPr>
        <w:rFonts w:ascii="Calibri" w:cs="Calibri" w:eastAsia="Calibri" w:hAnsi="Calibri"/>
        <w:color w:val="666666"/>
        <w:sz w:val="18"/>
        <w:szCs w:val="18"/>
        <w:rtl w:val="0"/>
      </w:rPr>
      <w:t xml:space="preserve">Observatorio de Semiconductores para Querétaro — Boletín Tecnológico Piloto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miengineering.com/chip-industry-week-in-review-146/" TargetMode="External"/><Relationship Id="rId22" Type="http://schemas.openxmlformats.org/officeDocument/2006/relationships/hyperlink" Target="https://semiengineering.com/chip-industry-week-in-review-146/" TargetMode="External"/><Relationship Id="rId21" Type="http://schemas.openxmlformats.org/officeDocument/2006/relationships/hyperlink" Target="https://semiengineering.com/chip-industry-week-in-review-146/" TargetMode="External"/><Relationship Id="rId24" Type="http://schemas.openxmlformats.org/officeDocument/2006/relationships/hyperlink" Target="https://semiengineering.com/chip-industry-week-in-review-146/" TargetMode="External"/><Relationship Id="rId23" Type="http://schemas.openxmlformats.org/officeDocument/2006/relationships/hyperlink" Target="https://semiengineering.com/chip-industry-week-in-review-1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endforce.com/news/2026/07/03/news-samsung-reportedly-seeks-up-to-20-3q26-dram-price-increase-lpddr-hikes-may-exceed-20/" TargetMode="External"/><Relationship Id="rId26" Type="http://schemas.openxmlformats.org/officeDocument/2006/relationships/header" Target="header1.xml"/><Relationship Id="rId25" Type="http://schemas.openxmlformats.org/officeDocument/2006/relationships/hyperlink" Target="https://semiengineering.com/chip-industry-week-in-review-146/"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rendforce.com/news/2026/06/15/news-tsmc-cowos-supply-demand-gap-reportedly-seen-narrowing-from-20-to-10-by-end-2026-as-capacity-expands/" TargetMode="External"/><Relationship Id="rId7" Type="http://schemas.openxmlformats.org/officeDocument/2006/relationships/hyperlink" Target="https://doi.org/10.1109/JSSC.2026.3702962" TargetMode="External"/><Relationship Id="rId8" Type="http://schemas.openxmlformats.org/officeDocument/2006/relationships/hyperlink" Target="https://www.digitimes.com/news/a20260707PD209/tsmc-nvidia-demand-supply-chain-packaging.html" TargetMode="External"/><Relationship Id="rId11" Type="http://schemas.openxmlformats.org/officeDocument/2006/relationships/hyperlink" Target="https://www.sec.gov/Archives/edgar/data/0000817720/000114036126026434/ef20076748_8k.htm" TargetMode="External"/><Relationship Id="rId10" Type="http://schemas.openxmlformats.org/officeDocument/2006/relationships/hyperlink" Target="https://www.trendforce.com/presscenter/news/20260709-13140.html" TargetMode="External"/><Relationship Id="rId13" Type="http://schemas.openxmlformats.org/officeDocument/2006/relationships/hyperlink" Target="https://www.nist.gov/news-events/news/2026/06/department-commerce-announces-definitive-agreement-i-pulse-250-million" TargetMode="External"/><Relationship Id="rId12" Type="http://schemas.openxmlformats.org/officeDocument/2006/relationships/hyperlink" Target="https://digital-strategy.ec.europa.eu/en/news/european-chips-act-update-latest-milestones" TargetMode="External"/><Relationship Id="rId15" Type="http://schemas.openxmlformats.org/officeDocument/2006/relationships/hyperlink" Target="https://www.nist.gov/news-events/news/2026/06/department-commerces-chips-program-announces-letter-intent-coherent-50" TargetMode="External"/><Relationship Id="rId14" Type="http://schemas.openxmlformats.org/officeDocument/2006/relationships/hyperlink" Target="https://www.nist.gov/news-events/news/2026/06/department-commerce-announces-definitive-agreement-sandboxaq-500-million" TargetMode="External"/><Relationship Id="rId17" Type="http://schemas.openxmlformats.org/officeDocument/2006/relationships/hyperlink" Target="https://www.semi.org/en/semi-press-release/semicon-west-2026-to-spotlight-key-innovations-and-market-drivers-powering-the-semiconductor-industry-beyond-one-trillion-dollars" TargetMode="External"/><Relationship Id="rId16" Type="http://schemas.openxmlformats.org/officeDocument/2006/relationships/hyperlink" Target="https://www.semiconductors.org/wp-content/uploads/2026/06/SIA-Comments-on-Section-337-NPRM_Docket-MISC-051.pdf" TargetMode="External"/><Relationship Id="rId19" Type="http://schemas.openxmlformats.org/officeDocument/2006/relationships/hyperlink" Target="https://www.techinsights.com/blog/apple-m5-pro-package-analysis-TSMC-hybrid-bonding" TargetMode="External"/><Relationship Id="rId18" Type="http://schemas.openxmlformats.org/officeDocument/2006/relationships/hyperlink" Target="https://semiconductor.samsung.com/sustainability/highlights/downloads/sustainability-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