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ajorEastAsia"/>
          <w:lang w:val="en-US" w:eastAsia="zh-CN"/>
        </w:rPr>
      </w:pPr>
      <w:bookmarkStart w:id="0" w:name="header-n0"/>
      <w:bookmarkEnd w:id="0"/>
      <w:r>
        <w:rPr>
          <w:rFonts w:hint="eastAsia"/>
          <w:lang w:val="en-US" w:eastAsia="zh-CN"/>
        </w:rPr>
        <w:t>杨雪婷工作周报（2021.06.07 - 2021.06.11）</w:t>
      </w: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lang w:val="en-US" w:eastAsia="zh-CN"/>
        </w:rPr>
      </w:pPr>
      <w:bookmarkStart w:id="1" w:name="header-n40"/>
      <w:bookmarkEnd w:id="1"/>
      <w:bookmarkStart w:id="2" w:name="header-n2"/>
      <w:bookmarkEnd w:id="2"/>
      <w:r>
        <w:rPr>
          <w:rFonts w:hint="eastAsia"/>
          <w:sz w:val="28"/>
          <w:szCs w:val="28"/>
          <w:lang w:val="en-US" w:eastAsia="zh-CN"/>
        </w:rPr>
        <w:t>本周工作进展情况</w:t>
      </w:r>
      <w:r>
        <w:rPr>
          <w:rFonts w:hint="eastAsia"/>
          <w:lang w:val="en-US" w:eastAsia="zh-CN"/>
        </w:rPr>
        <w:t>：</w:t>
      </w:r>
    </w:p>
    <w:p>
      <w:pPr>
        <w:pStyle w:val="3"/>
        <w:numPr>
          <w:ilvl w:val="0"/>
          <w:numId w:val="2"/>
        </w:numPr>
        <w:spacing w:before="180" w:after="180"/>
        <w:ind w:firstLine="720" w:firstLineChars="0"/>
        <w:rPr>
          <w:rFonts w:hint="eastAsia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  <w:t>思路方面：将看过的四篇利用强化学习缓存的论文复习了一下。</w:t>
      </w:r>
    </w:p>
    <w:p>
      <w:pPr>
        <w:pStyle w:val="3"/>
        <w:numPr>
          <w:numId w:val="0"/>
        </w:numPr>
        <w:spacing w:before="180" w:after="180"/>
        <w:ind w:firstLine="720" w:firstLineChars="0"/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  <w:t>如果不是做admission就有太大的action空间，不容易压缩方法数，最后一行的分情况来做action反而action数更多了..或者不用强化学习直接选择最好的action而是间接算出最合适的popularity，再结合传统算法进行改进。</w:t>
      </w:r>
    </w:p>
    <w:p>
      <w:pPr>
        <w:pStyle w:val="3"/>
        <w:numPr>
          <w:numId w:val="0"/>
        </w:numPr>
        <w:spacing w:before="180" w:after="180"/>
        <w:ind w:firstLine="720" w:firstLineChars="0"/>
        <w:rPr>
          <w:rFonts w:hint="default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sz w:val="24"/>
          <w:szCs w:val="24"/>
          <w:lang w:val="en-US" w:eastAsia="zh-CN" w:bidi="ar-SA"/>
        </w:rPr>
        <w:t>做admission的是第一行和第三行的文章，感觉features都很丰富全面，也有较大的相关性，感觉可以参考）</w:t>
      </w:r>
    </w:p>
    <w:tbl>
      <w:tblPr>
        <w:tblW w:w="85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2E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6"/>
        <w:gridCol w:w="2145"/>
        <w:gridCol w:w="42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2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  <w:tblHeader/>
          <w:jc w:val="center"/>
        </w:trPr>
        <w:tc>
          <w:tcPr>
            <w:tcW w:w="0" w:type="auto"/>
            <w:tcBorders>
              <w:bottom w:val="nil"/>
            </w:tcBorders>
            <w:shd w:val="clear" w:color="auto" w:fill="F3F2EE"/>
            <w:tcMar>
              <w:top w:w="53" w:type="dxa"/>
              <w:left w:w="84" w:type="dxa"/>
              <w:bottom w:w="53" w:type="dxa"/>
              <w:right w:w="5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论文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3F2EE"/>
            <w:tcMar>
              <w:top w:w="53" w:type="dxa"/>
              <w:left w:w="84" w:type="dxa"/>
              <w:bottom w:w="53" w:type="dxa"/>
              <w:right w:w="5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要解决的问题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3F2EE"/>
            <w:tcMar>
              <w:top w:w="53" w:type="dxa"/>
              <w:left w:w="84" w:type="dxa"/>
              <w:bottom w:w="53" w:type="dxa"/>
              <w:right w:w="5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解决方法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2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  <w:jc w:val="center"/>
        </w:trPr>
        <w:tc>
          <w:tcPr>
            <w:tcW w:w="0" w:type="auto"/>
            <w:shd w:val="clear" w:color="auto" w:fill="F3F2EE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RL-cache</w:t>
            </w:r>
          </w:p>
        </w:tc>
        <w:tc>
          <w:tcPr>
            <w:tcW w:w="0" w:type="auto"/>
            <w:shd w:val="clear" w:color="auto" w:fill="F3F2EE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Cache Admission</w:t>
            </w:r>
          </w:p>
        </w:tc>
        <w:tc>
          <w:tcPr>
            <w:tcW w:w="0" w:type="auto"/>
            <w:shd w:val="clear" w:color="auto" w:fill="F3F2EE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蒙泰卡罗模型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2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  <w:jc w:val="center"/>
        </w:trPr>
        <w:tc>
          <w:tcPr>
            <w:tcW w:w="0" w:type="auto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DeepCache</w:t>
            </w:r>
          </w:p>
        </w:tc>
        <w:tc>
          <w:tcPr>
            <w:tcW w:w="0" w:type="auto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cache hit</w:t>
            </w:r>
          </w:p>
        </w:tc>
        <w:tc>
          <w:tcPr>
            <w:tcW w:w="0" w:type="auto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popularity pre</w:t>
            </w:r>
            <w:r>
              <w:rPr>
                <w:rFonts w:hint="eastAsia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diction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 xml:space="preserve"> + fake requests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2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  <w:jc w:val="center"/>
        </w:trPr>
        <w:tc>
          <w:tcPr>
            <w:tcW w:w="0" w:type="auto"/>
            <w:shd w:val="clear" w:color="auto" w:fill="F3F2EE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DLR-360</w:t>
            </w:r>
          </w:p>
        </w:tc>
        <w:tc>
          <w:tcPr>
            <w:tcW w:w="0" w:type="auto"/>
            <w:shd w:val="clear" w:color="auto" w:fill="F3F2EE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Cache Admission</w:t>
            </w:r>
          </w:p>
        </w:tc>
        <w:tc>
          <w:tcPr>
            <w:tcW w:w="0" w:type="auto"/>
            <w:shd w:val="clear" w:color="auto" w:fill="F3F2EE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vp/bw预测+神经网络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2EE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5" w:hRule="atLeast"/>
          <w:jc w:val="center"/>
        </w:trPr>
        <w:tc>
          <w:tcPr>
            <w:tcW w:w="0" w:type="auto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Viewport-Aware DRL</w:t>
            </w:r>
          </w:p>
        </w:tc>
        <w:tc>
          <w:tcPr>
            <w:tcW w:w="0" w:type="auto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which to cache / evict</w:t>
            </w:r>
          </w:p>
        </w:tc>
        <w:tc>
          <w:tcPr>
            <w:tcW w:w="0" w:type="auto"/>
            <w:shd w:val="clear" w:color="auto" w:fill="E8E7E7"/>
            <w:tcMar>
              <w:top w:w="53" w:type="dxa"/>
              <w:left w:w="84" w:type="dxa"/>
              <w:bottom w:w="53" w:type="dxa"/>
              <w:right w:w="5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MPD(features 是请求次数</w:t>
            </w:r>
            <w:r>
              <w:rPr>
                <w:rFonts w:hint="eastAsia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1F0909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分tile、video)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HAnsi" w:cstheme="minorBidi"/>
          <w:b w:val="0"/>
          <w:bCs w:val="0"/>
          <w:color w:val="auto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目前存在问题：</w:t>
      </w:r>
    </w:p>
    <w:p>
      <w:pPr>
        <w:pStyle w:val="3"/>
        <w:numPr>
          <w:ilvl w:val="0"/>
          <w:numId w:val="3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思路方面：思路细化没有什么进展，感觉也没整理出现有方法的什么问题，没有深入思考）。</w:t>
      </w:r>
    </w:p>
    <w:p>
      <w:pPr>
        <w:pStyle w:val="3"/>
        <w:numPr>
          <w:ilvl w:val="0"/>
          <w:numId w:val="0"/>
        </w:numPr>
        <w:spacing w:before="180" w:after="18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80" w:after="18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下周计划：</w:t>
      </w:r>
    </w:p>
    <w:p>
      <w:pPr>
        <w:pStyle w:val="3"/>
        <w:numPr>
          <w:ilvl w:val="0"/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应该仔细想一下自己思路的拓展，这周没怎么花时间想qaq。其他和老师讨论后再听从安排。</w:t>
      </w:r>
      <w:bookmarkStart w:id="3" w:name="_GoBack"/>
      <w:bookmarkEnd w:id="3"/>
    </w:p>
    <w:p>
      <w:pPr>
        <w:pStyle w:val="3"/>
        <w:numPr>
          <w:ilvl w:val="0"/>
          <w:numId w:val="0"/>
        </w:numPr>
        <w:ind w:firstLine="6480" w:firstLineChars="27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 数媒技 杨雪婷</w:t>
      </w:r>
    </w:p>
    <w:p>
      <w:pPr>
        <w:pStyle w:val="3"/>
        <w:numPr>
          <w:ilvl w:val="0"/>
          <w:numId w:val="0"/>
        </w:num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2021.06.13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525D1"/>
    <w:multiLevelType w:val="singleLevel"/>
    <w:tmpl w:val="D07525D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9600010"/>
    <w:multiLevelType w:val="singleLevel"/>
    <w:tmpl w:val="1960001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C438F06"/>
    <w:multiLevelType w:val="singleLevel"/>
    <w:tmpl w:val="6C438F0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B1516A3"/>
    <w:rsid w:val="181D482D"/>
    <w:rsid w:val="349A4783"/>
    <w:rsid w:val="55D65455"/>
    <w:rsid w:val="5BEA62F6"/>
    <w:rsid w:val="5D722FC5"/>
    <w:rsid w:val="5EB517CC"/>
    <w:rsid w:val="69A3678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qFormat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qFormat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qFormat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uiPriority w:val="0"/>
    <w:rPr>
      <w:color w:val="007020"/>
    </w:rPr>
  </w:style>
  <w:style w:type="character" w:customStyle="1" w:styleId="51">
    <w:name w:val="FunctionTok"/>
    <w:basedOn w:val="31"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78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2021-05-14T06:35:00Z</dcterms:created>
  <dc:creator>染小柒</dc:creator>
  <cp:lastModifiedBy>染小柒</cp:lastModifiedBy>
  <dcterms:modified xsi:type="dcterms:W3CDTF">2021-06-13T13:04:09Z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50BB7D2EEC774C2BA8A32023406D3B8F</vt:lpwstr>
  </property>
</Properties>
</file>