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BA3DB" w14:textId="35642C21" w:rsidR="00405221" w:rsidRDefault="00405221" w:rsidP="0093188B"/>
    <w:p w14:paraId="1824A757" w14:textId="7D86BF41" w:rsidR="0093188B" w:rsidRPr="00EC7A68" w:rsidRDefault="00EE32A0" w:rsidP="0093188B">
      <w:pPr>
        <w:pBdr>
          <w:bottom w:val="single" w:sz="4" w:space="1" w:color="auto"/>
        </w:pBdr>
        <w:spacing w:before="111"/>
        <w:ind w:right="117"/>
        <w:rPr>
          <w:b/>
          <w:bCs/>
          <w:sz w:val="12"/>
          <w:szCs w:val="12"/>
        </w:rPr>
      </w:pPr>
      <w:r>
        <w:rPr>
          <w:b/>
          <w:bCs/>
          <w:noProof/>
          <w:sz w:val="12"/>
          <w:szCs w:val="12"/>
        </w:rPr>
        <w:drawing>
          <wp:anchor distT="0" distB="0" distL="114300" distR="114300" simplePos="0" relativeHeight="251658240" behindDoc="0" locked="0" layoutInCell="1" allowOverlap="1" wp14:anchorId="5D79FD98" wp14:editId="4A29D334">
            <wp:simplePos x="0" y="0"/>
            <wp:positionH relativeFrom="margin">
              <wp:align>left</wp:align>
            </wp:positionH>
            <wp:positionV relativeFrom="margin">
              <wp:align>top</wp:align>
            </wp:positionV>
            <wp:extent cx="1251679" cy="876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5">
                      <a:extLst>
                        <a:ext uri="{28A0092B-C50C-407E-A947-70E740481C1C}">
                          <a14:useLocalDpi xmlns:a14="http://schemas.microsoft.com/office/drawing/2010/main" val="0"/>
                        </a:ext>
                      </a:extLst>
                    </a:blip>
                    <a:srcRect l="25857" t="8538" r="24485" b="68489"/>
                    <a:stretch/>
                  </pic:blipFill>
                  <pic:spPr bwMode="auto">
                    <a:xfrm>
                      <a:off x="0" y="0"/>
                      <a:ext cx="1251679" cy="876300"/>
                    </a:xfrm>
                    <a:prstGeom prst="rect">
                      <a:avLst/>
                    </a:prstGeom>
                    <a:ln>
                      <a:noFill/>
                    </a:ln>
                    <a:extLst>
                      <a:ext uri="{53640926-AAD7-44D8-BBD7-CCE9431645EC}">
                        <a14:shadowObscured xmlns:a14="http://schemas.microsoft.com/office/drawing/2010/main"/>
                      </a:ext>
                    </a:extLst>
                  </pic:spPr>
                </pic:pic>
              </a:graphicData>
            </a:graphic>
          </wp:anchor>
        </w:drawing>
      </w:r>
    </w:p>
    <w:p w14:paraId="51347E42" w14:textId="77777777" w:rsidR="0093188B" w:rsidRDefault="0093188B" w:rsidP="0093188B">
      <w:pPr>
        <w:spacing w:before="111"/>
        <w:ind w:right="117"/>
        <w:jc w:val="right"/>
        <w:rPr>
          <w:b/>
          <w:bCs/>
          <w:sz w:val="28"/>
        </w:rPr>
      </w:pPr>
      <w:r w:rsidRPr="00FE60EA">
        <w:rPr>
          <w:b/>
          <w:bCs/>
          <w:sz w:val="28"/>
        </w:rPr>
        <w:t xml:space="preserve">NMDC </w:t>
      </w:r>
      <w:r>
        <w:rPr>
          <w:b/>
          <w:bCs/>
          <w:sz w:val="28"/>
        </w:rPr>
        <w:t>EDGE</w:t>
      </w:r>
      <w:r w:rsidRPr="00FE60EA">
        <w:rPr>
          <w:b/>
          <w:bCs/>
          <w:sz w:val="28"/>
        </w:rPr>
        <w:t xml:space="preserve"> Quick-Start</w:t>
      </w:r>
    </w:p>
    <w:p w14:paraId="65DC9905" w14:textId="48F9FC7F" w:rsidR="0093188B" w:rsidRPr="00EC7A68" w:rsidRDefault="0093188B" w:rsidP="0093188B">
      <w:pPr>
        <w:pBdr>
          <w:bottom w:val="single" w:sz="4" w:space="1" w:color="auto"/>
        </w:pBdr>
        <w:spacing w:before="111"/>
        <w:ind w:right="117"/>
        <w:rPr>
          <w:b/>
          <w:bCs/>
          <w:sz w:val="4"/>
          <w:szCs w:val="4"/>
        </w:rPr>
      </w:pPr>
    </w:p>
    <w:p w14:paraId="1E35EC8D" w14:textId="77777777" w:rsidR="00EE32A0" w:rsidRPr="004D7627" w:rsidRDefault="00EE32A0" w:rsidP="00401BED">
      <w:pPr>
        <w:pStyle w:val="Heading1"/>
        <w:tabs>
          <w:tab w:val="left" w:pos="663"/>
        </w:tabs>
        <w:spacing w:before="187"/>
        <w:ind w:left="0" w:firstLine="0"/>
        <w:jc w:val="both"/>
        <w:rPr>
          <w:color w:val="432669"/>
          <w:sz w:val="10"/>
          <w:szCs w:val="10"/>
        </w:rPr>
      </w:pPr>
    </w:p>
    <w:p w14:paraId="39BCA050" w14:textId="7C88912A" w:rsidR="00EE5766" w:rsidRDefault="00EE5766" w:rsidP="004D7627">
      <w:pPr>
        <w:pStyle w:val="Heading1"/>
        <w:tabs>
          <w:tab w:val="left" w:pos="663"/>
        </w:tabs>
        <w:spacing w:before="187"/>
        <w:ind w:left="0" w:firstLine="0"/>
        <w:contextualSpacing/>
        <w:jc w:val="both"/>
        <w:rPr>
          <w:rFonts w:ascii="Times New Roman" w:hAnsi="Times New Roman" w:cs="Times New Roman"/>
          <w:b w:val="0"/>
          <w:bCs w:val="0"/>
          <w:sz w:val="22"/>
          <w:szCs w:val="22"/>
        </w:rPr>
      </w:pPr>
      <w:r>
        <w:rPr>
          <w:color w:val="432669"/>
        </w:rPr>
        <w:t>Register for an account</w:t>
      </w:r>
      <w:r>
        <w:rPr>
          <w:rFonts w:ascii="Times New Roman" w:hAnsi="Times New Roman" w:cs="Times New Roman"/>
          <w:b w:val="0"/>
          <w:bCs w:val="0"/>
          <w:sz w:val="22"/>
          <w:szCs w:val="22"/>
        </w:rPr>
        <w:t xml:space="preserve"> </w:t>
      </w:r>
    </w:p>
    <w:p w14:paraId="3653F28A" w14:textId="53352AED" w:rsidR="00E327FB" w:rsidRDefault="00E327FB" w:rsidP="00EE5766">
      <w:pPr>
        <w:pStyle w:val="Heading1"/>
        <w:tabs>
          <w:tab w:val="left" w:pos="663"/>
        </w:tabs>
        <w:spacing w:before="187"/>
        <w:rPr>
          <w:rFonts w:ascii="Times New Roman" w:hAnsi="Times New Roman" w:cs="Times New Roman"/>
          <w:b w:val="0"/>
          <w:bCs w:val="0"/>
          <w:sz w:val="22"/>
          <w:szCs w:val="22"/>
        </w:rPr>
      </w:pPr>
      <w:r>
        <w:rPr>
          <w:rFonts w:ascii="Times New Roman" w:hAnsi="Times New Roman" w:cs="Times New Roman"/>
          <w:b w:val="0"/>
          <w:bCs w:val="0"/>
          <w:sz w:val="22"/>
          <w:szCs w:val="22"/>
        </w:rPr>
        <w:t xml:space="preserve">Users must register for an account within the NMDC EDGE platform.  </w:t>
      </w:r>
    </w:p>
    <w:p w14:paraId="25E55315" w14:textId="535297B4" w:rsidR="00872CF5" w:rsidRPr="00401BED" w:rsidRDefault="00EE5766" w:rsidP="00401BED">
      <w:pPr>
        <w:pStyle w:val="Heading1"/>
        <w:tabs>
          <w:tab w:val="left" w:pos="663"/>
        </w:tabs>
        <w:spacing w:before="187"/>
        <w:ind w:left="119" w:firstLine="0"/>
        <w:rPr>
          <w:rFonts w:ascii="Times New Roman" w:hAnsi="Times New Roman" w:cs="Times New Roman"/>
          <w:b w:val="0"/>
          <w:bCs w:val="0"/>
          <w:sz w:val="22"/>
          <w:szCs w:val="22"/>
        </w:rPr>
      </w:pPr>
      <w:r>
        <w:rPr>
          <w:rFonts w:ascii="Times New Roman" w:hAnsi="Times New Roman" w:cs="Times New Roman"/>
          <w:b w:val="0"/>
          <w:bCs w:val="0"/>
          <w:sz w:val="22"/>
          <w:szCs w:val="22"/>
        </w:rPr>
        <w:t xml:space="preserve">  </w:t>
      </w:r>
      <w:r w:rsidR="00E327FB">
        <w:rPr>
          <w:rFonts w:ascii="Times New Roman" w:hAnsi="Times New Roman" w:cs="Times New Roman"/>
          <w:b w:val="0"/>
          <w:bCs w:val="0"/>
          <w:noProof/>
          <w:sz w:val="22"/>
          <w:szCs w:val="22"/>
        </w:rPr>
        <w:drawing>
          <wp:inline distT="0" distB="0" distL="0" distR="0" wp14:anchorId="0D591D2F" wp14:editId="797AD396">
            <wp:extent cx="6096000" cy="3104272"/>
            <wp:effectExtent l="12700" t="12700" r="1270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6">
                      <a:extLst>
                        <a:ext uri="{28A0092B-C50C-407E-A947-70E740481C1C}">
                          <a14:useLocalDpi xmlns:a14="http://schemas.microsoft.com/office/drawing/2010/main" val="0"/>
                        </a:ext>
                      </a:extLst>
                    </a:blip>
                    <a:srcRect r="14021" b="22177"/>
                    <a:stretch/>
                  </pic:blipFill>
                  <pic:spPr bwMode="auto">
                    <a:xfrm>
                      <a:off x="0" y="0"/>
                      <a:ext cx="6101301" cy="3106971"/>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14:paraId="72D843E9" w14:textId="519BC6C5" w:rsidR="00EE5766" w:rsidRDefault="00EE5766" w:rsidP="00EE5766">
      <w:pPr>
        <w:pStyle w:val="Heading1"/>
        <w:tabs>
          <w:tab w:val="left" w:pos="663"/>
        </w:tabs>
        <w:spacing w:before="187"/>
        <w:ind w:left="0" w:firstLine="0"/>
        <w:rPr>
          <w:color w:val="432669"/>
        </w:rPr>
      </w:pPr>
      <w:r>
        <w:rPr>
          <w:color w:val="432669"/>
        </w:rPr>
        <w:t xml:space="preserve">Running a workflow </w:t>
      </w:r>
    </w:p>
    <w:p w14:paraId="12B57958" w14:textId="50B5F601" w:rsidR="00EE5766" w:rsidRDefault="00EE5766" w:rsidP="00EE5766">
      <w:pPr>
        <w:pStyle w:val="Heading1"/>
        <w:tabs>
          <w:tab w:val="left" w:pos="663"/>
        </w:tabs>
        <w:spacing w:before="187"/>
        <w:ind w:left="119" w:firstLine="0"/>
        <w:rPr>
          <w:rFonts w:ascii="Times New Roman" w:hAnsi="Times New Roman" w:cs="Times New Roman"/>
          <w:b w:val="0"/>
          <w:bCs w:val="0"/>
          <w:sz w:val="22"/>
          <w:szCs w:val="22"/>
        </w:rPr>
      </w:pPr>
      <w:r>
        <w:rPr>
          <w:rFonts w:ascii="Times New Roman" w:hAnsi="Times New Roman" w:cs="Times New Roman"/>
          <w:b w:val="0"/>
          <w:bCs w:val="0"/>
          <w:sz w:val="22"/>
          <w:szCs w:val="22"/>
        </w:rPr>
        <w:t>All of the NMDC Metagenomic workflows are connected in EDGE, so that the output of one workflow can automatically be the input for the next workflow if several metagenomic workflows are selected.</w:t>
      </w:r>
    </w:p>
    <w:p w14:paraId="60255186" w14:textId="78498CAD" w:rsidR="00EE5766" w:rsidRPr="00401BED" w:rsidRDefault="004D7627" w:rsidP="00EE5766">
      <w:pPr>
        <w:pStyle w:val="Heading1"/>
        <w:tabs>
          <w:tab w:val="left" w:pos="663"/>
        </w:tabs>
        <w:spacing w:before="187"/>
        <w:ind w:left="0" w:firstLine="0"/>
        <w:rPr>
          <w:color w:val="432669"/>
        </w:rPr>
      </w:pPr>
      <w:r>
        <w:rPr>
          <w:color w:val="432669"/>
        </w:rPr>
        <w:t xml:space="preserve">    </w:t>
      </w:r>
      <w:r w:rsidR="00EE5766">
        <w:rPr>
          <w:noProof/>
          <w:color w:val="432669"/>
        </w:rPr>
        <w:drawing>
          <wp:inline distT="0" distB="0" distL="0" distR="0" wp14:anchorId="3D7E39C9" wp14:editId="1D215E1B">
            <wp:extent cx="5966085" cy="335650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104262" cy="3434243"/>
                    </a:xfrm>
                    <a:prstGeom prst="rect">
                      <a:avLst/>
                    </a:prstGeom>
                  </pic:spPr>
                </pic:pic>
              </a:graphicData>
            </a:graphic>
          </wp:inline>
        </w:drawing>
      </w:r>
    </w:p>
    <w:p w14:paraId="5CBD2865" w14:textId="1AF1BBFF" w:rsidR="00E327FB" w:rsidRPr="00EE5766" w:rsidRDefault="00E327FB" w:rsidP="00401BED">
      <w:pPr>
        <w:pStyle w:val="Heading1"/>
        <w:tabs>
          <w:tab w:val="left" w:pos="663"/>
        </w:tabs>
        <w:spacing w:before="187"/>
        <w:ind w:left="119" w:right="54" w:firstLine="0"/>
        <w:rPr>
          <w:rFonts w:ascii="Times New Roman" w:hAnsi="Times New Roman" w:cs="Times New Roman"/>
          <w:b w:val="0"/>
          <w:bCs w:val="0"/>
          <w:sz w:val="22"/>
          <w:szCs w:val="22"/>
        </w:rPr>
      </w:pPr>
      <w:r>
        <w:rPr>
          <w:rFonts w:ascii="Times New Roman" w:hAnsi="Times New Roman" w:cs="Times New Roman"/>
          <w:b w:val="0"/>
          <w:bCs w:val="0"/>
          <w:sz w:val="22"/>
          <w:szCs w:val="22"/>
        </w:rPr>
        <w:lastRenderedPageBreak/>
        <w:t>To run a workflow, the user must provide a Project/Run Name with no spaces (underscores are fine). The user then selects the workflow(s) desired from the drop-down menu and the input files from the available list of files and clicks ‘Submit’.</w:t>
      </w:r>
      <w:r w:rsidR="00EE5766" w:rsidRPr="00EE5766">
        <w:rPr>
          <w:rFonts w:ascii="Times New Roman" w:hAnsi="Times New Roman" w:cs="Times New Roman"/>
          <w:b w:val="0"/>
          <w:bCs w:val="0"/>
          <w:noProof/>
          <w:sz w:val="22"/>
          <w:szCs w:val="22"/>
        </w:rPr>
        <w:t xml:space="preserve"> </w:t>
      </w:r>
    </w:p>
    <w:p w14:paraId="19071927" w14:textId="7D04768E" w:rsidR="00E327FB" w:rsidRPr="00185AD8" w:rsidRDefault="0019272F" w:rsidP="00EE5766">
      <w:pPr>
        <w:pStyle w:val="Heading1"/>
        <w:tabs>
          <w:tab w:val="left" w:pos="663"/>
        </w:tabs>
        <w:spacing w:before="187"/>
        <w:rPr>
          <w:color w:val="432669"/>
        </w:rPr>
      </w:pPr>
      <w:r>
        <w:rPr>
          <w:rFonts w:ascii="Times New Roman" w:hAnsi="Times New Roman" w:cs="Times New Roman"/>
          <w:b w:val="0"/>
          <w:bCs w:val="0"/>
          <w:noProof/>
          <w:sz w:val="22"/>
          <w:szCs w:val="22"/>
        </w:rPr>
        <w:drawing>
          <wp:inline distT="0" distB="0" distL="0" distR="0" wp14:anchorId="5242A84C" wp14:editId="623F5DCC">
            <wp:extent cx="6372545" cy="3567659"/>
            <wp:effectExtent l="12700" t="12700" r="15875" b="139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8">
                      <a:extLst>
                        <a:ext uri="{28A0092B-C50C-407E-A947-70E740481C1C}">
                          <a14:useLocalDpi xmlns:a14="http://schemas.microsoft.com/office/drawing/2010/main" val="0"/>
                        </a:ext>
                      </a:extLst>
                    </a:blip>
                    <a:srcRect t="3396" r="2921"/>
                    <a:stretch/>
                  </pic:blipFill>
                  <pic:spPr bwMode="auto">
                    <a:xfrm>
                      <a:off x="0" y="0"/>
                      <a:ext cx="6450314" cy="3611198"/>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14:paraId="091E1B46" w14:textId="63090287" w:rsidR="001671BD" w:rsidRDefault="001671BD" w:rsidP="001671BD">
      <w:pPr>
        <w:pStyle w:val="Heading1"/>
        <w:tabs>
          <w:tab w:val="left" w:pos="663"/>
        </w:tabs>
        <w:spacing w:before="187"/>
        <w:rPr>
          <w:rFonts w:ascii="Times New Roman" w:hAnsi="Times New Roman" w:cs="Times New Roman"/>
          <w:b w:val="0"/>
          <w:bCs w:val="0"/>
          <w:sz w:val="22"/>
          <w:szCs w:val="22"/>
        </w:rPr>
      </w:pPr>
      <w:r>
        <w:rPr>
          <w:color w:val="432669"/>
        </w:rPr>
        <w:t>Output in EDGE</w:t>
      </w:r>
    </w:p>
    <w:p w14:paraId="405CBB3E" w14:textId="2F451AB3" w:rsidR="00E327FB" w:rsidRDefault="00E327FB" w:rsidP="00E327FB">
      <w:pPr>
        <w:pStyle w:val="Heading1"/>
        <w:tabs>
          <w:tab w:val="left" w:pos="663"/>
        </w:tabs>
        <w:spacing w:before="187"/>
        <w:ind w:left="119" w:firstLine="0"/>
        <w:rPr>
          <w:rFonts w:ascii="Times New Roman" w:hAnsi="Times New Roman" w:cs="Times New Roman"/>
          <w:b w:val="0"/>
          <w:bCs w:val="0"/>
          <w:sz w:val="22"/>
          <w:szCs w:val="22"/>
        </w:rPr>
      </w:pPr>
      <w:r>
        <w:rPr>
          <w:rFonts w:ascii="Times New Roman" w:hAnsi="Times New Roman" w:cs="Times New Roman"/>
          <w:b w:val="0"/>
          <w:bCs w:val="0"/>
          <w:sz w:val="22"/>
          <w:szCs w:val="22"/>
        </w:rPr>
        <w:t xml:space="preserve">The link for ‘My Projects’  opens the list of projects for that user.  Links are provided to share or </w:t>
      </w:r>
      <w:proofErr w:type="spellStart"/>
      <w:r>
        <w:rPr>
          <w:rFonts w:ascii="Times New Roman" w:hAnsi="Times New Roman" w:cs="Times New Roman"/>
          <w:b w:val="0"/>
          <w:bCs w:val="0"/>
          <w:sz w:val="22"/>
          <w:szCs w:val="22"/>
        </w:rPr>
        <w:t>unshare</w:t>
      </w:r>
      <w:proofErr w:type="spellEnd"/>
      <w:r>
        <w:rPr>
          <w:rFonts w:ascii="Times New Roman" w:hAnsi="Times New Roman" w:cs="Times New Roman"/>
          <w:b w:val="0"/>
          <w:bCs w:val="0"/>
          <w:sz w:val="22"/>
          <w:szCs w:val="22"/>
        </w:rPr>
        <w:t xml:space="preserve"> projects with specific colleagues, make the projects public or private, or delete projects. Clicking on the icon to the left of a project name opens up the results page for the project. </w:t>
      </w:r>
    </w:p>
    <w:p w14:paraId="40881DB4" w14:textId="77777777" w:rsidR="00E327FB" w:rsidRDefault="00E327FB" w:rsidP="00E327FB">
      <w:pPr>
        <w:pStyle w:val="Heading1"/>
        <w:tabs>
          <w:tab w:val="left" w:pos="663"/>
        </w:tabs>
        <w:spacing w:before="187"/>
        <w:ind w:left="0" w:firstLine="0"/>
        <w:rPr>
          <w:rFonts w:ascii="Times New Roman" w:hAnsi="Times New Roman" w:cs="Times New Roman"/>
          <w:b w:val="0"/>
          <w:bCs w:val="0"/>
          <w:sz w:val="22"/>
          <w:szCs w:val="22"/>
        </w:rPr>
      </w:pPr>
      <w:r>
        <w:rPr>
          <w:rFonts w:ascii="Times New Roman" w:hAnsi="Times New Roman" w:cs="Times New Roman"/>
          <w:b w:val="0"/>
          <w:bCs w:val="0"/>
          <w:noProof/>
          <w:sz w:val="22"/>
          <w:szCs w:val="22"/>
        </w:rPr>
        <w:drawing>
          <wp:inline distT="0" distB="0" distL="0" distR="0" wp14:anchorId="12BCDDDF" wp14:editId="4CE65846">
            <wp:extent cx="6478041" cy="2583781"/>
            <wp:effectExtent l="12700" t="12700" r="1206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9">
                      <a:extLst>
                        <a:ext uri="{28A0092B-C50C-407E-A947-70E740481C1C}">
                          <a14:useLocalDpi xmlns:a14="http://schemas.microsoft.com/office/drawing/2010/main" val="0"/>
                        </a:ext>
                      </a:extLst>
                    </a:blip>
                    <a:srcRect r="7804" b="34638"/>
                    <a:stretch/>
                  </pic:blipFill>
                  <pic:spPr bwMode="auto">
                    <a:xfrm>
                      <a:off x="0" y="0"/>
                      <a:ext cx="6544424" cy="2610258"/>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14:paraId="44C94D32" w14:textId="77777777" w:rsidR="00EE5766" w:rsidRDefault="00EE5766" w:rsidP="00E327FB">
      <w:pPr>
        <w:pStyle w:val="Heading1"/>
        <w:tabs>
          <w:tab w:val="left" w:pos="663"/>
        </w:tabs>
        <w:spacing w:before="187"/>
        <w:ind w:left="119" w:firstLine="0"/>
        <w:rPr>
          <w:rFonts w:ascii="Times New Roman" w:hAnsi="Times New Roman" w:cs="Times New Roman"/>
          <w:b w:val="0"/>
          <w:bCs w:val="0"/>
          <w:sz w:val="22"/>
          <w:szCs w:val="22"/>
        </w:rPr>
      </w:pPr>
    </w:p>
    <w:p w14:paraId="0AD7547C" w14:textId="77777777" w:rsidR="00EE5766" w:rsidRDefault="00EE5766" w:rsidP="00E327FB">
      <w:pPr>
        <w:pStyle w:val="Heading1"/>
        <w:tabs>
          <w:tab w:val="left" w:pos="663"/>
        </w:tabs>
        <w:spacing w:before="187"/>
        <w:ind w:left="119" w:firstLine="0"/>
        <w:rPr>
          <w:rFonts w:ascii="Times New Roman" w:hAnsi="Times New Roman" w:cs="Times New Roman"/>
          <w:b w:val="0"/>
          <w:bCs w:val="0"/>
          <w:sz w:val="22"/>
          <w:szCs w:val="22"/>
        </w:rPr>
      </w:pPr>
    </w:p>
    <w:p w14:paraId="43A77251" w14:textId="77777777" w:rsidR="00EE5766" w:rsidRDefault="00EE5766" w:rsidP="00E327FB">
      <w:pPr>
        <w:pStyle w:val="Heading1"/>
        <w:tabs>
          <w:tab w:val="left" w:pos="663"/>
        </w:tabs>
        <w:spacing w:before="187"/>
        <w:ind w:left="119" w:firstLine="0"/>
        <w:rPr>
          <w:rFonts w:ascii="Times New Roman" w:hAnsi="Times New Roman" w:cs="Times New Roman"/>
          <w:b w:val="0"/>
          <w:bCs w:val="0"/>
          <w:sz w:val="22"/>
          <w:szCs w:val="22"/>
        </w:rPr>
      </w:pPr>
    </w:p>
    <w:p w14:paraId="40E8569C" w14:textId="01D0D5D1" w:rsidR="00E327FB" w:rsidRDefault="00E327FB" w:rsidP="00E327FB">
      <w:pPr>
        <w:pStyle w:val="Heading1"/>
        <w:tabs>
          <w:tab w:val="left" w:pos="663"/>
        </w:tabs>
        <w:spacing w:before="187"/>
        <w:ind w:left="119" w:firstLine="0"/>
        <w:rPr>
          <w:rFonts w:ascii="Times New Roman" w:hAnsi="Times New Roman" w:cs="Times New Roman"/>
          <w:b w:val="0"/>
          <w:bCs w:val="0"/>
          <w:sz w:val="22"/>
          <w:szCs w:val="22"/>
        </w:rPr>
      </w:pPr>
      <w:r>
        <w:rPr>
          <w:rFonts w:ascii="Times New Roman" w:hAnsi="Times New Roman" w:cs="Times New Roman"/>
          <w:b w:val="0"/>
          <w:bCs w:val="0"/>
          <w:sz w:val="22"/>
          <w:szCs w:val="22"/>
        </w:rPr>
        <w:lastRenderedPageBreak/>
        <w:t>As an example, the results from Read-based Analysis are shown in the next two figures. A summary includes classified reads and number of species identified for all three taxonomy classifiers.  The top ten organisms identified by each tool at three taxonomic levels is also provided.</w:t>
      </w:r>
    </w:p>
    <w:p w14:paraId="2C4F7ECE" w14:textId="77777777" w:rsidR="00E327FB" w:rsidRDefault="00E327FB" w:rsidP="00E327FB">
      <w:pPr>
        <w:pStyle w:val="Heading1"/>
        <w:tabs>
          <w:tab w:val="left" w:pos="663"/>
        </w:tabs>
        <w:spacing w:before="187"/>
        <w:ind w:left="119" w:firstLine="0"/>
        <w:rPr>
          <w:rFonts w:ascii="Times New Roman" w:hAnsi="Times New Roman" w:cs="Times New Roman"/>
          <w:b w:val="0"/>
          <w:bCs w:val="0"/>
          <w:sz w:val="22"/>
          <w:szCs w:val="22"/>
        </w:rPr>
      </w:pPr>
      <w:r>
        <w:rPr>
          <w:rFonts w:ascii="Times New Roman" w:hAnsi="Times New Roman" w:cs="Times New Roman"/>
          <w:b w:val="0"/>
          <w:bCs w:val="0"/>
          <w:noProof/>
          <w:sz w:val="22"/>
          <w:szCs w:val="22"/>
        </w:rPr>
        <w:drawing>
          <wp:inline distT="0" distB="0" distL="0" distR="0" wp14:anchorId="5EDD7484" wp14:editId="1A32AA7F">
            <wp:extent cx="6270956" cy="3584939"/>
            <wp:effectExtent l="12700" t="12700" r="1587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10">
                      <a:extLst>
                        <a:ext uri="{28A0092B-C50C-407E-A947-70E740481C1C}">
                          <a14:useLocalDpi xmlns:a14="http://schemas.microsoft.com/office/drawing/2010/main" val="0"/>
                        </a:ext>
                      </a:extLst>
                    </a:blip>
                    <a:srcRect r="1587"/>
                    <a:stretch/>
                  </pic:blipFill>
                  <pic:spPr bwMode="auto">
                    <a:xfrm>
                      <a:off x="0" y="0"/>
                      <a:ext cx="6327156" cy="3617067"/>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14:paraId="00C08067" w14:textId="77777777" w:rsidR="00E327FB" w:rsidRPr="00760528" w:rsidRDefault="00E327FB" w:rsidP="00E327FB">
      <w:pPr>
        <w:pStyle w:val="Heading1"/>
        <w:tabs>
          <w:tab w:val="left" w:pos="663"/>
        </w:tabs>
        <w:spacing w:before="187"/>
        <w:ind w:left="119" w:firstLine="0"/>
        <w:rPr>
          <w:rFonts w:ascii="Times New Roman" w:hAnsi="Times New Roman" w:cs="Times New Roman"/>
          <w:b w:val="0"/>
          <w:bCs w:val="0"/>
          <w:sz w:val="22"/>
          <w:szCs w:val="22"/>
        </w:rPr>
      </w:pPr>
      <w:r>
        <w:rPr>
          <w:rFonts w:ascii="Times New Roman" w:hAnsi="Times New Roman" w:cs="Times New Roman"/>
          <w:b w:val="0"/>
          <w:bCs w:val="0"/>
          <w:sz w:val="22"/>
          <w:szCs w:val="22"/>
        </w:rPr>
        <w:t xml:space="preserve">Tabs for each of the classification tools provide more in-depth results are in the Detail section and include Krona plots for the results at each of the taxonomic levels. All files for results can be downloaded.  </w:t>
      </w:r>
    </w:p>
    <w:p w14:paraId="740AA18B" w14:textId="77777777" w:rsidR="00E327FB" w:rsidRPr="000A0B00" w:rsidRDefault="00E327FB" w:rsidP="00E327FB">
      <w:pPr>
        <w:pStyle w:val="Heading1"/>
        <w:tabs>
          <w:tab w:val="left" w:pos="663"/>
        </w:tabs>
        <w:ind w:left="0" w:firstLine="0"/>
      </w:pPr>
      <w:r>
        <w:rPr>
          <w:noProof/>
        </w:rPr>
        <w:drawing>
          <wp:inline distT="0" distB="0" distL="0" distR="0" wp14:anchorId="5704F0AC" wp14:editId="2F3FBF58">
            <wp:extent cx="6341386" cy="3567659"/>
            <wp:effectExtent l="12700" t="12700" r="8890" b="139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tretch>
                      <a:fillRect/>
                    </a:stretch>
                  </pic:blipFill>
                  <pic:spPr>
                    <a:xfrm>
                      <a:off x="0" y="0"/>
                      <a:ext cx="6426008" cy="3615267"/>
                    </a:xfrm>
                    <a:prstGeom prst="rect">
                      <a:avLst/>
                    </a:prstGeom>
                    <a:ln>
                      <a:solidFill>
                        <a:schemeClr val="bg1">
                          <a:lumMod val="50000"/>
                        </a:schemeClr>
                      </a:solidFill>
                    </a:ln>
                  </pic:spPr>
                </pic:pic>
              </a:graphicData>
            </a:graphic>
          </wp:inline>
        </w:drawing>
      </w:r>
    </w:p>
    <w:p w14:paraId="56E43F31" w14:textId="77777777" w:rsidR="00E327FB" w:rsidRPr="000D2C3F" w:rsidRDefault="00E327FB" w:rsidP="00E327FB"/>
    <w:p w14:paraId="437338B9" w14:textId="77777777" w:rsidR="00E327FB" w:rsidRPr="00E327FB" w:rsidRDefault="00E327FB" w:rsidP="00E327FB">
      <w:pPr>
        <w:rPr>
          <w:rFonts w:ascii="Arial" w:hAnsi="Arial" w:cs="Arial"/>
          <w:b/>
          <w:bCs/>
          <w:color w:val="60288C"/>
          <w:sz w:val="28"/>
          <w:szCs w:val="28"/>
        </w:rPr>
      </w:pPr>
    </w:p>
    <w:sectPr w:rsidR="00E327FB" w:rsidRPr="00E327FB" w:rsidSect="004D7627">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597D46"/>
    <w:multiLevelType w:val="hybridMultilevel"/>
    <w:tmpl w:val="4C6E6F50"/>
    <w:lvl w:ilvl="0" w:tplc="6A686FE0">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 w15:restartNumberingAfterBreak="0">
    <w:nsid w:val="5F1859B7"/>
    <w:multiLevelType w:val="multilevel"/>
    <w:tmpl w:val="834ED0E2"/>
    <w:lvl w:ilvl="0">
      <w:start w:val="1"/>
      <w:numFmt w:val="decimal"/>
      <w:lvlText w:val="%1"/>
      <w:lvlJc w:val="left"/>
      <w:pPr>
        <w:ind w:left="662" w:hanging="543"/>
      </w:pPr>
      <w:rPr>
        <w:rFonts w:hint="default"/>
      </w:rPr>
    </w:lvl>
    <w:lvl w:ilvl="1">
      <w:start w:val="1"/>
      <w:numFmt w:val="decimal"/>
      <w:lvlText w:val="%1.%2"/>
      <w:lvlJc w:val="left"/>
      <w:pPr>
        <w:ind w:left="662" w:hanging="543"/>
      </w:pPr>
      <w:rPr>
        <w:rFonts w:ascii="Arial" w:eastAsia="Arial" w:hAnsi="Arial" w:cs="Arial" w:hint="default"/>
        <w:b/>
        <w:bCs/>
        <w:color w:val="432669"/>
        <w:w w:val="102"/>
        <w:sz w:val="28"/>
        <w:szCs w:val="28"/>
      </w:rPr>
    </w:lvl>
    <w:lvl w:ilvl="2">
      <w:start w:val="1"/>
      <w:numFmt w:val="decimal"/>
      <w:lvlText w:val="%1.%2.%3"/>
      <w:lvlJc w:val="left"/>
      <w:pPr>
        <w:ind w:left="771" w:hanging="652"/>
      </w:pPr>
      <w:rPr>
        <w:rFonts w:ascii="Arial" w:eastAsia="Arial" w:hAnsi="Arial" w:cs="Arial" w:hint="default"/>
        <w:b/>
        <w:bCs/>
        <w:color w:val="432669"/>
        <w:w w:val="99"/>
        <w:sz w:val="24"/>
        <w:szCs w:val="24"/>
      </w:rPr>
    </w:lvl>
    <w:lvl w:ilvl="3">
      <w:numFmt w:val="bullet"/>
      <w:lvlText w:val="•"/>
      <w:lvlJc w:val="left"/>
      <w:pPr>
        <w:ind w:left="2740" w:hanging="652"/>
      </w:pPr>
      <w:rPr>
        <w:rFonts w:hint="default"/>
      </w:rPr>
    </w:lvl>
    <w:lvl w:ilvl="4">
      <w:numFmt w:val="bullet"/>
      <w:lvlText w:val="•"/>
      <w:lvlJc w:val="left"/>
      <w:pPr>
        <w:ind w:left="3720" w:hanging="652"/>
      </w:pPr>
      <w:rPr>
        <w:rFonts w:hint="default"/>
      </w:rPr>
    </w:lvl>
    <w:lvl w:ilvl="5">
      <w:numFmt w:val="bullet"/>
      <w:lvlText w:val="•"/>
      <w:lvlJc w:val="left"/>
      <w:pPr>
        <w:ind w:left="4700" w:hanging="652"/>
      </w:pPr>
      <w:rPr>
        <w:rFonts w:hint="default"/>
      </w:rPr>
    </w:lvl>
    <w:lvl w:ilvl="6">
      <w:numFmt w:val="bullet"/>
      <w:lvlText w:val="•"/>
      <w:lvlJc w:val="left"/>
      <w:pPr>
        <w:ind w:left="5680" w:hanging="652"/>
      </w:pPr>
      <w:rPr>
        <w:rFonts w:hint="default"/>
      </w:rPr>
    </w:lvl>
    <w:lvl w:ilvl="7">
      <w:numFmt w:val="bullet"/>
      <w:lvlText w:val="•"/>
      <w:lvlJc w:val="left"/>
      <w:pPr>
        <w:ind w:left="6660" w:hanging="652"/>
      </w:pPr>
      <w:rPr>
        <w:rFonts w:hint="default"/>
      </w:rPr>
    </w:lvl>
    <w:lvl w:ilvl="8">
      <w:numFmt w:val="bullet"/>
      <w:lvlText w:val="•"/>
      <w:lvlJc w:val="left"/>
      <w:pPr>
        <w:ind w:left="7640" w:hanging="652"/>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FB"/>
    <w:rsid w:val="00010B23"/>
    <w:rsid w:val="0001796C"/>
    <w:rsid w:val="000362EB"/>
    <w:rsid w:val="00047125"/>
    <w:rsid w:val="00047FD0"/>
    <w:rsid w:val="000513C6"/>
    <w:rsid w:val="000562F9"/>
    <w:rsid w:val="00082D6A"/>
    <w:rsid w:val="000842E8"/>
    <w:rsid w:val="000A269E"/>
    <w:rsid w:val="000B210B"/>
    <w:rsid w:val="000D0999"/>
    <w:rsid w:val="000F0BD1"/>
    <w:rsid w:val="000F7D20"/>
    <w:rsid w:val="00106EFC"/>
    <w:rsid w:val="00137003"/>
    <w:rsid w:val="0016062D"/>
    <w:rsid w:val="00163089"/>
    <w:rsid w:val="001671BD"/>
    <w:rsid w:val="0017077A"/>
    <w:rsid w:val="0019272F"/>
    <w:rsid w:val="001933D2"/>
    <w:rsid w:val="001B12A4"/>
    <w:rsid w:val="001B5981"/>
    <w:rsid w:val="001E1522"/>
    <w:rsid w:val="001E5B36"/>
    <w:rsid w:val="001F1200"/>
    <w:rsid w:val="001F1C7E"/>
    <w:rsid w:val="001F33CA"/>
    <w:rsid w:val="001F3B28"/>
    <w:rsid w:val="00201A0A"/>
    <w:rsid w:val="00202607"/>
    <w:rsid w:val="0021271D"/>
    <w:rsid w:val="00221CDC"/>
    <w:rsid w:val="002364C3"/>
    <w:rsid w:val="00271A92"/>
    <w:rsid w:val="00280473"/>
    <w:rsid w:val="00293ED0"/>
    <w:rsid w:val="0029514C"/>
    <w:rsid w:val="002A0878"/>
    <w:rsid w:val="002B080A"/>
    <w:rsid w:val="002F6B01"/>
    <w:rsid w:val="00302108"/>
    <w:rsid w:val="00320C9B"/>
    <w:rsid w:val="003339A9"/>
    <w:rsid w:val="00340D0A"/>
    <w:rsid w:val="0034166E"/>
    <w:rsid w:val="0037255D"/>
    <w:rsid w:val="00401BED"/>
    <w:rsid w:val="00405221"/>
    <w:rsid w:val="004108A4"/>
    <w:rsid w:val="00434A35"/>
    <w:rsid w:val="00444E73"/>
    <w:rsid w:val="0045190F"/>
    <w:rsid w:val="004728ED"/>
    <w:rsid w:val="00477550"/>
    <w:rsid w:val="004825C7"/>
    <w:rsid w:val="0048359A"/>
    <w:rsid w:val="00487258"/>
    <w:rsid w:val="00497E71"/>
    <w:rsid w:val="004B2D89"/>
    <w:rsid w:val="004B5223"/>
    <w:rsid w:val="004C2F9D"/>
    <w:rsid w:val="004D1F92"/>
    <w:rsid w:val="004D4696"/>
    <w:rsid w:val="004D7627"/>
    <w:rsid w:val="004F0A1F"/>
    <w:rsid w:val="004F4DB8"/>
    <w:rsid w:val="004F7AAC"/>
    <w:rsid w:val="00506EDD"/>
    <w:rsid w:val="0053298C"/>
    <w:rsid w:val="00536FEF"/>
    <w:rsid w:val="0054699C"/>
    <w:rsid w:val="005601F5"/>
    <w:rsid w:val="0057048E"/>
    <w:rsid w:val="005729C3"/>
    <w:rsid w:val="0058648B"/>
    <w:rsid w:val="005B6998"/>
    <w:rsid w:val="005D2C3B"/>
    <w:rsid w:val="005F5909"/>
    <w:rsid w:val="00623E10"/>
    <w:rsid w:val="006A5CFB"/>
    <w:rsid w:val="006A60AD"/>
    <w:rsid w:val="006C3FEE"/>
    <w:rsid w:val="006F7D2C"/>
    <w:rsid w:val="007005EE"/>
    <w:rsid w:val="00706D48"/>
    <w:rsid w:val="00707456"/>
    <w:rsid w:val="00713D66"/>
    <w:rsid w:val="00715E12"/>
    <w:rsid w:val="007341AB"/>
    <w:rsid w:val="007A1F29"/>
    <w:rsid w:val="007A35E2"/>
    <w:rsid w:val="007A6E96"/>
    <w:rsid w:val="007A73FB"/>
    <w:rsid w:val="008335B6"/>
    <w:rsid w:val="008406D6"/>
    <w:rsid w:val="00872CF5"/>
    <w:rsid w:val="008774C8"/>
    <w:rsid w:val="008B5A06"/>
    <w:rsid w:val="008C6BD9"/>
    <w:rsid w:val="00906D02"/>
    <w:rsid w:val="009136E2"/>
    <w:rsid w:val="009208B9"/>
    <w:rsid w:val="009312C1"/>
    <w:rsid w:val="0093188B"/>
    <w:rsid w:val="009359CD"/>
    <w:rsid w:val="00957222"/>
    <w:rsid w:val="0096406D"/>
    <w:rsid w:val="00982AD4"/>
    <w:rsid w:val="0098540E"/>
    <w:rsid w:val="00997D39"/>
    <w:rsid w:val="009A6855"/>
    <w:rsid w:val="00A3266A"/>
    <w:rsid w:val="00A4764D"/>
    <w:rsid w:val="00A62D56"/>
    <w:rsid w:val="00A75C22"/>
    <w:rsid w:val="00A94EF6"/>
    <w:rsid w:val="00A968CE"/>
    <w:rsid w:val="00AC67D2"/>
    <w:rsid w:val="00AD580C"/>
    <w:rsid w:val="00B11498"/>
    <w:rsid w:val="00B170E2"/>
    <w:rsid w:val="00B57B84"/>
    <w:rsid w:val="00B63E39"/>
    <w:rsid w:val="00B665BC"/>
    <w:rsid w:val="00B72862"/>
    <w:rsid w:val="00B74DC2"/>
    <w:rsid w:val="00B85A75"/>
    <w:rsid w:val="00BD3794"/>
    <w:rsid w:val="00BD7314"/>
    <w:rsid w:val="00BE045F"/>
    <w:rsid w:val="00BF19D7"/>
    <w:rsid w:val="00BF3410"/>
    <w:rsid w:val="00BF5FD8"/>
    <w:rsid w:val="00C05320"/>
    <w:rsid w:val="00C10F78"/>
    <w:rsid w:val="00C40870"/>
    <w:rsid w:val="00C7484B"/>
    <w:rsid w:val="00CB0730"/>
    <w:rsid w:val="00CC34DF"/>
    <w:rsid w:val="00CE295E"/>
    <w:rsid w:val="00D04B41"/>
    <w:rsid w:val="00D240E8"/>
    <w:rsid w:val="00D44958"/>
    <w:rsid w:val="00D62D7E"/>
    <w:rsid w:val="00D66D2C"/>
    <w:rsid w:val="00D67EAC"/>
    <w:rsid w:val="00D72B22"/>
    <w:rsid w:val="00D86C33"/>
    <w:rsid w:val="00D871ED"/>
    <w:rsid w:val="00DA31A9"/>
    <w:rsid w:val="00DA47BD"/>
    <w:rsid w:val="00DB3AA3"/>
    <w:rsid w:val="00DB6EA3"/>
    <w:rsid w:val="00DD291B"/>
    <w:rsid w:val="00DD62F6"/>
    <w:rsid w:val="00E06837"/>
    <w:rsid w:val="00E13A12"/>
    <w:rsid w:val="00E154D3"/>
    <w:rsid w:val="00E26A04"/>
    <w:rsid w:val="00E327FB"/>
    <w:rsid w:val="00E33AD4"/>
    <w:rsid w:val="00E41EDA"/>
    <w:rsid w:val="00E5485B"/>
    <w:rsid w:val="00E848A2"/>
    <w:rsid w:val="00ED29BF"/>
    <w:rsid w:val="00EE32A0"/>
    <w:rsid w:val="00EE3D96"/>
    <w:rsid w:val="00EE5766"/>
    <w:rsid w:val="00EF5E14"/>
    <w:rsid w:val="00F00278"/>
    <w:rsid w:val="00F026B6"/>
    <w:rsid w:val="00F10FBA"/>
    <w:rsid w:val="00F334D1"/>
    <w:rsid w:val="00F52149"/>
    <w:rsid w:val="00F522BA"/>
    <w:rsid w:val="00F523D1"/>
    <w:rsid w:val="00F77C94"/>
    <w:rsid w:val="00F82F3E"/>
    <w:rsid w:val="00F83238"/>
    <w:rsid w:val="00FB0F50"/>
    <w:rsid w:val="00FB26B7"/>
    <w:rsid w:val="00FE3BF9"/>
    <w:rsid w:val="00FF5509"/>
    <w:rsid w:val="00FF7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C296"/>
  <w14:defaultImageDpi w14:val="32767"/>
  <w15:chartTrackingRefBased/>
  <w15:docId w15:val="{5799C2FA-4710-7D44-9BCA-CE263336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27FB"/>
    <w:pPr>
      <w:spacing w:before="174"/>
      <w:ind w:left="662" w:hanging="543"/>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7FB"/>
    <w:rPr>
      <w:rFonts w:ascii="Arial" w:eastAsia="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Davenport</dc:creator>
  <cp:keywords/>
  <dc:description/>
  <cp:lastModifiedBy>Karen Davenport</cp:lastModifiedBy>
  <cp:revision>2</cp:revision>
  <dcterms:created xsi:type="dcterms:W3CDTF">2021-02-03T22:57:00Z</dcterms:created>
  <dcterms:modified xsi:type="dcterms:W3CDTF">2021-02-03T22:57:00Z</dcterms:modified>
</cp:coreProperties>
</file>