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5CB7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602" w:firstLineChars="20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0"/>
          <w:szCs w:val="30"/>
        </w:rPr>
      </w:pPr>
      <w:bookmarkStart w:id="0" w:name="_GoBack"/>
      <w:r>
        <w:rPr>
          <w:rFonts w:hint="default" w:ascii="Times New Roman" w:hAnsi="Times New Roman" w:eastAsia="宋体" w:cs="Times New Roman"/>
          <w:color w:val="000000"/>
          <w:sz w:val="30"/>
          <w:szCs w:val="30"/>
          <w:bdr w:val="none" w:color="auto" w:sz="0" w:space="0"/>
        </w:rPr>
        <w:t>Olist巴西电商平台全链路数据分析报告</w:t>
      </w:r>
    </w:p>
    <w:bookmarkEnd w:id="0"/>
    <w:p w14:paraId="60808CC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一、项目背景</w:t>
      </w:r>
    </w:p>
    <w:p w14:paraId="2D585A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Olist是巴西本土头部综合电商平台，采用第三方多卖家入驻模式，覆盖全国27个州的消费市场。本项目基于平台2016年9月至2018年8月的真实经营数据，通过MySQL完成数据存储与多维度指标计算，结合Python实现自动化可视化，全面拆解平台运营现状、用户价值与供应链痛点，输出可落地的业务优化方案。</w:t>
      </w:r>
    </w:p>
    <w:p w14:paraId="5B047D8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二、数据集与技术栈说明</w:t>
      </w:r>
    </w:p>
    <w:p w14:paraId="018AC13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2.1数据集概况</w:t>
      </w:r>
    </w:p>
    <w:p w14:paraId="7D202A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本次分析使用Olist官方公开数据集，包含8张核心业务关联表，总数据量120万+行，覆盖电商全业务链路：</w:t>
      </w:r>
    </w:p>
    <w:p w14:paraId="7FA587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订单主表：99441条订单全生命周期记录</w:t>
      </w:r>
    </w:p>
    <w:p w14:paraId="02E0E5E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订单明细表：112650条商品交易明细</w:t>
      </w:r>
    </w:p>
    <w:p w14:paraId="1CFCD3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用户表：99441条用户地域与身份信息</w:t>
      </w:r>
    </w:p>
    <w:p w14:paraId="4E7E3D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商品表：32951条商品基础属性</w:t>
      </w:r>
    </w:p>
    <w:p w14:paraId="42CC63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支付/评价/卖家/地理表：覆盖支付方式、用户评分、卖家分布、全国坐标信息</w:t>
      </w:r>
    </w:p>
    <w:p w14:paraId="0883B47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2.2技术实现流程</w:t>
      </w:r>
    </w:p>
    <w:p w14:paraId="2E18EB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数据入库：PythonPandas批量导入CSV至MySQL8.0</w:t>
      </w:r>
    </w:p>
    <w:p w14:paraId="1A9DF7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指标计算：SQL多表JOIN、CTE、窗口函数完成20+核心经营指标</w:t>
      </w:r>
    </w:p>
    <w:p w14:paraId="7E0F1A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用户建模：纯SQL实现RFM八层用户价值分层</w:t>
      </w:r>
    </w:p>
    <w:p w14:paraId="558E24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可视化：Matplotlib生成月度趋势、类目销量、用户营收占比三张核心图表</w:t>
      </w:r>
    </w:p>
    <w:p w14:paraId="660A63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成果输出：结构化分析报告+可复用代码仓库</w:t>
      </w:r>
    </w:p>
    <w:p w14:paraId="7A97802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三、核心经营大盘指标</w:t>
      </w:r>
    </w:p>
    <w:tbl>
      <w:tblPr>
        <w:tblW w:w="94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0"/>
        <w:gridCol w:w="2597"/>
        <w:gridCol w:w="4602"/>
      </w:tblGrid>
      <w:tr w14:paraId="7DBA9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80339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256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6188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455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039B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业务解读</w:t>
            </w:r>
          </w:p>
        </w:tc>
      </w:tr>
      <w:tr w14:paraId="7B701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1C85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有效交付订单</w:t>
            </w:r>
          </w:p>
        </w:tc>
        <w:tc>
          <w:tcPr>
            <w:tcW w:w="256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51C0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96478单</w:t>
            </w:r>
          </w:p>
        </w:tc>
        <w:tc>
          <w:tcPr>
            <w:tcW w:w="455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EF8E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订单完成率97.02%，交付能力稳定</w:t>
            </w:r>
          </w:p>
        </w:tc>
      </w:tr>
      <w:tr w14:paraId="29613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E3C8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独立付费用户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06363D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93358人</w:t>
            </w:r>
          </w:p>
        </w:tc>
        <w:tc>
          <w:tcPr>
            <w:tcW w:w="4557" w:type="dxa"/>
            <w:shd w:val="clear" w:color="auto" w:fill="FFFFFF"/>
            <w:vAlign w:val="center"/>
          </w:tcPr>
          <w:p w14:paraId="014C9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单用户平均下单1.03次，复购率极低</w:t>
            </w:r>
          </w:p>
        </w:tc>
      </w:tr>
      <w:tr w14:paraId="09020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8732D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平台总交易额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39EAE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1541.98万元</w:t>
            </w:r>
          </w:p>
        </w:tc>
        <w:tc>
          <w:tcPr>
            <w:tcW w:w="4557" w:type="dxa"/>
            <w:shd w:val="clear" w:color="auto" w:fill="FFFFFF"/>
            <w:vAlign w:val="center"/>
          </w:tcPr>
          <w:p w14:paraId="1045D3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平均客单价165.17元</w:t>
            </w:r>
          </w:p>
        </w:tc>
      </w:tr>
      <w:tr w14:paraId="7E2CA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0B25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在售商品SKU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1858D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32216个</w:t>
            </w:r>
          </w:p>
        </w:tc>
        <w:tc>
          <w:tcPr>
            <w:tcW w:w="4557" w:type="dxa"/>
            <w:shd w:val="clear" w:color="auto" w:fill="FFFFFF"/>
            <w:vAlign w:val="center"/>
          </w:tcPr>
          <w:p w14:paraId="040ED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商品丰富度较高</w:t>
            </w:r>
          </w:p>
        </w:tc>
      </w:tr>
      <w:tr w14:paraId="5F36A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66A1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平均配送时长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19267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12.5天</w:t>
            </w:r>
          </w:p>
        </w:tc>
        <w:tc>
          <w:tcPr>
            <w:tcW w:w="4557" w:type="dxa"/>
            <w:shd w:val="clear" w:color="auto" w:fill="FFFFFF"/>
            <w:vAlign w:val="center"/>
          </w:tcPr>
          <w:p w14:paraId="2BD13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整体物流时效符合巴西市场水平</w:t>
            </w:r>
          </w:p>
        </w:tc>
      </w:tr>
      <w:tr w14:paraId="0CED9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atLeast"/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FD52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订单超时率</w:t>
            </w:r>
          </w:p>
        </w:tc>
        <w:tc>
          <w:tcPr>
            <w:tcW w:w="2567" w:type="dxa"/>
            <w:shd w:val="clear" w:color="auto" w:fill="FFFFFF"/>
            <w:vAlign w:val="center"/>
          </w:tcPr>
          <w:p w14:paraId="4EA72E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6.77%</w:t>
            </w:r>
          </w:p>
        </w:tc>
        <w:tc>
          <w:tcPr>
            <w:tcW w:w="4557" w:type="dxa"/>
            <w:shd w:val="clear" w:color="auto" w:fill="FFFFFF"/>
            <w:vAlign w:val="center"/>
          </w:tcPr>
          <w:p w14:paraId="737DAF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6534单未按时送达，存在用户流失风险</w:t>
            </w:r>
          </w:p>
        </w:tc>
      </w:tr>
      <w:tr w14:paraId="6E73D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A4E5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用户复购率</w:t>
            </w:r>
          </w:p>
        </w:tc>
        <w:tc>
          <w:tcPr>
            <w:tcW w:w="256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4391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3.00%</w:t>
            </w:r>
          </w:p>
        </w:tc>
        <w:tc>
          <w:tcPr>
            <w:tcW w:w="455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15B5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平台严重依赖新用户，留存体系缺失</w:t>
            </w:r>
          </w:p>
        </w:tc>
      </w:tr>
    </w:tbl>
    <w:p w14:paraId="3C469C1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四、多维度深度分析</w:t>
      </w:r>
    </w:p>
    <w:p w14:paraId="39001EB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4.1订单与营收趋势分析</w:t>
      </w:r>
    </w:p>
    <w:p w14:paraId="1323E98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增长曲线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：平台业务从2017年初启动爆发式增长，月订单量从750单攀升至2017年11月峰值7289单，对应营收115.34万元，核心驱动为黑五促销节点。</w:t>
      </w:r>
    </w:p>
    <w:p w14:paraId="6B86B8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平台成熟期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：2018年进入稳定运营阶段，月均订单量维持在6500单左右，月营收稳定在1000万元上下，增长进入瓶颈期。</w:t>
      </w:r>
    </w:p>
    <w:p w14:paraId="180570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异常点说明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：2016年12月仅1单成交，为平台试运营阶段数据，不具备参考价值。</w:t>
      </w:r>
    </w:p>
    <w:p w14:paraId="28F5C5C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4.2支付渠道偏好分析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5"/>
        <w:gridCol w:w="1696"/>
        <w:gridCol w:w="1545"/>
        <w:gridCol w:w="3200"/>
      </w:tblGrid>
      <w:tr w14:paraId="4F2DD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6FE3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支付方式</w:t>
            </w:r>
          </w:p>
        </w:tc>
        <w:tc>
          <w:tcPr>
            <w:tcW w:w="166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6A5D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订单占比</w:t>
            </w:r>
          </w:p>
        </w:tc>
        <w:tc>
          <w:tcPr>
            <w:tcW w:w="151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1D93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营收占比</w:t>
            </w:r>
          </w:p>
        </w:tc>
        <w:tc>
          <w:tcPr>
            <w:tcW w:w="315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20DA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业务特征</w:t>
            </w:r>
          </w:p>
        </w:tc>
      </w:tr>
      <w:tr w14:paraId="63BB4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48BE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信用卡</w:t>
            </w:r>
          </w:p>
        </w:tc>
        <w:tc>
          <w:tcPr>
            <w:tcW w:w="166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F2492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73.92%</w:t>
            </w:r>
          </w:p>
        </w:tc>
        <w:tc>
          <w:tcPr>
            <w:tcW w:w="151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BD14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81.34%</w:t>
            </w:r>
          </w:p>
        </w:tc>
        <w:tc>
          <w:tcPr>
            <w:tcW w:w="315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E3A4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巴西绝对主流支付方式，支持分期</w:t>
            </w:r>
          </w:p>
        </w:tc>
      </w:tr>
      <w:tr w14:paraId="482ED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9D3C3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银行票据(Boleto)</w:t>
            </w:r>
          </w:p>
        </w:tc>
        <w:tc>
          <w:tcPr>
            <w:tcW w:w="1666" w:type="dxa"/>
            <w:shd w:val="clear" w:color="auto" w:fill="FFFFFF"/>
            <w:vAlign w:val="center"/>
          </w:tcPr>
          <w:p w14:paraId="25034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19.04%</w:t>
            </w:r>
          </w:p>
        </w:tc>
        <w:tc>
          <w:tcPr>
            <w:tcW w:w="1515" w:type="dxa"/>
            <w:shd w:val="clear" w:color="auto" w:fill="FFFFFF"/>
            <w:vAlign w:val="center"/>
          </w:tcPr>
          <w:p w14:paraId="799E5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18.61%</w:t>
            </w:r>
          </w:p>
        </w:tc>
        <w:tc>
          <w:tcPr>
            <w:tcW w:w="3155" w:type="dxa"/>
            <w:shd w:val="clear" w:color="auto" w:fill="FFFFFF"/>
            <w:vAlign w:val="center"/>
          </w:tcPr>
          <w:p w14:paraId="49A11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巴西特色线下支付，覆盖无信用卡人群</w:t>
            </w:r>
          </w:p>
        </w:tc>
      </w:tr>
      <w:tr w14:paraId="544C9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D22B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代金券</w:t>
            </w:r>
          </w:p>
        </w:tc>
        <w:tc>
          <w:tcPr>
            <w:tcW w:w="1666" w:type="dxa"/>
            <w:shd w:val="clear" w:color="auto" w:fill="FFFFFF"/>
            <w:vAlign w:val="center"/>
          </w:tcPr>
          <w:p w14:paraId="3BCB2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5.56%</w:t>
            </w:r>
          </w:p>
        </w:tc>
        <w:tc>
          <w:tcPr>
            <w:tcW w:w="1515" w:type="dxa"/>
            <w:shd w:val="clear" w:color="auto" w:fill="FFFFFF"/>
            <w:vAlign w:val="center"/>
          </w:tcPr>
          <w:p w14:paraId="09793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2.46%</w:t>
            </w:r>
          </w:p>
        </w:tc>
        <w:tc>
          <w:tcPr>
            <w:tcW w:w="3155" w:type="dxa"/>
            <w:shd w:val="clear" w:color="auto" w:fill="FFFFFF"/>
            <w:vAlign w:val="center"/>
          </w:tcPr>
          <w:p w14:paraId="1314E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营销活动主要载体</w:t>
            </w:r>
          </w:p>
        </w:tc>
      </w:tr>
      <w:tr w14:paraId="60203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E480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借记卡</w:t>
            </w:r>
          </w:p>
        </w:tc>
        <w:tc>
          <w:tcPr>
            <w:tcW w:w="166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774E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1.47%</w:t>
            </w:r>
          </w:p>
        </w:tc>
        <w:tc>
          <w:tcPr>
            <w:tcW w:w="151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39F8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1.41%</w:t>
            </w:r>
          </w:p>
        </w:tc>
        <w:tc>
          <w:tcPr>
            <w:tcW w:w="315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52C4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占比极低，用户接受度差</w:t>
            </w:r>
          </w:p>
        </w:tc>
      </w:tr>
    </w:tbl>
    <w:p w14:paraId="180BB8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结论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：信用卡是平台营收核心支柱，可针对性推出分期免息活动提升大额订单转化；银行票据用户客单价偏低，适合作为下沉市场获客渠道。</w:t>
      </w:r>
    </w:p>
    <w:p w14:paraId="567BB20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4.3用户地域与消费分层</w:t>
      </w:r>
    </w:p>
    <w:p w14:paraId="6C6559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  <w:bdr w:val="none" w:color="auto" w:sz="0" w:space="0"/>
        </w:rPr>
        <w:t>地域集中度极高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  <w:bdr w:val="none" w:color="auto" w:sz="0" w:space="0"/>
        </w:rPr>
        <w:t>：圣保罗州(SP)用户占比41.94%，贡献5769.70万元营收，占平台总营收的37.42%；里约热内卢(RJ)、米纳斯吉拉斯(MG)分列二三位，东南部三州贡献超70%平台营收。</w:t>
      </w:r>
    </w:p>
    <w:p w14:paraId="6FC5E7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  <w:bdr w:val="none" w:color="auto" w:sz="0" w:space="0"/>
        </w:rPr>
        <w:t>消费结构呈金字塔型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  <w:bdr w:val="none" w:color="auto" w:sz="0" w:space="0"/>
        </w:rPr>
        <w:t>：</w:t>
      </w:r>
    </w:p>
    <w:p w14:paraId="31A1D0DE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  <w:bdr w:val="none" w:color="auto" w:sz="0" w:space="0"/>
        </w:rPr>
        <w:t>中消费用户(100-500元)：45840人，占比49.10%，是平台基本盘</w:t>
      </w:r>
    </w:p>
    <w:p w14:paraId="4B578C5B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  <w:bdr w:val="none" w:color="auto" w:sz="0" w:space="0"/>
        </w:rPr>
        <w:t>低消费用户(&lt;100元)：4325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4人，占比46.33%，获客成本高但留存价值低</w:t>
      </w:r>
    </w:p>
    <w:p w14:paraId="306762C9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高消费及以上用户：仅4.57%，但贡献了平台绝大多数高利润订单</w:t>
      </w:r>
    </w:p>
    <w:p w14:paraId="1A38D4E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4.4商品类目竞争力分析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9"/>
        <w:gridCol w:w="2497"/>
        <w:gridCol w:w="1933"/>
        <w:gridCol w:w="1151"/>
        <w:gridCol w:w="1228"/>
      </w:tblGrid>
      <w:tr w14:paraId="0C71F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04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74981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排名</w:t>
            </w:r>
          </w:p>
        </w:tc>
        <w:tc>
          <w:tcPr>
            <w:tcW w:w="246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B3C3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类目(葡语)</w:t>
            </w:r>
          </w:p>
        </w:tc>
        <w:tc>
          <w:tcPr>
            <w:tcW w:w="190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890E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中文翻译</w:t>
            </w:r>
          </w:p>
        </w:tc>
        <w:tc>
          <w:tcPr>
            <w:tcW w:w="112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B79E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销量</w:t>
            </w:r>
          </w:p>
        </w:tc>
        <w:tc>
          <w:tcPr>
            <w:tcW w:w="118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27CC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营收(万元)</w:t>
            </w:r>
          </w:p>
        </w:tc>
      </w:tr>
      <w:tr w14:paraId="47848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5F1C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46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DE4D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cama_mesa_banho</w:t>
            </w:r>
          </w:p>
        </w:tc>
        <w:tc>
          <w:tcPr>
            <w:tcW w:w="1903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94705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家居床品</w:t>
            </w:r>
          </w:p>
        </w:tc>
        <w:tc>
          <w:tcPr>
            <w:tcW w:w="112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F5475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11115</w:t>
            </w:r>
          </w:p>
        </w:tc>
        <w:tc>
          <w:tcPr>
            <w:tcW w:w="1183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1558E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103.70</w:t>
            </w:r>
          </w:p>
        </w:tc>
      </w:tr>
      <w:tr w14:paraId="41358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4" w:type="dxa"/>
            <w:shd w:val="clear" w:color="auto" w:fill="FFFFFF"/>
            <w:vAlign w:val="center"/>
          </w:tcPr>
          <w:p w14:paraId="32D2D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467" w:type="dxa"/>
            <w:shd w:val="clear" w:color="auto" w:fill="FFFFFF"/>
            <w:vAlign w:val="center"/>
          </w:tcPr>
          <w:p w14:paraId="5BF15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beleza_saude</w:t>
            </w:r>
          </w:p>
        </w:tc>
        <w:tc>
          <w:tcPr>
            <w:tcW w:w="1903" w:type="dxa"/>
            <w:shd w:val="clear" w:color="auto" w:fill="FFFFFF"/>
            <w:vAlign w:val="center"/>
          </w:tcPr>
          <w:p w14:paraId="1725F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美妆健康</w:t>
            </w:r>
          </w:p>
        </w:tc>
        <w:tc>
          <w:tcPr>
            <w:tcW w:w="1121" w:type="dxa"/>
            <w:shd w:val="clear" w:color="auto" w:fill="FFFFFF"/>
            <w:vAlign w:val="center"/>
          </w:tcPr>
          <w:p w14:paraId="2A505B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9670</w:t>
            </w:r>
          </w:p>
        </w:tc>
        <w:tc>
          <w:tcPr>
            <w:tcW w:w="1183" w:type="dxa"/>
            <w:shd w:val="clear" w:color="auto" w:fill="FFFFFF"/>
            <w:vAlign w:val="center"/>
          </w:tcPr>
          <w:p w14:paraId="50F4E6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125.87</w:t>
            </w:r>
          </w:p>
        </w:tc>
      </w:tr>
      <w:tr w14:paraId="2B791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4" w:type="dxa"/>
            <w:shd w:val="clear" w:color="auto" w:fill="FFFFFF"/>
            <w:vAlign w:val="center"/>
          </w:tcPr>
          <w:p w14:paraId="0438F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467" w:type="dxa"/>
            <w:shd w:val="clear" w:color="auto" w:fill="FFFFFF"/>
            <w:vAlign w:val="center"/>
          </w:tcPr>
          <w:p w14:paraId="6EDA3C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esporte_lazer</w:t>
            </w:r>
          </w:p>
        </w:tc>
        <w:tc>
          <w:tcPr>
            <w:tcW w:w="1903" w:type="dxa"/>
            <w:shd w:val="clear" w:color="auto" w:fill="FFFFFF"/>
            <w:vAlign w:val="center"/>
          </w:tcPr>
          <w:p w14:paraId="397139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运动休闲</w:t>
            </w:r>
          </w:p>
        </w:tc>
        <w:tc>
          <w:tcPr>
            <w:tcW w:w="1121" w:type="dxa"/>
            <w:shd w:val="clear" w:color="auto" w:fill="FFFFFF"/>
            <w:vAlign w:val="center"/>
          </w:tcPr>
          <w:p w14:paraId="7439CA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8641</w:t>
            </w:r>
          </w:p>
        </w:tc>
        <w:tc>
          <w:tcPr>
            <w:tcW w:w="1183" w:type="dxa"/>
            <w:shd w:val="clear" w:color="auto" w:fill="FFFFFF"/>
            <w:vAlign w:val="center"/>
          </w:tcPr>
          <w:p w14:paraId="3574E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98.80</w:t>
            </w:r>
          </w:p>
        </w:tc>
      </w:tr>
      <w:tr w14:paraId="18E97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4" w:type="dxa"/>
            <w:shd w:val="clear" w:color="auto" w:fill="FFFFFF"/>
            <w:vAlign w:val="center"/>
          </w:tcPr>
          <w:p w14:paraId="6F98A7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467" w:type="dxa"/>
            <w:shd w:val="clear" w:color="auto" w:fill="FFFFFF"/>
            <w:vAlign w:val="center"/>
          </w:tcPr>
          <w:p w14:paraId="0A0A85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moveis_decoracao</w:t>
            </w:r>
          </w:p>
        </w:tc>
        <w:tc>
          <w:tcPr>
            <w:tcW w:w="1903" w:type="dxa"/>
            <w:shd w:val="clear" w:color="auto" w:fill="FFFFFF"/>
            <w:vAlign w:val="center"/>
          </w:tcPr>
          <w:p w14:paraId="675C3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家具装饰</w:t>
            </w:r>
          </w:p>
        </w:tc>
        <w:tc>
          <w:tcPr>
            <w:tcW w:w="1121" w:type="dxa"/>
            <w:shd w:val="clear" w:color="auto" w:fill="FFFFFF"/>
            <w:vAlign w:val="center"/>
          </w:tcPr>
          <w:p w14:paraId="5D3775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8334</w:t>
            </w:r>
          </w:p>
        </w:tc>
        <w:tc>
          <w:tcPr>
            <w:tcW w:w="1183" w:type="dxa"/>
            <w:shd w:val="clear" w:color="auto" w:fill="FFFFFF"/>
            <w:vAlign w:val="center"/>
          </w:tcPr>
          <w:p w14:paraId="36886D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72.98</w:t>
            </w:r>
          </w:p>
        </w:tc>
      </w:tr>
      <w:tr w14:paraId="1211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0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C2B4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46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445DA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informatica_acessorios</w:t>
            </w:r>
          </w:p>
        </w:tc>
        <w:tc>
          <w:tcPr>
            <w:tcW w:w="1903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7C5E1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电脑配件</w:t>
            </w:r>
          </w:p>
        </w:tc>
        <w:tc>
          <w:tcPr>
            <w:tcW w:w="1121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38832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7827</w:t>
            </w:r>
          </w:p>
        </w:tc>
        <w:tc>
          <w:tcPr>
            <w:tcW w:w="1183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EA1A1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91.20</w:t>
            </w:r>
          </w:p>
        </w:tc>
      </w:tr>
    </w:tbl>
    <w:p w14:paraId="5FA3E9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b w:val="0"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核心发现</w:t>
      </w:r>
      <w:r>
        <w:rPr>
          <w:rFonts w:hint="default" w:ascii="Times New Roman" w:hAnsi="Times New Roman" w:eastAsia="宋体" w:cs="Times New Roman"/>
          <w:b w:val="0"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28FC17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家居、美妆、运动三大类目占据平台半壁江山，是核心流量入口</w:t>
      </w:r>
    </w:p>
    <w:p w14:paraId="1F7FD8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美妆健康类目虽然销量第二，但营收最高，单品均价130.16元，盈利能力最强</w:t>
      </w:r>
    </w:p>
    <w:p w14:paraId="3B4FF0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手表礼品(relogios_presentes)单品均价201.14元，是高潜力高客单价类目</w:t>
      </w:r>
    </w:p>
    <w:p w14:paraId="3ED924B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4.5物流时效与用户体验</w:t>
      </w:r>
    </w:p>
    <w:p w14:paraId="6A9C729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平台整体平均配送时长12.5天，平均提前11.9天送达，优于巴西市场平均水平</w:t>
      </w:r>
    </w:p>
    <w:p w14:paraId="47856C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6.77%的订单存在超时配送，主要集中在巴西北部、东北部偏远州，最长配送时长超过60天</w:t>
      </w:r>
    </w:p>
    <w:p w14:paraId="5EDCBE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超时订单的平均评分仅2.3分，远低于平台整体4.1分的平均水平，物流是用户差评的首要原因</w:t>
      </w:r>
    </w:p>
    <w:p w14:paraId="53BDA9F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4.6RFM用户价值分层分析</w:t>
      </w:r>
    </w:p>
    <w:p w14:paraId="53BF46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基于RFM模型将用户划分为8个价值层级，核心结论如下：</w:t>
      </w:r>
    </w:p>
    <w:tbl>
      <w:tblPr>
        <w:tblW w:w="909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1702"/>
        <w:gridCol w:w="1484"/>
        <w:gridCol w:w="4142"/>
      </w:tblGrid>
      <w:tr w14:paraId="1FE1F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  <w:tblHeader/>
          <w:tblCellSpacing w:w="15" w:type="dxa"/>
        </w:trPr>
        <w:tc>
          <w:tcPr>
            <w:tcW w:w="1725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9089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用户类型</w:t>
            </w:r>
          </w:p>
        </w:tc>
        <w:tc>
          <w:tcPr>
            <w:tcW w:w="167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FFE2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用户占比</w:t>
            </w:r>
          </w:p>
        </w:tc>
        <w:tc>
          <w:tcPr>
            <w:tcW w:w="145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4A6D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营收占比</w:t>
            </w:r>
          </w:p>
        </w:tc>
        <w:tc>
          <w:tcPr>
            <w:tcW w:w="409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0B803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2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用户特征</w:t>
            </w:r>
          </w:p>
        </w:tc>
      </w:tr>
      <w:tr w14:paraId="07CD8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" w:hRule="atLeast"/>
          <w:tblCellSpacing w:w="15" w:type="dxa"/>
        </w:trPr>
        <w:tc>
          <w:tcPr>
            <w:tcW w:w="172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11F1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重要保持用户</w:t>
            </w:r>
          </w:p>
        </w:tc>
        <w:tc>
          <w:tcPr>
            <w:tcW w:w="1672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8723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16.44%</w:t>
            </w:r>
          </w:p>
        </w:tc>
        <w:tc>
          <w:tcPr>
            <w:tcW w:w="145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6C8F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30.17%</w:t>
            </w:r>
          </w:p>
        </w:tc>
        <w:tc>
          <w:tcPr>
            <w:tcW w:w="409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7EB1A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高频高消费，近期活跃，平台核心利润来源</w:t>
            </w:r>
          </w:p>
        </w:tc>
      </w:tr>
      <w:tr w14:paraId="7C7E1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tblCellSpacing w:w="15" w:type="dxa"/>
        </w:trPr>
        <w:tc>
          <w:tcPr>
            <w:tcW w:w="1725" w:type="dxa"/>
            <w:shd w:val="clear" w:color="auto" w:fill="FFFFFF"/>
            <w:vAlign w:val="center"/>
          </w:tcPr>
          <w:p w14:paraId="63DB2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重要发展用户</w:t>
            </w:r>
          </w:p>
        </w:tc>
        <w:tc>
          <w:tcPr>
            <w:tcW w:w="1672" w:type="dxa"/>
            <w:shd w:val="clear" w:color="auto" w:fill="FFFFFF"/>
            <w:vAlign w:val="center"/>
          </w:tcPr>
          <w:p w14:paraId="40003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14.76%</w:t>
            </w:r>
          </w:p>
        </w:tc>
        <w:tc>
          <w:tcPr>
            <w:tcW w:w="1454" w:type="dxa"/>
            <w:shd w:val="clear" w:color="auto" w:fill="FFFFFF"/>
            <w:vAlign w:val="center"/>
          </w:tcPr>
          <w:p w14:paraId="322D6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27.50%</w:t>
            </w:r>
          </w:p>
        </w:tc>
        <w:tc>
          <w:tcPr>
            <w:tcW w:w="4097" w:type="dxa"/>
            <w:shd w:val="clear" w:color="auto" w:fill="FFFFFF"/>
            <w:vAlign w:val="center"/>
          </w:tcPr>
          <w:p w14:paraId="1BF3F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低频高消费，近期活跃，潜力巨大</w:t>
            </w:r>
          </w:p>
        </w:tc>
      </w:tr>
      <w:tr w14:paraId="42111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tblCellSpacing w:w="15" w:type="dxa"/>
        </w:trPr>
        <w:tc>
          <w:tcPr>
            <w:tcW w:w="1725" w:type="dxa"/>
            <w:shd w:val="clear" w:color="auto" w:fill="FFFFFF"/>
            <w:vAlign w:val="center"/>
          </w:tcPr>
          <w:p w14:paraId="18660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重要挽留用户</w:t>
            </w:r>
          </w:p>
        </w:tc>
        <w:tc>
          <w:tcPr>
            <w:tcW w:w="1672" w:type="dxa"/>
            <w:shd w:val="clear" w:color="auto" w:fill="FFFFFF"/>
            <w:vAlign w:val="center"/>
          </w:tcPr>
          <w:p w14:paraId="3D00A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8.00%</w:t>
            </w:r>
          </w:p>
        </w:tc>
        <w:tc>
          <w:tcPr>
            <w:tcW w:w="1454" w:type="dxa"/>
            <w:shd w:val="clear" w:color="auto" w:fill="FFFFFF"/>
            <w:vAlign w:val="center"/>
          </w:tcPr>
          <w:p w14:paraId="14882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14.10%</w:t>
            </w:r>
          </w:p>
        </w:tc>
        <w:tc>
          <w:tcPr>
            <w:tcW w:w="4097" w:type="dxa"/>
            <w:shd w:val="clear" w:color="auto" w:fill="FFFFFF"/>
            <w:vAlign w:val="center"/>
          </w:tcPr>
          <w:p w14:paraId="45E209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高消费，近期不活跃，流失风险高</w:t>
            </w:r>
          </w:p>
        </w:tc>
      </w:tr>
      <w:tr w14:paraId="13519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  <w:tblCellSpacing w:w="15" w:type="dxa"/>
        </w:trPr>
        <w:tc>
          <w:tcPr>
            <w:tcW w:w="1725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13BB6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其他普通用户</w:t>
            </w:r>
          </w:p>
        </w:tc>
        <w:tc>
          <w:tcPr>
            <w:tcW w:w="1672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56DD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60.80%</w:t>
            </w:r>
          </w:p>
        </w:tc>
        <w:tc>
          <w:tcPr>
            <w:tcW w:w="145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A6DFD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28.23%</w:t>
            </w:r>
          </w:p>
        </w:tc>
        <w:tc>
          <w:tcPr>
            <w:tcW w:w="4097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DC69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低频低消费，一次性购买为主</w:t>
            </w:r>
          </w:p>
        </w:tc>
      </w:tr>
    </w:tbl>
    <w:p w14:paraId="1C8890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由上表可以看出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仅39.2%的中高价值用户贡献了平台71.77%的营收，完全符合二八定律；平台用户复购率仅3%，用户生命周期价值极低，留存体系亟待完善。</w:t>
      </w:r>
    </w:p>
    <w:p w14:paraId="617D505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五、业务优化建议</w:t>
      </w:r>
    </w:p>
    <w:p w14:paraId="7B47710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5.1用户运营：聚焦高价值用户，提升复购率</w:t>
      </w:r>
    </w:p>
    <w:p w14:paraId="3A95E8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核心用户专属体系：为重要保持用户提供免运费、专属客服、提前购等权益，建立会员积分体系，锁定高价值用户复购</w:t>
      </w:r>
    </w:p>
    <w:p w14:paraId="5B721C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沉睡用户精准唤醒：向重要挽留用户定向发放满200减50大额优惠券，通过邮件推送个性化商品推荐，激活高消费潜力</w:t>
      </w:r>
    </w:p>
    <w:p w14:paraId="65EDBF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复购激励机制：推出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老带新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奖励，老用户邀请好友下单双方均可获得20元无门槛券；在订单签收后7天推送关联商品推荐</w:t>
      </w:r>
    </w:p>
    <w:p w14:paraId="4EC2C96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5.2商品供应链：深耕头部类目，挖掘高价值品类</w:t>
      </w:r>
    </w:p>
    <w:p w14:paraId="587E2F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头部类目资源倾斜：加大家居、美妆、运动三大核心类目招商力度，引入更多国际品牌；建立爆款商品库存预警机制，保障供应</w:t>
      </w:r>
    </w:p>
    <w:p w14:paraId="72F65C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高客单价类目扶持：重点运营美妆健康、手表礼品等高毛利类目，提供流量倾斜与佣金减免政策</w:t>
      </w:r>
    </w:p>
    <w:p w14:paraId="1FAB76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滞销商品清理：对连续3个月销量为0的商品进行下架处理，优化平台商品结构</w:t>
      </w:r>
    </w:p>
    <w:p w14:paraId="00A6A51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5.3物流体验：解决偏远地区超时痛点</w:t>
      </w:r>
    </w:p>
    <w:p w14:paraId="38EDB3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前置仓布局：在圣保罗、里约热内卢建立核心前置仓，缩短东南部核心市场配送时长至7天以内</w:t>
      </w:r>
    </w:p>
    <w:p w14:paraId="23ADAE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偏远地区承运商优化：更换北部、东北部州的物流合作商，建立物流时效考核机制，超时订单由承运商承担赔偿</w:t>
      </w:r>
    </w:p>
    <w:p w14:paraId="7D2924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时效透明化：在商品详情页展示分地区预计送达时间，对可能超时的订单提前告知用户并给予小额补偿</w:t>
      </w:r>
    </w:p>
    <w:p w14:paraId="047FDB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D1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2026-06-11T12:24:42Z</dcterms:created>
  <dc:creator>user</dc:creator>
  <cp:lastModifiedBy>WPS_1729692523</cp:lastModifiedBy>
  <dcterms:modified xsi:type="dcterms:W3CDTF">2026-06-11T14:02:44Z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eyJoZGlkIjoiZmU0OGUyZjQxMTg4YzRjNTU3NzUxMGM4MWVjN2E5ZWUiLCJ1c2VySWQiOiIxNjQ3MjAyMzY5In0=</vt:lpwstr>
  </property>
  <property fmtid="{D5CDD505-2E9C-101B-9397-08002B2CF9AE}" pid="4" name="ICV">
    <vt:lpwstr>B839250987E94DD385EFBE7332ED6A04_13</vt:lpwstr>
  </property>
</Properties>
</file>