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50C7" w:rsidRDefault="0079093F" w:rsidP="0057645C">
      <w:pPr>
        <w:pStyle w:val="1"/>
        <w:jc w:val="center"/>
      </w:pPr>
      <w:r>
        <w:rPr>
          <w:rFonts w:hint="eastAsia"/>
        </w:rPr>
        <w:t>北京市政务服务中心停车</w:t>
      </w:r>
      <w:r w:rsidR="00D11D99">
        <w:rPr>
          <w:rFonts w:hint="eastAsia"/>
        </w:rPr>
        <w:t>诱导系统</w:t>
      </w:r>
    </w:p>
    <w:p w:rsidR="006150C7" w:rsidRDefault="00D11D99" w:rsidP="00750484">
      <w:pPr>
        <w:pStyle w:val="2"/>
      </w:pPr>
      <w:r>
        <w:rPr>
          <w:rFonts w:hint="eastAsia"/>
        </w:rPr>
        <w:t xml:space="preserve">1. </w:t>
      </w:r>
      <w:r>
        <w:rPr>
          <w:rFonts w:hint="eastAsia"/>
        </w:rPr>
        <w:t>概述</w:t>
      </w:r>
    </w:p>
    <w:p w:rsidR="006150C7" w:rsidRDefault="00DC407E" w:rsidP="00665AE4">
      <w:pPr>
        <w:spacing w:line="360" w:lineRule="auto"/>
        <w:ind w:firstLine="420"/>
        <w:rPr>
          <w:sz w:val="24"/>
        </w:rPr>
      </w:pPr>
      <w:r>
        <w:rPr>
          <w:rFonts w:hint="eastAsia"/>
          <w:sz w:val="24"/>
        </w:rPr>
        <w:t>北京市政务服务中心</w:t>
      </w:r>
      <w:r w:rsidR="00D11D99">
        <w:rPr>
          <w:rFonts w:hint="eastAsia"/>
          <w:sz w:val="24"/>
        </w:rPr>
        <w:t>静态交通智慧停车诱导系统是通过多种信息发布形式发布实时的停车信息给驾车出行者提供方便快捷的停车服务，实现疏导停车需求，提高道路交通服务水平，缓解以寻泊为目的的车流造成的道路交通压力。</w:t>
      </w:r>
    </w:p>
    <w:p w:rsidR="006150C7" w:rsidRDefault="00D11D99" w:rsidP="00665AE4">
      <w:pPr>
        <w:spacing w:line="360" w:lineRule="auto"/>
        <w:ind w:firstLine="420"/>
        <w:rPr>
          <w:sz w:val="24"/>
        </w:rPr>
      </w:pPr>
      <w:r>
        <w:rPr>
          <w:rFonts w:hint="eastAsia"/>
          <w:sz w:val="24"/>
        </w:rPr>
        <w:t>系统采用泊位检测器</w:t>
      </w:r>
      <w:r w:rsidR="00262448">
        <w:rPr>
          <w:rFonts w:hint="eastAsia"/>
          <w:sz w:val="24"/>
        </w:rPr>
        <w:t>、流量车位检测</w:t>
      </w:r>
      <w:r>
        <w:rPr>
          <w:rFonts w:hint="eastAsia"/>
          <w:sz w:val="24"/>
        </w:rPr>
        <w:t>和视频采集器等多种方式采集泊位信息，通过建设泊位信息采集、分析、发布系统，实现区域、街路、停车场三级诱导，实时发布泊位状态；应用手机客户端软件，方便市民获取停车场、泊位等实时信息，实现静态交通信息透明化、实时共享。通过对泊位使用状态数据的实时采集与分析，获取详实的泊位资源周转率、利用率。</w:t>
      </w:r>
    </w:p>
    <w:p w:rsidR="006150C7" w:rsidRDefault="00D11D99" w:rsidP="00681F7C">
      <w:pPr>
        <w:pStyle w:val="2"/>
      </w:pPr>
      <w:r>
        <w:rPr>
          <w:rFonts w:hint="eastAsia"/>
        </w:rPr>
        <w:t xml:space="preserve">2. </w:t>
      </w:r>
      <w:r>
        <w:rPr>
          <w:rFonts w:hint="eastAsia"/>
        </w:rPr>
        <w:t>建设原则</w:t>
      </w:r>
    </w:p>
    <w:p w:rsidR="006150C7" w:rsidRDefault="005238CC" w:rsidP="00665AE4">
      <w:pPr>
        <w:spacing w:line="360" w:lineRule="auto"/>
        <w:ind w:firstLine="420"/>
        <w:rPr>
          <w:sz w:val="24"/>
        </w:rPr>
      </w:pPr>
      <w:r>
        <w:rPr>
          <w:rFonts w:hint="eastAsia"/>
          <w:sz w:val="24"/>
        </w:rPr>
        <w:t>北京市政务服务中心静态交通智慧停车诱导系统</w:t>
      </w:r>
      <w:r w:rsidR="00D11D99">
        <w:rPr>
          <w:rFonts w:hint="eastAsia"/>
          <w:sz w:val="24"/>
        </w:rPr>
        <w:t>建设应以科学规划为指导，以提高效益为目的，以实际需求为导向，加强统筹协调，注重实效，充分考虑停车场现状，统一规划，提高停车场设施泊位利用率，促进设施利用均衡化，减少驾驶员寻泊的时间消耗，降低车辆行驶所引起的尾气排放、噪声等污染，从而达到改善环境、提高停车效率，提升停车场形象的目的。因此，本次静态交通智慧停车诱导系统，其建设原则是：</w:t>
      </w:r>
    </w:p>
    <w:p w:rsidR="006150C7" w:rsidRDefault="00D11D99" w:rsidP="00665AE4">
      <w:pPr>
        <w:spacing w:line="360" w:lineRule="auto"/>
        <w:rPr>
          <w:sz w:val="24"/>
        </w:rPr>
      </w:pPr>
      <w:r>
        <w:rPr>
          <w:rFonts w:hint="eastAsia"/>
          <w:sz w:val="24"/>
        </w:rPr>
        <w:t>（</w:t>
      </w:r>
      <w:r>
        <w:rPr>
          <w:rFonts w:hint="eastAsia"/>
          <w:sz w:val="24"/>
        </w:rPr>
        <w:t>1</w:t>
      </w:r>
      <w:r>
        <w:rPr>
          <w:rFonts w:hint="eastAsia"/>
          <w:sz w:val="24"/>
        </w:rPr>
        <w:t>）项目建设从高起点出发，充分体现系统建设的预见性</w:t>
      </w:r>
    </w:p>
    <w:p w:rsidR="006150C7" w:rsidRDefault="00D11D99" w:rsidP="00665AE4">
      <w:pPr>
        <w:spacing w:line="360" w:lineRule="auto"/>
        <w:ind w:firstLine="420"/>
        <w:rPr>
          <w:sz w:val="24"/>
        </w:rPr>
      </w:pPr>
      <w:r>
        <w:rPr>
          <w:rFonts w:hint="eastAsia"/>
          <w:sz w:val="24"/>
        </w:rPr>
        <w:t>不仅满足现有静态交通智慧停车诱导系统的信息采集和发布，建设静态交通综合管理平台，为今后的静态交通综合信息服务打下基础，同时实现与整个北京市公共停车信息平台的无缝接入。</w:t>
      </w:r>
    </w:p>
    <w:p w:rsidR="006150C7" w:rsidRDefault="00D11D99" w:rsidP="00665AE4">
      <w:pPr>
        <w:spacing w:line="360" w:lineRule="auto"/>
        <w:rPr>
          <w:sz w:val="24"/>
        </w:rPr>
      </w:pPr>
      <w:r>
        <w:rPr>
          <w:rFonts w:hint="eastAsia"/>
          <w:sz w:val="24"/>
        </w:rPr>
        <w:t>（</w:t>
      </w:r>
      <w:r>
        <w:rPr>
          <w:rFonts w:hint="eastAsia"/>
          <w:sz w:val="24"/>
        </w:rPr>
        <w:t>2</w:t>
      </w:r>
      <w:r>
        <w:rPr>
          <w:rFonts w:hint="eastAsia"/>
          <w:sz w:val="24"/>
        </w:rPr>
        <w:t>）项目建设从先进性实用性出发</w:t>
      </w:r>
    </w:p>
    <w:p w:rsidR="006150C7" w:rsidRDefault="00D11D99" w:rsidP="00665AE4">
      <w:pPr>
        <w:spacing w:line="360" w:lineRule="auto"/>
        <w:ind w:firstLine="420"/>
        <w:rPr>
          <w:sz w:val="24"/>
        </w:rPr>
      </w:pPr>
      <w:r>
        <w:rPr>
          <w:rFonts w:hint="eastAsia"/>
          <w:sz w:val="24"/>
        </w:rPr>
        <w:t>在符合相关的技术规范的前提下，依据当前成熟技术和先进设备，采用</w:t>
      </w:r>
      <w:r>
        <w:rPr>
          <w:rFonts w:hint="eastAsia"/>
          <w:sz w:val="24"/>
        </w:rPr>
        <w:t>GPRS/3G/4G</w:t>
      </w:r>
      <w:r>
        <w:rPr>
          <w:rFonts w:hint="eastAsia"/>
          <w:sz w:val="24"/>
        </w:rPr>
        <w:t>无线传输数据模式；系统设备合理布局，符合实际需求，注重提高系统的服务质量，引导车辆有序停放。</w:t>
      </w:r>
    </w:p>
    <w:p w:rsidR="006150C7" w:rsidRDefault="00D11D99" w:rsidP="00665AE4">
      <w:pPr>
        <w:spacing w:line="360" w:lineRule="auto"/>
        <w:rPr>
          <w:sz w:val="24"/>
        </w:rPr>
      </w:pPr>
      <w:r>
        <w:rPr>
          <w:rFonts w:hint="eastAsia"/>
          <w:sz w:val="24"/>
        </w:rPr>
        <w:lastRenderedPageBreak/>
        <w:t>（</w:t>
      </w:r>
      <w:r>
        <w:rPr>
          <w:rFonts w:hint="eastAsia"/>
          <w:sz w:val="24"/>
        </w:rPr>
        <w:t>3</w:t>
      </w:r>
      <w:r>
        <w:rPr>
          <w:rFonts w:hint="eastAsia"/>
          <w:sz w:val="24"/>
        </w:rPr>
        <w:t>）可拓展性</w:t>
      </w:r>
    </w:p>
    <w:p w:rsidR="006150C7" w:rsidRDefault="00D11D99" w:rsidP="00665AE4">
      <w:pPr>
        <w:spacing w:line="360" w:lineRule="auto"/>
        <w:ind w:firstLine="420"/>
        <w:rPr>
          <w:sz w:val="24"/>
        </w:rPr>
      </w:pPr>
      <w:r>
        <w:rPr>
          <w:rFonts w:hint="eastAsia"/>
          <w:sz w:val="24"/>
        </w:rPr>
        <w:t>系统具有严谨、统一的规划和架构，具备开放的标准化结构，可增加或减少设备，满足系统变动需求。</w:t>
      </w:r>
    </w:p>
    <w:p w:rsidR="006150C7" w:rsidRDefault="00D11D99" w:rsidP="00665AE4">
      <w:pPr>
        <w:spacing w:line="360" w:lineRule="auto"/>
        <w:rPr>
          <w:sz w:val="24"/>
        </w:rPr>
      </w:pPr>
      <w:r>
        <w:rPr>
          <w:rFonts w:hint="eastAsia"/>
          <w:sz w:val="24"/>
        </w:rPr>
        <w:t>（</w:t>
      </w:r>
      <w:r>
        <w:rPr>
          <w:rFonts w:hint="eastAsia"/>
          <w:sz w:val="24"/>
        </w:rPr>
        <w:t>4</w:t>
      </w:r>
      <w:r>
        <w:rPr>
          <w:rFonts w:hint="eastAsia"/>
          <w:sz w:val="24"/>
        </w:rPr>
        <w:t>）系统标准化</w:t>
      </w:r>
    </w:p>
    <w:p w:rsidR="006150C7" w:rsidRDefault="00D11D99" w:rsidP="00665AE4">
      <w:pPr>
        <w:spacing w:line="360" w:lineRule="auto"/>
        <w:ind w:firstLine="420"/>
        <w:rPr>
          <w:sz w:val="24"/>
        </w:rPr>
      </w:pPr>
      <w:r>
        <w:rPr>
          <w:rFonts w:hint="eastAsia"/>
          <w:sz w:val="24"/>
        </w:rPr>
        <w:t>本系统结合国际标准、工业标准及地方标准执行。</w:t>
      </w:r>
    </w:p>
    <w:p w:rsidR="002D52C1" w:rsidRDefault="00317FA2" w:rsidP="00317FA2">
      <w:pPr>
        <w:pStyle w:val="2"/>
      </w:pPr>
      <w:r>
        <w:rPr>
          <w:rFonts w:hint="eastAsia"/>
        </w:rPr>
        <w:t>3.</w:t>
      </w:r>
      <w:r>
        <w:t xml:space="preserve"> </w:t>
      </w:r>
      <w:r w:rsidR="002D52C1">
        <w:rPr>
          <w:rFonts w:hint="eastAsia"/>
        </w:rPr>
        <w:t>设计原则</w:t>
      </w:r>
    </w:p>
    <w:p w:rsidR="002D52C1" w:rsidRDefault="002D52C1" w:rsidP="002D52C1">
      <w:pPr>
        <w:spacing w:line="360" w:lineRule="auto"/>
        <w:rPr>
          <w:sz w:val="24"/>
        </w:rPr>
      </w:pPr>
      <w:r>
        <w:rPr>
          <w:rFonts w:hint="eastAsia"/>
          <w:sz w:val="24"/>
        </w:rPr>
        <w:t>（</w:t>
      </w:r>
      <w:r>
        <w:rPr>
          <w:rFonts w:hint="eastAsia"/>
          <w:sz w:val="24"/>
        </w:rPr>
        <w:t>1</w:t>
      </w:r>
      <w:r>
        <w:rPr>
          <w:rFonts w:hint="eastAsia"/>
          <w:sz w:val="24"/>
        </w:rPr>
        <w:t>）数据接入的开放性</w:t>
      </w:r>
    </w:p>
    <w:p w:rsidR="002D52C1" w:rsidRDefault="002D52C1" w:rsidP="002D52C1">
      <w:pPr>
        <w:spacing w:line="360" w:lineRule="auto"/>
        <w:ind w:firstLine="420"/>
        <w:rPr>
          <w:sz w:val="24"/>
        </w:rPr>
      </w:pPr>
      <w:r>
        <w:rPr>
          <w:rFonts w:hint="eastAsia"/>
          <w:sz w:val="24"/>
        </w:rPr>
        <w:t>要求预留标准通讯数据接口，根据具体需要</w:t>
      </w:r>
      <w:r>
        <w:rPr>
          <w:rFonts w:hint="eastAsia"/>
          <w:sz w:val="24"/>
        </w:rPr>
        <w:t xml:space="preserve">, </w:t>
      </w:r>
      <w:r>
        <w:rPr>
          <w:rFonts w:hint="eastAsia"/>
          <w:sz w:val="24"/>
        </w:rPr>
        <w:t>按相应的数据类型和数据格式传送信息</w:t>
      </w:r>
      <w:r>
        <w:rPr>
          <w:rFonts w:hint="eastAsia"/>
          <w:sz w:val="24"/>
        </w:rPr>
        <w:t>,</w:t>
      </w:r>
      <w:r>
        <w:rPr>
          <w:rFonts w:hint="eastAsia"/>
          <w:sz w:val="24"/>
        </w:rPr>
        <w:t>以利于其它综合信息的处理和发布。</w:t>
      </w:r>
    </w:p>
    <w:p w:rsidR="002D52C1" w:rsidRDefault="002D52C1" w:rsidP="002D52C1">
      <w:pPr>
        <w:spacing w:line="360" w:lineRule="auto"/>
        <w:rPr>
          <w:sz w:val="24"/>
        </w:rPr>
      </w:pPr>
      <w:r>
        <w:rPr>
          <w:rFonts w:hint="eastAsia"/>
          <w:sz w:val="24"/>
        </w:rPr>
        <w:t>（</w:t>
      </w:r>
      <w:r>
        <w:rPr>
          <w:rFonts w:hint="eastAsia"/>
          <w:sz w:val="24"/>
        </w:rPr>
        <w:t>2</w:t>
      </w:r>
      <w:r>
        <w:rPr>
          <w:rFonts w:hint="eastAsia"/>
          <w:sz w:val="24"/>
        </w:rPr>
        <w:t>）底层设备接入的开放性</w:t>
      </w:r>
    </w:p>
    <w:p w:rsidR="002D52C1" w:rsidRDefault="002D52C1" w:rsidP="002D52C1">
      <w:pPr>
        <w:spacing w:line="360" w:lineRule="auto"/>
        <w:ind w:firstLine="420"/>
        <w:rPr>
          <w:sz w:val="24"/>
        </w:rPr>
      </w:pPr>
      <w:r>
        <w:rPr>
          <w:rFonts w:hint="eastAsia"/>
          <w:sz w:val="24"/>
        </w:rPr>
        <w:t>要求可以在停车诱导系统中接入各个停车场不同类型的数据采集设备，将停车场空位信息送到停车场诱导分控系统处理</w:t>
      </w:r>
      <w:r>
        <w:rPr>
          <w:rFonts w:hint="eastAsia"/>
          <w:sz w:val="24"/>
        </w:rPr>
        <w:t>,</w:t>
      </w:r>
      <w:r>
        <w:rPr>
          <w:rFonts w:hint="eastAsia"/>
          <w:sz w:val="24"/>
        </w:rPr>
        <w:t>向外通过泊位显示屏发布。需要分析当前停车场的数据采集设备和主流接入模式并从软体和硬件两个层面详细阐述建立适应各种停车场接口的设计方案。</w:t>
      </w:r>
    </w:p>
    <w:p w:rsidR="002D52C1" w:rsidRDefault="002D52C1" w:rsidP="002D52C1">
      <w:pPr>
        <w:spacing w:line="360" w:lineRule="auto"/>
        <w:rPr>
          <w:sz w:val="24"/>
        </w:rPr>
      </w:pPr>
      <w:r>
        <w:rPr>
          <w:rFonts w:hint="eastAsia"/>
          <w:sz w:val="24"/>
        </w:rPr>
        <w:t>（</w:t>
      </w:r>
      <w:r>
        <w:rPr>
          <w:rFonts w:hint="eastAsia"/>
          <w:sz w:val="24"/>
        </w:rPr>
        <w:t>3</w:t>
      </w:r>
      <w:r>
        <w:rPr>
          <w:rFonts w:hint="eastAsia"/>
          <w:sz w:val="24"/>
        </w:rPr>
        <w:t>）良好的系统可用性</w:t>
      </w:r>
    </w:p>
    <w:p w:rsidR="002D52C1" w:rsidRDefault="002D52C1" w:rsidP="002D52C1">
      <w:pPr>
        <w:spacing w:line="360" w:lineRule="auto"/>
        <w:ind w:firstLine="420"/>
        <w:rPr>
          <w:sz w:val="24"/>
        </w:rPr>
      </w:pPr>
      <w:r>
        <w:rPr>
          <w:rFonts w:hint="eastAsia"/>
          <w:sz w:val="24"/>
        </w:rPr>
        <w:t>要对系统建立完善的非法操作告警保护体系，避免因用户误操作给系统带来损失，要提供良好的启发式操作机制和在线帮助，人机界面智能化，帮助用户快速上手，降低用户实际操作中的繁琐程度和使用难度。</w:t>
      </w:r>
    </w:p>
    <w:p w:rsidR="002D52C1" w:rsidRDefault="002D52C1" w:rsidP="002D52C1">
      <w:pPr>
        <w:spacing w:line="360" w:lineRule="auto"/>
        <w:rPr>
          <w:sz w:val="24"/>
        </w:rPr>
      </w:pPr>
      <w:r>
        <w:rPr>
          <w:rFonts w:hint="eastAsia"/>
          <w:sz w:val="24"/>
        </w:rPr>
        <w:t>（</w:t>
      </w:r>
      <w:r>
        <w:rPr>
          <w:rFonts w:hint="eastAsia"/>
          <w:sz w:val="24"/>
        </w:rPr>
        <w:t>4</w:t>
      </w:r>
      <w:r>
        <w:rPr>
          <w:rFonts w:hint="eastAsia"/>
          <w:sz w:val="24"/>
        </w:rPr>
        <w:t>）良好的系统可维护性</w:t>
      </w:r>
    </w:p>
    <w:p w:rsidR="002D52C1" w:rsidRDefault="002D52C1" w:rsidP="002D52C1">
      <w:pPr>
        <w:spacing w:line="360" w:lineRule="auto"/>
        <w:ind w:firstLine="420"/>
        <w:rPr>
          <w:sz w:val="24"/>
        </w:rPr>
      </w:pPr>
      <w:r>
        <w:rPr>
          <w:rFonts w:hint="eastAsia"/>
          <w:sz w:val="24"/>
        </w:rPr>
        <w:t>要建立良好的运行保障体系，使系统运行状态可观测、可跟踪，系统设备故障可检测、可维护。</w:t>
      </w:r>
    </w:p>
    <w:p w:rsidR="002D52C1" w:rsidRDefault="002D52C1" w:rsidP="002D52C1">
      <w:pPr>
        <w:spacing w:line="360" w:lineRule="auto"/>
        <w:rPr>
          <w:sz w:val="24"/>
        </w:rPr>
      </w:pPr>
      <w:r>
        <w:rPr>
          <w:rFonts w:hint="eastAsia"/>
          <w:sz w:val="24"/>
        </w:rPr>
        <w:t>（</w:t>
      </w:r>
      <w:r>
        <w:rPr>
          <w:rFonts w:hint="eastAsia"/>
          <w:sz w:val="24"/>
        </w:rPr>
        <w:t>5</w:t>
      </w:r>
      <w:r>
        <w:rPr>
          <w:rFonts w:hint="eastAsia"/>
          <w:sz w:val="24"/>
        </w:rPr>
        <w:t>）通讯设备技术约束</w:t>
      </w:r>
    </w:p>
    <w:p w:rsidR="002D52C1" w:rsidRDefault="002D52C1" w:rsidP="002D52C1">
      <w:pPr>
        <w:spacing w:line="360" w:lineRule="auto"/>
        <w:ind w:firstLine="420"/>
        <w:rPr>
          <w:sz w:val="24"/>
        </w:rPr>
      </w:pPr>
      <w:r>
        <w:rPr>
          <w:rFonts w:hint="eastAsia"/>
          <w:sz w:val="24"/>
        </w:rPr>
        <w:t>要确保中心和前端设备之间无线通讯稳定、误码率低。</w:t>
      </w:r>
    </w:p>
    <w:p w:rsidR="002D52C1" w:rsidRDefault="002D52C1" w:rsidP="002D52C1">
      <w:pPr>
        <w:spacing w:line="360" w:lineRule="auto"/>
        <w:rPr>
          <w:sz w:val="24"/>
        </w:rPr>
      </w:pPr>
      <w:r>
        <w:rPr>
          <w:rFonts w:hint="eastAsia"/>
          <w:sz w:val="24"/>
        </w:rPr>
        <w:t>（</w:t>
      </w:r>
      <w:r>
        <w:rPr>
          <w:rFonts w:hint="eastAsia"/>
          <w:sz w:val="24"/>
        </w:rPr>
        <w:t>6</w:t>
      </w:r>
      <w:r>
        <w:rPr>
          <w:rFonts w:hint="eastAsia"/>
          <w:sz w:val="24"/>
        </w:rPr>
        <w:t>）电子电路技术约束</w:t>
      </w:r>
    </w:p>
    <w:p w:rsidR="002D52C1" w:rsidRDefault="002D52C1" w:rsidP="002D52C1">
      <w:pPr>
        <w:spacing w:line="360" w:lineRule="auto"/>
        <w:ind w:firstLine="420"/>
        <w:rPr>
          <w:sz w:val="24"/>
        </w:rPr>
      </w:pPr>
      <w:r>
        <w:rPr>
          <w:rFonts w:hint="eastAsia"/>
          <w:sz w:val="24"/>
        </w:rPr>
        <w:t>选用耐高温元器件及材料</w:t>
      </w:r>
      <w:r>
        <w:rPr>
          <w:rFonts w:hint="eastAsia"/>
          <w:sz w:val="24"/>
        </w:rPr>
        <w:t>,</w:t>
      </w:r>
      <w:r>
        <w:rPr>
          <w:rFonts w:hint="eastAsia"/>
          <w:sz w:val="24"/>
        </w:rPr>
        <w:t>抗</w:t>
      </w:r>
      <w:r>
        <w:rPr>
          <w:rFonts w:hint="eastAsia"/>
          <w:sz w:val="24"/>
        </w:rPr>
        <w:t>EMI</w:t>
      </w:r>
      <w:r>
        <w:rPr>
          <w:rFonts w:hint="eastAsia"/>
          <w:sz w:val="24"/>
        </w:rPr>
        <w:t>、防水防潮</w:t>
      </w:r>
      <w:r>
        <w:rPr>
          <w:rFonts w:hint="eastAsia"/>
          <w:sz w:val="24"/>
        </w:rPr>
        <w:t>,</w:t>
      </w:r>
      <w:r>
        <w:rPr>
          <w:rFonts w:hint="eastAsia"/>
          <w:sz w:val="24"/>
        </w:rPr>
        <w:t>适合室外应用。</w:t>
      </w:r>
    </w:p>
    <w:p w:rsidR="002D52C1" w:rsidRDefault="002D52C1" w:rsidP="002D52C1">
      <w:pPr>
        <w:spacing w:line="360" w:lineRule="auto"/>
        <w:rPr>
          <w:sz w:val="24"/>
        </w:rPr>
      </w:pPr>
      <w:r>
        <w:rPr>
          <w:rFonts w:hint="eastAsia"/>
          <w:sz w:val="24"/>
        </w:rPr>
        <w:t>（</w:t>
      </w:r>
      <w:r>
        <w:rPr>
          <w:rFonts w:hint="eastAsia"/>
          <w:sz w:val="24"/>
        </w:rPr>
        <w:t>7</w:t>
      </w:r>
      <w:r>
        <w:rPr>
          <w:rFonts w:hint="eastAsia"/>
          <w:sz w:val="24"/>
        </w:rPr>
        <w:t>）设计方案还需考虑如下设计原则：</w:t>
      </w:r>
    </w:p>
    <w:p w:rsidR="002D52C1" w:rsidRDefault="002D52C1" w:rsidP="002D52C1">
      <w:pPr>
        <w:spacing w:line="360" w:lineRule="auto"/>
        <w:rPr>
          <w:sz w:val="24"/>
        </w:rPr>
      </w:pPr>
      <w:r>
        <w:rPr>
          <w:rFonts w:hint="eastAsia"/>
          <w:sz w:val="24"/>
        </w:rPr>
        <w:t>1</w:t>
      </w:r>
      <w:r>
        <w:rPr>
          <w:rFonts w:hint="eastAsia"/>
          <w:sz w:val="24"/>
        </w:rPr>
        <w:t>）系统的先进性</w:t>
      </w:r>
    </w:p>
    <w:p w:rsidR="002D52C1" w:rsidRDefault="002D52C1" w:rsidP="002D52C1">
      <w:pPr>
        <w:spacing w:line="360" w:lineRule="auto"/>
        <w:rPr>
          <w:sz w:val="24"/>
        </w:rPr>
      </w:pPr>
      <w:r>
        <w:rPr>
          <w:rFonts w:hint="eastAsia"/>
          <w:sz w:val="24"/>
        </w:rPr>
        <w:t>系统的硬件及软件功能要具有一定的先进性</w:t>
      </w:r>
      <w:r>
        <w:rPr>
          <w:rFonts w:hint="eastAsia"/>
          <w:sz w:val="24"/>
        </w:rPr>
        <w:t>,</w:t>
      </w:r>
      <w:r>
        <w:rPr>
          <w:rFonts w:hint="eastAsia"/>
          <w:sz w:val="24"/>
        </w:rPr>
        <w:t>并具备随时升级换代能力。</w:t>
      </w:r>
    </w:p>
    <w:p w:rsidR="002D52C1" w:rsidRDefault="002D52C1" w:rsidP="002D52C1">
      <w:pPr>
        <w:spacing w:line="360" w:lineRule="auto"/>
        <w:rPr>
          <w:sz w:val="24"/>
        </w:rPr>
      </w:pPr>
      <w:r>
        <w:rPr>
          <w:rFonts w:hint="eastAsia"/>
          <w:sz w:val="24"/>
        </w:rPr>
        <w:lastRenderedPageBreak/>
        <w:t>2</w:t>
      </w:r>
      <w:r>
        <w:rPr>
          <w:rFonts w:hint="eastAsia"/>
          <w:sz w:val="24"/>
        </w:rPr>
        <w:t>）系统的实用性</w:t>
      </w:r>
    </w:p>
    <w:p w:rsidR="002D52C1" w:rsidRDefault="002D52C1" w:rsidP="002D52C1">
      <w:pPr>
        <w:spacing w:line="360" w:lineRule="auto"/>
        <w:rPr>
          <w:sz w:val="24"/>
        </w:rPr>
      </w:pPr>
      <w:r>
        <w:rPr>
          <w:rFonts w:hint="eastAsia"/>
          <w:sz w:val="24"/>
        </w:rPr>
        <w:t>系统具有友好的人机界面</w:t>
      </w:r>
      <w:r>
        <w:rPr>
          <w:rFonts w:hint="eastAsia"/>
          <w:sz w:val="24"/>
        </w:rPr>
        <w:t>,</w:t>
      </w:r>
      <w:r>
        <w:rPr>
          <w:rFonts w:hint="eastAsia"/>
          <w:sz w:val="24"/>
        </w:rPr>
        <w:t>可操作性强</w:t>
      </w:r>
      <w:r>
        <w:rPr>
          <w:rFonts w:hint="eastAsia"/>
          <w:sz w:val="24"/>
        </w:rPr>
        <w:t>,</w:t>
      </w:r>
      <w:r>
        <w:rPr>
          <w:rFonts w:hint="eastAsia"/>
          <w:sz w:val="24"/>
        </w:rPr>
        <w:t>便于维护和管理。</w:t>
      </w:r>
    </w:p>
    <w:p w:rsidR="002D52C1" w:rsidRDefault="002D52C1" w:rsidP="002D52C1">
      <w:pPr>
        <w:spacing w:line="360" w:lineRule="auto"/>
        <w:rPr>
          <w:sz w:val="24"/>
        </w:rPr>
      </w:pPr>
      <w:r>
        <w:rPr>
          <w:rFonts w:hint="eastAsia"/>
          <w:sz w:val="24"/>
        </w:rPr>
        <w:t>3</w:t>
      </w:r>
      <w:r>
        <w:rPr>
          <w:rFonts w:hint="eastAsia"/>
          <w:sz w:val="24"/>
        </w:rPr>
        <w:t>）系统的开放性</w:t>
      </w:r>
    </w:p>
    <w:p w:rsidR="002D52C1" w:rsidRDefault="002D52C1" w:rsidP="002D52C1">
      <w:pPr>
        <w:spacing w:line="360" w:lineRule="auto"/>
        <w:rPr>
          <w:sz w:val="24"/>
        </w:rPr>
      </w:pPr>
      <w:r>
        <w:rPr>
          <w:rFonts w:hint="eastAsia"/>
          <w:sz w:val="24"/>
        </w:rPr>
        <w:t>系统软件设计遵循通用软件标准</w:t>
      </w:r>
      <w:r>
        <w:rPr>
          <w:rFonts w:hint="eastAsia"/>
          <w:sz w:val="24"/>
        </w:rPr>
        <w:t>,</w:t>
      </w:r>
      <w:r>
        <w:rPr>
          <w:rFonts w:hint="eastAsia"/>
          <w:sz w:val="24"/>
        </w:rPr>
        <w:t>具有开放性</w:t>
      </w:r>
      <w:r>
        <w:rPr>
          <w:rFonts w:hint="eastAsia"/>
          <w:sz w:val="24"/>
        </w:rPr>
        <w:t>,</w:t>
      </w:r>
      <w:r>
        <w:rPr>
          <w:rFonts w:hint="eastAsia"/>
          <w:sz w:val="24"/>
        </w:rPr>
        <w:t>便于在原来的基础上进行二次开发。</w:t>
      </w:r>
    </w:p>
    <w:p w:rsidR="002D52C1" w:rsidRDefault="002D52C1" w:rsidP="002D52C1">
      <w:pPr>
        <w:spacing w:line="360" w:lineRule="auto"/>
        <w:rPr>
          <w:sz w:val="24"/>
        </w:rPr>
      </w:pPr>
      <w:r>
        <w:rPr>
          <w:rFonts w:hint="eastAsia"/>
          <w:sz w:val="24"/>
        </w:rPr>
        <w:t>4</w:t>
      </w:r>
      <w:r>
        <w:rPr>
          <w:rFonts w:hint="eastAsia"/>
          <w:sz w:val="24"/>
        </w:rPr>
        <w:t>）系统的拓展性</w:t>
      </w:r>
    </w:p>
    <w:p w:rsidR="002D52C1" w:rsidRDefault="002D52C1" w:rsidP="002D52C1">
      <w:pPr>
        <w:spacing w:line="360" w:lineRule="auto"/>
        <w:rPr>
          <w:sz w:val="24"/>
        </w:rPr>
      </w:pPr>
      <w:r>
        <w:rPr>
          <w:rFonts w:hint="eastAsia"/>
          <w:sz w:val="24"/>
        </w:rPr>
        <w:t>系统所有的软硬件设计要采用模块化设计</w:t>
      </w:r>
      <w:r>
        <w:rPr>
          <w:rFonts w:hint="eastAsia"/>
          <w:sz w:val="24"/>
        </w:rPr>
        <w:t>,</w:t>
      </w:r>
      <w:r>
        <w:rPr>
          <w:rFonts w:hint="eastAsia"/>
          <w:sz w:val="24"/>
        </w:rPr>
        <w:t>以满足系统容量的扩充和业务量的增长需要</w:t>
      </w:r>
      <w:r>
        <w:rPr>
          <w:rFonts w:hint="eastAsia"/>
          <w:sz w:val="24"/>
        </w:rPr>
        <w:t>,</w:t>
      </w:r>
      <w:r>
        <w:rPr>
          <w:rFonts w:hint="eastAsia"/>
          <w:sz w:val="24"/>
        </w:rPr>
        <w:t>可方便接入新模块或新功能设备。</w:t>
      </w:r>
    </w:p>
    <w:p w:rsidR="002D52C1" w:rsidRDefault="002D52C1" w:rsidP="002D52C1">
      <w:pPr>
        <w:spacing w:line="360" w:lineRule="auto"/>
        <w:rPr>
          <w:sz w:val="24"/>
        </w:rPr>
      </w:pPr>
      <w:r>
        <w:rPr>
          <w:rFonts w:hint="eastAsia"/>
          <w:sz w:val="24"/>
        </w:rPr>
        <w:t>5</w:t>
      </w:r>
      <w:r>
        <w:rPr>
          <w:rFonts w:hint="eastAsia"/>
          <w:sz w:val="24"/>
        </w:rPr>
        <w:t>）系统的可靠性</w:t>
      </w:r>
    </w:p>
    <w:p w:rsidR="002D52C1" w:rsidRDefault="002D52C1" w:rsidP="004C20C0">
      <w:pPr>
        <w:spacing w:line="360" w:lineRule="auto"/>
        <w:rPr>
          <w:sz w:val="24"/>
        </w:rPr>
      </w:pPr>
      <w:r>
        <w:rPr>
          <w:rFonts w:hint="eastAsia"/>
          <w:sz w:val="24"/>
        </w:rPr>
        <w:t>空车位等采集信息要确保准确可靠，提供数据置信度分析；要保障无线通信数据传输稳定可靠；保障发布显示屏能适应户外的恶劣环境</w:t>
      </w:r>
      <w:r>
        <w:rPr>
          <w:rFonts w:hint="eastAsia"/>
          <w:sz w:val="24"/>
        </w:rPr>
        <w:t>,</w:t>
      </w:r>
      <w:r>
        <w:rPr>
          <w:rFonts w:hint="eastAsia"/>
          <w:sz w:val="24"/>
        </w:rPr>
        <w:t>工作稳定。</w:t>
      </w:r>
    </w:p>
    <w:p w:rsidR="00703BEC" w:rsidRDefault="003436F0" w:rsidP="003436F0">
      <w:pPr>
        <w:pStyle w:val="3"/>
      </w:pPr>
      <w:r>
        <w:rPr>
          <w:rFonts w:hint="eastAsia"/>
        </w:rPr>
        <w:t>3.1</w:t>
      </w:r>
      <w:r>
        <w:rPr>
          <w:rFonts w:hint="eastAsia"/>
        </w:rPr>
        <w:tab/>
      </w:r>
      <w:r w:rsidR="002D64CB">
        <w:tab/>
      </w:r>
      <w:r w:rsidR="00703BEC">
        <w:rPr>
          <w:rFonts w:hint="eastAsia"/>
          <w:szCs w:val="24"/>
        </w:rPr>
        <w:t>总体架构</w:t>
      </w:r>
    </w:p>
    <w:p w:rsidR="00703BEC" w:rsidRDefault="00703BEC" w:rsidP="00703BEC">
      <w:pPr>
        <w:spacing w:line="360" w:lineRule="auto"/>
        <w:ind w:firstLine="420"/>
        <w:rPr>
          <w:sz w:val="24"/>
        </w:rPr>
      </w:pPr>
      <w:r>
        <w:rPr>
          <w:rFonts w:hint="eastAsia"/>
          <w:sz w:val="24"/>
        </w:rPr>
        <w:t>静态交通智慧停车诱导系统包括信息采集设备、信息发布、诱导控制中心三个子系统组成，利用</w:t>
      </w:r>
      <w:r>
        <w:rPr>
          <w:rFonts w:hint="eastAsia"/>
          <w:sz w:val="24"/>
        </w:rPr>
        <w:t>GPRS/3G/4G</w:t>
      </w:r>
      <w:r>
        <w:rPr>
          <w:rFonts w:hint="eastAsia"/>
          <w:sz w:val="24"/>
        </w:rPr>
        <w:t>无线通讯技术，实时更新泊位使用情况等信息。</w:t>
      </w:r>
    </w:p>
    <w:p w:rsidR="00703BEC" w:rsidRDefault="00703BEC" w:rsidP="00703BEC">
      <w:pPr>
        <w:spacing w:line="360" w:lineRule="auto"/>
        <w:rPr>
          <w:sz w:val="24"/>
        </w:rPr>
      </w:pPr>
      <w:r>
        <w:rPr>
          <w:rFonts w:hint="eastAsia"/>
          <w:sz w:val="24"/>
        </w:rPr>
        <w:t>系统总体结构如下图所示。</w:t>
      </w:r>
    </w:p>
    <w:p w:rsidR="00703BEC" w:rsidRDefault="00703BEC" w:rsidP="00703BEC">
      <w:pPr>
        <w:spacing w:line="360" w:lineRule="auto"/>
        <w:rPr>
          <w:sz w:val="24"/>
        </w:rPr>
      </w:pPr>
      <w:r>
        <w:rPr>
          <w:rFonts w:hint="eastAsia"/>
          <w:noProof/>
          <w:sz w:val="24"/>
        </w:rPr>
        <w:drawing>
          <wp:inline distT="0" distB="0" distL="114300" distR="114300" wp14:anchorId="1C9FDC22" wp14:editId="3BCCCF81">
            <wp:extent cx="5273675" cy="3013075"/>
            <wp:effectExtent l="0" t="0" r="3175" b="15875"/>
            <wp:docPr id="2" name="图片 2" descr="城市智慧停车诱导控制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智慧停车诱导控制中心"/>
                    <pic:cNvPicPr>
                      <a:picLocks noChangeAspect="1"/>
                    </pic:cNvPicPr>
                  </pic:nvPicPr>
                  <pic:blipFill>
                    <a:blip r:embed="rId10"/>
                    <a:stretch>
                      <a:fillRect/>
                    </a:stretch>
                  </pic:blipFill>
                  <pic:spPr>
                    <a:xfrm>
                      <a:off x="0" y="0"/>
                      <a:ext cx="5273675" cy="3013075"/>
                    </a:xfrm>
                    <a:prstGeom prst="rect">
                      <a:avLst/>
                    </a:prstGeom>
                  </pic:spPr>
                </pic:pic>
              </a:graphicData>
            </a:graphic>
          </wp:inline>
        </w:drawing>
      </w:r>
    </w:p>
    <w:p w:rsidR="00703BEC" w:rsidRDefault="00703BEC" w:rsidP="00703BEC">
      <w:pPr>
        <w:spacing w:line="360" w:lineRule="auto"/>
        <w:rPr>
          <w:sz w:val="24"/>
        </w:rPr>
      </w:pPr>
      <w:r>
        <w:rPr>
          <w:rFonts w:hint="eastAsia"/>
          <w:sz w:val="24"/>
        </w:rPr>
        <w:t xml:space="preserve">                     </w:t>
      </w:r>
      <w:r>
        <w:rPr>
          <w:rFonts w:hint="eastAsia"/>
          <w:sz w:val="24"/>
        </w:rPr>
        <w:t>图</w:t>
      </w:r>
      <w:r>
        <w:rPr>
          <w:rFonts w:hint="eastAsia"/>
          <w:sz w:val="24"/>
        </w:rPr>
        <w:t xml:space="preserve">1 </w:t>
      </w:r>
      <w:r>
        <w:rPr>
          <w:rFonts w:hint="eastAsia"/>
          <w:sz w:val="24"/>
        </w:rPr>
        <w:t>静态交通智慧停车诱导系统总体结构图</w:t>
      </w:r>
    </w:p>
    <w:p w:rsidR="00703BEC" w:rsidRPr="00703BEC" w:rsidRDefault="00703BEC" w:rsidP="004C20C0">
      <w:pPr>
        <w:spacing w:line="360" w:lineRule="auto"/>
        <w:rPr>
          <w:sz w:val="24"/>
        </w:rPr>
      </w:pPr>
    </w:p>
    <w:p w:rsidR="00887239" w:rsidRDefault="004C20C0" w:rsidP="002258B7">
      <w:pPr>
        <w:pStyle w:val="2"/>
      </w:pPr>
      <w:r>
        <w:rPr>
          <w:rFonts w:hint="eastAsia"/>
        </w:rPr>
        <w:lastRenderedPageBreak/>
        <w:t>4</w:t>
      </w:r>
      <w:r w:rsidR="00D11D99">
        <w:rPr>
          <w:rFonts w:hint="eastAsia"/>
        </w:rPr>
        <w:t xml:space="preserve">. </w:t>
      </w:r>
      <w:r w:rsidR="00887239">
        <w:rPr>
          <w:rFonts w:hint="eastAsia"/>
        </w:rPr>
        <w:t>停车诱导屏系统</w:t>
      </w:r>
    </w:p>
    <w:p w:rsidR="00887239" w:rsidRDefault="00C063A3" w:rsidP="004F0511">
      <w:pPr>
        <w:pStyle w:val="3"/>
      </w:pPr>
      <w:r>
        <w:t>4</w:t>
      </w:r>
      <w:r w:rsidR="00887239">
        <w:rPr>
          <w:rFonts w:hint="eastAsia"/>
        </w:rPr>
        <w:t>.1</w:t>
      </w:r>
      <w:r w:rsidR="00AD3AE2">
        <w:tab/>
      </w:r>
      <w:r w:rsidR="00AD3AE2">
        <w:tab/>
      </w:r>
      <w:r w:rsidR="00D11D99">
        <w:rPr>
          <w:rFonts w:hint="eastAsia"/>
        </w:rPr>
        <w:t>选址原则</w:t>
      </w:r>
    </w:p>
    <w:p w:rsidR="006150C7" w:rsidRDefault="00D11D99" w:rsidP="00665AE4">
      <w:pPr>
        <w:spacing w:line="360" w:lineRule="auto"/>
        <w:rPr>
          <w:sz w:val="24"/>
        </w:rPr>
      </w:pPr>
      <w:r>
        <w:rPr>
          <w:rFonts w:hint="eastAsia"/>
          <w:sz w:val="24"/>
        </w:rPr>
        <w:t>参考《停车诱导系统技术要求</w:t>
      </w:r>
      <w:r>
        <w:rPr>
          <w:rFonts w:hint="eastAsia"/>
          <w:sz w:val="24"/>
        </w:rPr>
        <w:t xml:space="preserve"> DB11/T667-2009</w:t>
      </w:r>
      <w:r>
        <w:rPr>
          <w:rFonts w:hint="eastAsia"/>
          <w:sz w:val="24"/>
        </w:rPr>
        <w:t>》北京地方标准，采用三级诱导原则，由远及近、由外及内，逐步诱导车辆从城市外围到具体停车场停车。分级诱导屏选址原则如下：</w:t>
      </w:r>
    </w:p>
    <w:p w:rsidR="006150C7" w:rsidRDefault="00D11D99" w:rsidP="00665AE4">
      <w:pPr>
        <w:spacing w:line="360" w:lineRule="auto"/>
        <w:rPr>
          <w:sz w:val="24"/>
        </w:rPr>
      </w:pPr>
      <w:r>
        <w:rPr>
          <w:rFonts w:hint="eastAsia"/>
          <w:sz w:val="24"/>
        </w:rPr>
        <w:t>（</w:t>
      </w:r>
      <w:r>
        <w:rPr>
          <w:rFonts w:hint="eastAsia"/>
          <w:sz w:val="24"/>
        </w:rPr>
        <w:t>1</w:t>
      </w:r>
      <w:r>
        <w:rPr>
          <w:rFonts w:hint="eastAsia"/>
          <w:sz w:val="24"/>
        </w:rPr>
        <w:t>）根据道路交通流特征选择诱导屏安装位置是选址的首要原则。一般来说，诱导屏应设置于交通流量集散点、经常发生拥堵的路段上游，以及重要交通干道和重点路段的上游；</w:t>
      </w:r>
    </w:p>
    <w:p w:rsidR="006150C7" w:rsidRDefault="00D11D99" w:rsidP="00665AE4">
      <w:pPr>
        <w:spacing w:line="360" w:lineRule="auto"/>
        <w:rPr>
          <w:sz w:val="24"/>
        </w:rPr>
      </w:pPr>
      <w:r>
        <w:rPr>
          <w:rFonts w:hint="eastAsia"/>
          <w:sz w:val="24"/>
        </w:rPr>
        <w:t>（</w:t>
      </w:r>
      <w:r>
        <w:rPr>
          <w:rFonts w:hint="eastAsia"/>
          <w:sz w:val="24"/>
        </w:rPr>
        <w:t>2</w:t>
      </w:r>
      <w:r>
        <w:rPr>
          <w:rFonts w:hint="eastAsia"/>
          <w:sz w:val="24"/>
        </w:rPr>
        <w:t>）在诱导屏下游必须要有分流的能力；</w:t>
      </w:r>
    </w:p>
    <w:p w:rsidR="006150C7" w:rsidRDefault="00D11D99" w:rsidP="00665AE4">
      <w:pPr>
        <w:spacing w:line="360" w:lineRule="auto"/>
        <w:rPr>
          <w:sz w:val="24"/>
        </w:rPr>
      </w:pPr>
      <w:r>
        <w:rPr>
          <w:rFonts w:hint="eastAsia"/>
          <w:sz w:val="24"/>
        </w:rPr>
        <w:t>（</w:t>
      </w:r>
      <w:r>
        <w:rPr>
          <w:rFonts w:hint="eastAsia"/>
          <w:sz w:val="24"/>
        </w:rPr>
        <w:t>3</w:t>
      </w:r>
      <w:r>
        <w:rPr>
          <w:rFonts w:hint="eastAsia"/>
          <w:sz w:val="24"/>
        </w:rPr>
        <w:t>）诱导屏前不得有遮挡物影响司机快速识读发布内容，还要考虑相关道路的市政工程条件，如供电、通讯、地下管线、安装基础场地等。</w:t>
      </w:r>
    </w:p>
    <w:p w:rsidR="006150C7" w:rsidRDefault="00796636" w:rsidP="00B66A63">
      <w:pPr>
        <w:pStyle w:val="3"/>
      </w:pPr>
      <w:r>
        <w:t>4</w:t>
      </w:r>
      <w:r w:rsidR="00AD3AE2">
        <w:t>.2</w:t>
      </w:r>
      <w:r w:rsidR="00AD3AE2">
        <w:tab/>
      </w:r>
      <w:r w:rsidR="00AD3AE2">
        <w:tab/>
      </w:r>
      <w:r w:rsidR="00D11D99">
        <w:rPr>
          <w:rFonts w:hint="eastAsia"/>
        </w:rPr>
        <w:t>版面设计原则</w:t>
      </w:r>
    </w:p>
    <w:p w:rsidR="006150C7" w:rsidRDefault="00D11D99" w:rsidP="00665AE4">
      <w:pPr>
        <w:spacing w:line="360" w:lineRule="auto"/>
        <w:ind w:firstLine="420"/>
        <w:rPr>
          <w:sz w:val="24"/>
        </w:rPr>
      </w:pPr>
      <w:r>
        <w:rPr>
          <w:rFonts w:hint="eastAsia"/>
          <w:sz w:val="24"/>
        </w:rPr>
        <w:t>由于停车诱导属于交通领域，故版面设计的总体要求应符合《道路交通标志和标线</w:t>
      </w:r>
      <w:r>
        <w:rPr>
          <w:rFonts w:hint="eastAsia"/>
          <w:sz w:val="24"/>
        </w:rPr>
        <w:t xml:space="preserve"> GB5768-2009</w:t>
      </w:r>
      <w:r>
        <w:rPr>
          <w:rFonts w:hint="eastAsia"/>
          <w:sz w:val="24"/>
        </w:rPr>
        <w:t>》的基本规定。在设计版面时，应考虑驾车者对版面内容的理解度，版面标识应具备直观性和单一性。总体来说，设计版面时应基于以下三个原则：</w:t>
      </w:r>
    </w:p>
    <w:p w:rsidR="006150C7" w:rsidRDefault="00D11D99" w:rsidP="00665AE4">
      <w:pPr>
        <w:spacing w:line="360" w:lineRule="auto"/>
        <w:rPr>
          <w:sz w:val="24"/>
        </w:rPr>
      </w:pPr>
      <w:r>
        <w:rPr>
          <w:rFonts w:hint="eastAsia"/>
          <w:sz w:val="24"/>
        </w:rPr>
        <w:t>（</w:t>
      </w:r>
      <w:r>
        <w:rPr>
          <w:rFonts w:hint="eastAsia"/>
          <w:sz w:val="24"/>
        </w:rPr>
        <w:t>1</w:t>
      </w:r>
      <w:r>
        <w:rPr>
          <w:rFonts w:hint="eastAsia"/>
          <w:sz w:val="24"/>
        </w:rPr>
        <w:t>）醒目度——在有效的认读距离外能够吸引驾驶员注意力，要求具有一定醒目度，能清晰地区别周围环境；</w:t>
      </w:r>
    </w:p>
    <w:p w:rsidR="006150C7" w:rsidRDefault="00D11D99" w:rsidP="00665AE4">
      <w:pPr>
        <w:spacing w:line="360" w:lineRule="auto"/>
        <w:rPr>
          <w:sz w:val="24"/>
        </w:rPr>
      </w:pPr>
      <w:r>
        <w:rPr>
          <w:rFonts w:hint="eastAsia"/>
          <w:sz w:val="24"/>
        </w:rPr>
        <w:t>（</w:t>
      </w:r>
      <w:r>
        <w:rPr>
          <w:rFonts w:hint="eastAsia"/>
          <w:sz w:val="24"/>
        </w:rPr>
        <w:t>2</w:t>
      </w:r>
      <w:r>
        <w:rPr>
          <w:rFonts w:hint="eastAsia"/>
          <w:sz w:val="24"/>
        </w:rPr>
        <w:t>）易读性——版面标识简单明了，可读性强；</w:t>
      </w:r>
    </w:p>
    <w:p w:rsidR="006150C7" w:rsidRDefault="00D11D99" w:rsidP="002D52C1">
      <w:pPr>
        <w:spacing w:line="360" w:lineRule="auto"/>
        <w:rPr>
          <w:sz w:val="24"/>
        </w:rPr>
      </w:pPr>
      <w:r>
        <w:rPr>
          <w:rFonts w:hint="eastAsia"/>
          <w:sz w:val="24"/>
        </w:rPr>
        <w:t>（</w:t>
      </w:r>
      <w:r>
        <w:rPr>
          <w:rFonts w:hint="eastAsia"/>
          <w:sz w:val="24"/>
        </w:rPr>
        <w:t>3</w:t>
      </w:r>
      <w:r>
        <w:rPr>
          <w:rFonts w:hint="eastAsia"/>
          <w:sz w:val="24"/>
        </w:rPr>
        <w:t>）公认度——以国标及地方标准的设计规范为设计标准。</w:t>
      </w:r>
    </w:p>
    <w:p w:rsidR="006150C7" w:rsidRDefault="00C110D8" w:rsidP="00C110D8">
      <w:pPr>
        <w:pStyle w:val="3"/>
      </w:pPr>
      <w:r>
        <w:t>4.3</w:t>
      </w:r>
      <w:r>
        <w:tab/>
      </w:r>
      <w:r>
        <w:tab/>
      </w:r>
      <w:r w:rsidR="00D11D99">
        <w:rPr>
          <w:rFonts w:hint="eastAsia"/>
        </w:rPr>
        <w:t>方案设计</w:t>
      </w:r>
    </w:p>
    <w:p w:rsidR="006150C7" w:rsidRDefault="00A841B2" w:rsidP="005A1391">
      <w:pPr>
        <w:pStyle w:val="4"/>
      </w:pPr>
      <w:r>
        <w:rPr>
          <w:rFonts w:hint="eastAsia"/>
        </w:rPr>
        <w:t>4.3.1</w:t>
      </w:r>
      <w:r>
        <w:rPr>
          <w:rFonts w:hint="eastAsia"/>
        </w:rPr>
        <w:tab/>
      </w:r>
      <w:r w:rsidR="00F21A22">
        <w:rPr>
          <w:rFonts w:hint="eastAsia"/>
        </w:rPr>
        <w:t>政务服务中心区域</w:t>
      </w:r>
      <w:r w:rsidR="00D11D99">
        <w:rPr>
          <w:rFonts w:hint="eastAsia"/>
          <w:szCs w:val="24"/>
        </w:rPr>
        <w:t>停车场示意图</w:t>
      </w:r>
    </w:p>
    <w:p w:rsidR="006150C7" w:rsidRDefault="00D11D99" w:rsidP="00665AE4">
      <w:pPr>
        <w:spacing w:line="360" w:lineRule="auto"/>
        <w:rPr>
          <w:sz w:val="24"/>
        </w:rPr>
      </w:pPr>
      <w:r>
        <w:rPr>
          <w:rFonts w:hint="eastAsia"/>
          <w:sz w:val="24"/>
        </w:rPr>
        <w:t xml:space="preserve">    </w:t>
      </w:r>
      <w:r w:rsidR="00E7165F">
        <w:rPr>
          <w:noProof/>
        </w:rPr>
        <w:lastRenderedPageBreak/>
        <w:drawing>
          <wp:inline distT="0" distB="0" distL="0" distR="0" wp14:anchorId="798B6AB9" wp14:editId="0CAE300A">
            <wp:extent cx="5274310" cy="32315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1515"/>
                    </a:xfrm>
                    <a:prstGeom prst="rect">
                      <a:avLst/>
                    </a:prstGeom>
                  </pic:spPr>
                </pic:pic>
              </a:graphicData>
            </a:graphic>
          </wp:inline>
        </w:drawing>
      </w:r>
    </w:p>
    <w:p w:rsidR="006150C7" w:rsidRPr="009057B3" w:rsidRDefault="005D2DD8" w:rsidP="00445C7D">
      <w:pPr>
        <w:pStyle w:val="4"/>
      </w:pPr>
      <w:r>
        <w:rPr>
          <w:rFonts w:hint="eastAsia"/>
        </w:rPr>
        <w:t>4.3.2</w:t>
      </w:r>
      <w:r>
        <w:rPr>
          <w:rFonts w:hint="eastAsia"/>
        </w:rPr>
        <w:tab/>
      </w:r>
      <w:r w:rsidR="00D11D99" w:rsidRPr="009057B3">
        <w:rPr>
          <w:rFonts w:hint="eastAsia"/>
          <w:szCs w:val="24"/>
        </w:rPr>
        <w:t>诱导屏布局选址</w:t>
      </w:r>
    </w:p>
    <w:p w:rsidR="00752E55" w:rsidRPr="00B13176" w:rsidRDefault="00752E55" w:rsidP="00665AE4">
      <w:pPr>
        <w:pStyle w:val="a8"/>
        <w:numPr>
          <w:ilvl w:val="0"/>
          <w:numId w:val="5"/>
        </w:numPr>
        <w:spacing w:line="360" w:lineRule="auto"/>
        <w:ind w:firstLineChars="0"/>
        <w:rPr>
          <w:rFonts w:asciiTheme="minorEastAsia" w:hAnsiTheme="minorEastAsia"/>
          <w:sz w:val="24"/>
        </w:rPr>
      </w:pPr>
      <w:r w:rsidRPr="00B13176">
        <w:rPr>
          <w:rFonts w:asciiTheme="minorEastAsia" w:hAnsiTheme="minorEastAsia" w:hint="eastAsia"/>
          <w:sz w:val="24"/>
        </w:rPr>
        <w:t>路口级：</w:t>
      </w:r>
      <w:r w:rsidR="00923431" w:rsidRPr="00B13176">
        <w:rPr>
          <w:rFonts w:asciiTheme="minorEastAsia" w:hAnsiTheme="minorEastAsia" w:hint="eastAsia"/>
          <w:sz w:val="24"/>
        </w:rPr>
        <w:t>（</w:t>
      </w:r>
      <w:r w:rsidRPr="00B13176">
        <w:rPr>
          <w:rFonts w:asciiTheme="minorEastAsia" w:hAnsiTheme="minorEastAsia"/>
          <w:sz w:val="24"/>
        </w:rPr>
        <w:t>二级诱导显示屏</w:t>
      </w:r>
      <w:r w:rsidR="00923431" w:rsidRPr="00B13176">
        <w:rPr>
          <w:rFonts w:asciiTheme="minorEastAsia" w:hAnsiTheme="minorEastAsia" w:hint="eastAsia"/>
          <w:sz w:val="24"/>
        </w:rPr>
        <w:t>）</w:t>
      </w:r>
      <w:r w:rsidRPr="00B13176">
        <w:rPr>
          <w:rFonts w:asciiTheme="minorEastAsia" w:hAnsiTheme="minorEastAsia" w:hint="eastAsia"/>
          <w:sz w:val="24"/>
        </w:rPr>
        <w:t xml:space="preserve"> </w:t>
      </w:r>
      <w:r w:rsidR="00FC1E7B">
        <w:rPr>
          <w:rFonts w:asciiTheme="minorEastAsia" w:hAnsiTheme="minorEastAsia" w:hint="eastAsia"/>
          <w:sz w:val="24"/>
        </w:rPr>
        <w:t>1</w:t>
      </w:r>
      <w:r w:rsidRPr="00B13176">
        <w:rPr>
          <w:rFonts w:asciiTheme="minorEastAsia" w:hAnsiTheme="minorEastAsia" w:hint="eastAsia"/>
          <w:sz w:val="24"/>
        </w:rPr>
        <w:t xml:space="preserve">块  </w:t>
      </w:r>
    </w:p>
    <w:p w:rsidR="00B13176" w:rsidRPr="00B13176" w:rsidRDefault="00B13176" w:rsidP="00665AE4">
      <w:pPr>
        <w:spacing w:line="360" w:lineRule="auto"/>
        <w:ind w:firstLine="360"/>
        <w:rPr>
          <w:sz w:val="24"/>
        </w:rPr>
      </w:pPr>
      <w:r w:rsidRPr="00B13176">
        <w:rPr>
          <w:rFonts w:hint="eastAsia"/>
          <w:sz w:val="24"/>
        </w:rPr>
        <w:t>二级诱导屏以若干停车场（库）方向、空闲泊位数为信息发布内容，指引可供选择的停车场（库），故应设置在距离停车场周边</w:t>
      </w:r>
      <w:r w:rsidRPr="00B13176">
        <w:rPr>
          <w:rFonts w:hint="eastAsia"/>
          <w:sz w:val="24"/>
        </w:rPr>
        <w:t>1-4</w:t>
      </w:r>
      <w:r w:rsidRPr="00B13176">
        <w:rPr>
          <w:rFonts w:hint="eastAsia"/>
          <w:sz w:val="24"/>
        </w:rPr>
        <w:t>个路口处，发布的停车场应同时包含泊位紧张和泊位相对空闲的停车场，以便于分流停车。从节约实用的思路出发，尽可能以最少数量的发布屏实现本区域范围内场库的全覆盖。</w:t>
      </w:r>
    </w:p>
    <w:p w:rsidR="00B13176" w:rsidRPr="00B13176" w:rsidRDefault="00B13176" w:rsidP="00DF2A8E">
      <w:pPr>
        <w:spacing w:line="360" w:lineRule="auto"/>
        <w:ind w:firstLine="360"/>
        <w:rPr>
          <w:rFonts w:ascii="宋体" w:hAnsi="宋体" w:cs="宋体"/>
          <w:sz w:val="24"/>
        </w:rPr>
      </w:pPr>
      <w:r w:rsidRPr="00B13176">
        <w:rPr>
          <w:rFonts w:hint="eastAsia"/>
          <w:sz w:val="24"/>
        </w:rPr>
        <w:t>二级诱导屏不仅考虑公共开放停车场位置设置，同时也需要考虑公共临时占道停车场设置位置，</w:t>
      </w:r>
      <w:r w:rsidRPr="00B13176">
        <w:rPr>
          <w:rFonts w:ascii="宋体" w:hAnsi="宋体" w:cs="宋体" w:hint="eastAsia"/>
          <w:sz w:val="24"/>
        </w:rPr>
        <w:t>根据</w:t>
      </w:r>
      <w:r w:rsidR="005604E6">
        <w:rPr>
          <w:rFonts w:ascii="宋体" w:hAnsi="宋体" w:cs="宋体" w:hint="eastAsia"/>
          <w:sz w:val="24"/>
        </w:rPr>
        <w:t>政务服务中心</w:t>
      </w:r>
      <w:r w:rsidRPr="00B13176">
        <w:rPr>
          <w:rFonts w:ascii="宋体" w:hAnsi="宋体" w:cs="宋体" w:hint="eastAsia"/>
          <w:sz w:val="24"/>
        </w:rPr>
        <w:t>交通示意图选择如下</w:t>
      </w:r>
      <w:r w:rsidR="00DF2A8E">
        <w:rPr>
          <w:rFonts w:ascii="宋体" w:hAnsi="宋体" w:cs="宋体" w:hint="eastAsia"/>
          <w:sz w:val="24"/>
        </w:rPr>
        <w:t>1</w:t>
      </w:r>
      <w:r w:rsidRPr="00B13176">
        <w:rPr>
          <w:rFonts w:ascii="宋体" w:hAnsi="宋体" w:cs="宋体" w:hint="eastAsia"/>
          <w:sz w:val="24"/>
        </w:rPr>
        <w:t>处位置：</w:t>
      </w:r>
    </w:p>
    <w:p w:rsidR="00B13176" w:rsidRPr="00B13176" w:rsidRDefault="00B13176" w:rsidP="00665AE4">
      <w:pPr>
        <w:pStyle w:val="a8"/>
        <w:spacing w:line="360" w:lineRule="auto"/>
        <w:ind w:left="360" w:firstLineChars="0" w:firstLine="0"/>
        <w:rPr>
          <w:rFonts w:asciiTheme="minorEastAsia" w:hAnsiTheme="minorEastAsia"/>
          <w:b/>
          <w:sz w:val="24"/>
        </w:rPr>
      </w:pPr>
    </w:p>
    <w:p w:rsidR="00752E55" w:rsidRPr="003166C8" w:rsidRDefault="00752E55" w:rsidP="00665AE4">
      <w:pPr>
        <w:spacing w:line="360" w:lineRule="auto"/>
        <w:ind w:firstLine="420"/>
        <w:rPr>
          <w:rFonts w:asciiTheme="minorEastAsia" w:hAnsiTheme="minorEastAsia"/>
          <w:sz w:val="24"/>
        </w:rPr>
      </w:pPr>
      <w:r>
        <w:rPr>
          <w:rFonts w:asciiTheme="minorEastAsia" w:hAnsiTheme="minorEastAsia" w:hint="eastAsia"/>
          <w:sz w:val="24"/>
        </w:rPr>
        <w:t>人民村路西口往东30m处（道路指示牌杆件东1米处）</w:t>
      </w:r>
      <w:r w:rsidRPr="003166C8">
        <w:rPr>
          <w:rFonts w:asciiTheme="minorEastAsia" w:hAnsiTheme="minorEastAsia" w:hint="eastAsia"/>
          <w:sz w:val="24"/>
        </w:rPr>
        <w:t>。</w:t>
      </w:r>
    </w:p>
    <w:p w:rsidR="006150C7" w:rsidRPr="00752E55" w:rsidRDefault="006150C7" w:rsidP="00665AE4">
      <w:pPr>
        <w:spacing w:line="360" w:lineRule="auto"/>
        <w:rPr>
          <w:sz w:val="24"/>
        </w:rPr>
      </w:pPr>
    </w:p>
    <w:p w:rsidR="006150C7" w:rsidRDefault="00752E55" w:rsidP="00665AE4">
      <w:pPr>
        <w:spacing w:line="360" w:lineRule="auto"/>
        <w:rPr>
          <w:sz w:val="24"/>
        </w:rPr>
      </w:pPr>
      <w:r>
        <w:rPr>
          <w:rFonts w:hint="eastAsia"/>
          <w:sz w:val="24"/>
        </w:rPr>
        <w:t>2</w:t>
      </w:r>
      <w:r w:rsidR="00D11D99">
        <w:rPr>
          <w:rFonts w:hint="eastAsia"/>
          <w:sz w:val="24"/>
        </w:rPr>
        <w:t>）</w:t>
      </w:r>
      <w:r w:rsidR="00344B15">
        <w:rPr>
          <w:rFonts w:hint="eastAsia"/>
          <w:sz w:val="24"/>
        </w:rPr>
        <w:t>停车场级</w:t>
      </w:r>
      <w:r w:rsidR="00923431">
        <w:rPr>
          <w:rFonts w:hint="eastAsia"/>
          <w:sz w:val="24"/>
        </w:rPr>
        <w:t>（三级诱导屏）</w:t>
      </w:r>
      <w:r w:rsidR="008B2BF1">
        <w:rPr>
          <w:rFonts w:hint="eastAsia"/>
          <w:sz w:val="24"/>
        </w:rPr>
        <w:t>1</w:t>
      </w:r>
      <w:r w:rsidR="00923431">
        <w:rPr>
          <w:rFonts w:hint="eastAsia"/>
          <w:sz w:val="24"/>
        </w:rPr>
        <w:t>块</w:t>
      </w:r>
      <w:r w:rsidR="00344B15">
        <w:rPr>
          <w:rFonts w:hint="eastAsia"/>
          <w:sz w:val="24"/>
        </w:rPr>
        <w:t>：</w:t>
      </w:r>
    </w:p>
    <w:p w:rsidR="006150C7" w:rsidRDefault="00D11D99" w:rsidP="00665AE4">
      <w:pPr>
        <w:spacing w:line="360" w:lineRule="auto"/>
        <w:ind w:firstLine="420"/>
        <w:rPr>
          <w:sz w:val="24"/>
        </w:rPr>
      </w:pPr>
      <w:r>
        <w:rPr>
          <w:rFonts w:hint="eastAsia"/>
          <w:sz w:val="24"/>
        </w:rPr>
        <w:t>三级诱导屏用于引导驾驶员到达目标停车场（库），发布内容包括空闲泊位数、方向和停车标识等，通常设置在停车场入口</w:t>
      </w:r>
      <w:r>
        <w:rPr>
          <w:rFonts w:hint="eastAsia"/>
          <w:sz w:val="24"/>
        </w:rPr>
        <w:t>10-20m</w:t>
      </w:r>
      <w:r>
        <w:rPr>
          <w:rFonts w:hint="eastAsia"/>
          <w:sz w:val="24"/>
        </w:rPr>
        <w:t>处。安装三级诱导屏的停车场（库）应基本满足以下条件：</w:t>
      </w:r>
    </w:p>
    <w:p w:rsidR="006150C7" w:rsidRDefault="00D11D99" w:rsidP="00665AE4">
      <w:pPr>
        <w:spacing w:line="360" w:lineRule="auto"/>
        <w:rPr>
          <w:sz w:val="24"/>
        </w:rPr>
      </w:pPr>
      <w:r>
        <w:rPr>
          <w:rFonts w:hint="eastAsia"/>
          <w:sz w:val="24"/>
        </w:rPr>
        <w:t>a</w:t>
      </w:r>
      <w:r>
        <w:rPr>
          <w:rFonts w:hint="eastAsia"/>
          <w:sz w:val="24"/>
        </w:rPr>
        <w:t>）临近区域内具有代表性公共场所</w:t>
      </w:r>
    </w:p>
    <w:p w:rsidR="006150C7" w:rsidRDefault="00D11D99" w:rsidP="00665AE4">
      <w:pPr>
        <w:spacing w:line="360" w:lineRule="auto"/>
        <w:ind w:firstLine="420"/>
        <w:rPr>
          <w:sz w:val="24"/>
        </w:rPr>
      </w:pPr>
      <w:r>
        <w:rPr>
          <w:rFonts w:hint="eastAsia"/>
          <w:sz w:val="24"/>
        </w:rPr>
        <w:t>停车诱导系统规划中的停车场应选择在临近区域内具有代表性公共场所，如</w:t>
      </w:r>
      <w:r>
        <w:rPr>
          <w:rFonts w:hint="eastAsia"/>
          <w:sz w:val="24"/>
        </w:rPr>
        <w:lastRenderedPageBreak/>
        <w:t>宾馆、医院、大型购物中心等。此类场所是公共停车需求密集区，是停车诱导系统空闲泊位信息发布的重点考虑对象。</w:t>
      </w:r>
    </w:p>
    <w:p w:rsidR="006150C7" w:rsidRDefault="00D11D99" w:rsidP="00665AE4">
      <w:pPr>
        <w:spacing w:line="360" w:lineRule="auto"/>
        <w:rPr>
          <w:sz w:val="24"/>
        </w:rPr>
      </w:pPr>
      <w:r>
        <w:rPr>
          <w:rFonts w:hint="eastAsia"/>
          <w:sz w:val="24"/>
        </w:rPr>
        <w:t>b</w:t>
      </w:r>
      <w:r>
        <w:rPr>
          <w:rFonts w:hint="eastAsia"/>
          <w:sz w:val="24"/>
        </w:rPr>
        <w:t>）停车场类型属于对外经营的社会公共类停车场</w:t>
      </w:r>
    </w:p>
    <w:p w:rsidR="006150C7" w:rsidRDefault="00D11D99" w:rsidP="00665AE4">
      <w:pPr>
        <w:spacing w:line="360" w:lineRule="auto"/>
        <w:ind w:firstLine="420"/>
        <w:rPr>
          <w:sz w:val="24"/>
        </w:rPr>
      </w:pPr>
      <w:r>
        <w:rPr>
          <w:rFonts w:hint="eastAsia"/>
          <w:sz w:val="24"/>
        </w:rPr>
        <w:t>停车诱导系统通过</w:t>
      </w:r>
      <w:r>
        <w:rPr>
          <w:rFonts w:hint="eastAsia"/>
          <w:sz w:val="24"/>
        </w:rPr>
        <w:t>LED</w:t>
      </w:r>
      <w:r>
        <w:rPr>
          <w:rFonts w:hint="eastAsia"/>
          <w:sz w:val="24"/>
        </w:rPr>
        <w:t>发布牌实时对外发布停车空位信息，该停车位信息对驾车者起到指引作用，有空车位的停车场同时必须是对外经营的社会公共类停车场，而不是仅供内部使用的不对外经营的停车场。充分挖掘公共停车潜力。</w:t>
      </w:r>
    </w:p>
    <w:p w:rsidR="006150C7" w:rsidRDefault="00D11D99" w:rsidP="00665AE4">
      <w:pPr>
        <w:spacing w:line="360" w:lineRule="auto"/>
        <w:rPr>
          <w:sz w:val="24"/>
        </w:rPr>
      </w:pPr>
      <w:r>
        <w:rPr>
          <w:rFonts w:hint="eastAsia"/>
          <w:sz w:val="24"/>
        </w:rPr>
        <w:t>c</w:t>
      </w:r>
      <w:r>
        <w:rPr>
          <w:rFonts w:hint="eastAsia"/>
          <w:sz w:val="24"/>
        </w:rPr>
        <w:t>）公共临时停车场泊位总数在</w:t>
      </w:r>
      <w:r>
        <w:rPr>
          <w:rFonts w:hint="eastAsia"/>
          <w:sz w:val="24"/>
        </w:rPr>
        <w:t>30</w:t>
      </w:r>
      <w:r>
        <w:rPr>
          <w:rFonts w:hint="eastAsia"/>
          <w:sz w:val="24"/>
        </w:rPr>
        <w:t>个泊位以上</w:t>
      </w:r>
    </w:p>
    <w:p w:rsidR="006150C7" w:rsidRDefault="00D11D99" w:rsidP="00665AE4">
      <w:pPr>
        <w:spacing w:line="360" w:lineRule="auto"/>
        <w:ind w:firstLine="420"/>
        <w:rPr>
          <w:sz w:val="24"/>
        </w:rPr>
      </w:pPr>
      <w:r>
        <w:rPr>
          <w:rFonts w:hint="eastAsia"/>
          <w:sz w:val="24"/>
        </w:rPr>
        <w:t>具备一定规模的公共停车场应优先考虑纳入静态交通诱导系统，依据国内、外的经验，通常设定为</w:t>
      </w:r>
      <w:r>
        <w:rPr>
          <w:rFonts w:hint="eastAsia"/>
          <w:sz w:val="24"/>
        </w:rPr>
        <w:t>50</w:t>
      </w:r>
      <w:r>
        <w:rPr>
          <w:rFonts w:hint="eastAsia"/>
          <w:sz w:val="24"/>
        </w:rPr>
        <w:t>个车位以上的停车场。考虑北京市公共临时停车场现状，故公共临时停车场泊位要求设定为</w:t>
      </w:r>
      <w:r>
        <w:rPr>
          <w:rFonts w:hint="eastAsia"/>
          <w:sz w:val="24"/>
        </w:rPr>
        <w:t>30</w:t>
      </w:r>
      <w:r>
        <w:rPr>
          <w:rFonts w:hint="eastAsia"/>
          <w:sz w:val="24"/>
        </w:rPr>
        <w:t>个泊位以上。</w:t>
      </w:r>
    </w:p>
    <w:p w:rsidR="006150C7" w:rsidRDefault="00D11D99" w:rsidP="00665AE4">
      <w:pPr>
        <w:spacing w:line="360" w:lineRule="auto"/>
        <w:rPr>
          <w:sz w:val="24"/>
        </w:rPr>
      </w:pPr>
      <w:r>
        <w:rPr>
          <w:rFonts w:hint="eastAsia"/>
          <w:sz w:val="24"/>
        </w:rPr>
        <w:t>d</w:t>
      </w:r>
      <w:r>
        <w:rPr>
          <w:rFonts w:hint="eastAsia"/>
          <w:sz w:val="24"/>
        </w:rPr>
        <w:t>）背街小巷停车场</w:t>
      </w:r>
    </w:p>
    <w:p w:rsidR="006150C7" w:rsidRDefault="00D11D99" w:rsidP="00665AE4">
      <w:pPr>
        <w:spacing w:line="360" w:lineRule="auto"/>
        <w:ind w:firstLine="420"/>
        <w:rPr>
          <w:sz w:val="24"/>
        </w:rPr>
      </w:pPr>
      <w:r>
        <w:rPr>
          <w:rFonts w:hint="eastAsia"/>
          <w:sz w:val="24"/>
        </w:rPr>
        <w:t>背街小巷停车场安装三级诱导屏一方面是告知泊车者该停车场的位置，另一方面是为了缓解周边泊位紧张的停车场“停车难”问题。因此，安装三级诱导屏的背街小巷停车场分为停车密集区内背街小巷停车场及停车密集区周边背街小巷停车场。</w:t>
      </w:r>
    </w:p>
    <w:p w:rsidR="006150C7" w:rsidRDefault="00D11D99" w:rsidP="00665AE4">
      <w:pPr>
        <w:spacing w:line="360" w:lineRule="auto"/>
        <w:rPr>
          <w:sz w:val="24"/>
        </w:rPr>
      </w:pPr>
      <w:r>
        <w:rPr>
          <w:rFonts w:hint="eastAsia"/>
          <w:sz w:val="24"/>
        </w:rPr>
        <w:t>e</w:t>
      </w:r>
      <w:r>
        <w:rPr>
          <w:rFonts w:hint="eastAsia"/>
          <w:sz w:val="24"/>
        </w:rPr>
        <w:t>）停车需求弹性较大</w:t>
      </w:r>
    </w:p>
    <w:p w:rsidR="006150C7" w:rsidRDefault="00D11D99" w:rsidP="00665AE4">
      <w:pPr>
        <w:spacing w:line="360" w:lineRule="auto"/>
        <w:ind w:firstLine="420"/>
        <w:rPr>
          <w:sz w:val="24"/>
        </w:rPr>
      </w:pPr>
      <w:r>
        <w:rPr>
          <w:rFonts w:hint="eastAsia"/>
          <w:sz w:val="24"/>
        </w:rPr>
        <w:t>停车需求时间空间上峰谷变化明显，停车场诱导系统通过实时的空车位数据发布引导，起到停车动态的“削峰填谷”调节平衡作用。</w:t>
      </w:r>
    </w:p>
    <w:p w:rsidR="006150C7" w:rsidRDefault="00D11D99" w:rsidP="00665AE4">
      <w:pPr>
        <w:spacing w:line="360" w:lineRule="auto"/>
        <w:rPr>
          <w:sz w:val="24"/>
        </w:rPr>
      </w:pPr>
      <w:r>
        <w:rPr>
          <w:rFonts w:hint="eastAsia"/>
          <w:sz w:val="24"/>
        </w:rPr>
        <w:t>f</w:t>
      </w:r>
      <w:r>
        <w:rPr>
          <w:rFonts w:hint="eastAsia"/>
          <w:sz w:val="24"/>
        </w:rPr>
        <w:t>）便于管理部门协调的停车场（库）</w:t>
      </w:r>
    </w:p>
    <w:p w:rsidR="00A841B2" w:rsidRDefault="00D11D99" w:rsidP="008D5F3E">
      <w:pPr>
        <w:spacing w:line="360" w:lineRule="auto"/>
        <w:ind w:firstLine="420"/>
        <w:rPr>
          <w:sz w:val="24"/>
        </w:rPr>
      </w:pPr>
      <w:r>
        <w:rPr>
          <w:rFonts w:hint="eastAsia"/>
          <w:sz w:val="24"/>
        </w:rPr>
        <w:t>充分利用公共停车场库特性，政府投资建设公共停车场库停车诱导系统，发挥交通管理部门协调职能，配合政府部门做好试点工作。</w:t>
      </w:r>
    </w:p>
    <w:p w:rsidR="006150C7" w:rsidRPr="008D5F3E" w:rsidRDefault="00D11D99" w:rsidP="00665AE4">
      <w:pPr>
        <w:spacing w:line="360" w:lineRule="auto"/>
        <w:rPr>
          <w:sz w:val="24"/>
        </w:rPr>
      </w:pPr>
      <w:r w:rsidRPr="008D5F3E">
        <w:rPr>
          <w:rFonts w:hint="eastAsia"/>
          <w:sz w:val="24"/>
        </w:rPr>
        <w:t>三级诱导屏布置方案：</w:t>
      </w:r>
    </w:p>
    <w:p w:rsidR="006E6DFA" w:rsidRDefault="00D11D99" w:rsidP="00665AE4">
      <w:pPr>
        <w:spacing w:line="360" w:lineRule="auto"/>
        <w:rPr>
          <w:rFonts w:ascii="宋体" w:eastAsia="宋体" w:hAnsi="宋体" w:cs="宋体"/>
          <w:sz w:val="24"/>
        </w:rPr>
      </w:pPr>
      <w:r>
        <w:rPr>
          <w:rFonts w:ascii="宋体" w:eastAsia="宋体" w:hAnsi="宋体" w:cs="宋体" w:hint="eastAsia"/>
          <w:b/>
          <w:bCs/>
          <w:sz w:val="24"/>
        </w:rPr>
        <w:t xml:space="preserve">  </w:t>
      </w:r>
      <w:r>
        <w:rPr>
          <w:rFonts w:ascii="宋体" w:eastAsia="宋体" w:hAnsi="宋体" w:cs="宋体" w:hint="eastAsia"/>
          <w:sz w:val="24"/>
        </w:rPr>
        <w:t xml:space="preserve"> 设置停车场出入口附近，根据</w:t>
      </w:r>
      <w:r w:rsidR="00723B34">
        <w:rPr>
          <w:rFonts w:ascii="宋体" w:eastAsia="宋体" w:hAnsi="宋体" w:cs="宋体" w:hint="eastAsia"/>
          <w:sz w:val="24"/>
        </w:rPr>
        <w:t>政务服务中心</w:t>
      </w:r>
      <w:r>
        <w:rPr>
          <w:rFonts w:ascii="宋体" w:eastAsia="宋体" w:hAnsi="宋体" w:cs="宋体" w:hint="eastAsia"/>
          <w:sz w:val="24"/>
        </w:rPr>
        <w:t>具体停车场情况，三级诱导牌设置如下：</w:t>
      </w:r>
    </w:p>
    <w:p w:rsidR="006150C7" w:rsidRPr="005245CB" w:rsidRDefault="006E6DFA" w:rsidP="005245CB">
      <w:pPr>
        <w:pStyle w:val="a8"/>
        <w:numPr>
          <w:ilvl w:val="0"/>
          <w:numId w:val="19"/>
        </w:numPr>
        <w:spacing w:line="360" w:lineRule="auto"/>
        <w:ind w:firstLineChars="0"/>
        <w:rPr>
          <w:sz w:val="24"/>
        </w:rPr>
      </w:pPr>
      <w:r w:rsidRPr="005245CB">
        <w:rPr>
          <w:rFonts w:hint="eastAsia"/>
          <w:sz w:val="24"/>
        </w:rPr>
        <w:t>政务服务中心停车场</w:t>
      </w:r>
      <w:r w:rsidRPr="005245CB">
        <w:rPr>
          <w:sz w:val="24"/>
        </w:rPr>
        <w:tab/>
      </w:r>
      <w:r w:rsidRPr="005245CB">
        <w:rPr>
          <w:sz w:val="24"/>
        </w:rPr>
        <w:tab/>
      </w:r>
      <w:r w:rsidRPr="005245CB">
        <w:rPr>
          <w:sz w:val="24"/>
        </w:rPr>
        <w:tab/>
      </w:r>
      <w:r w:rsidRPr="005245CB">
        <w:rPr>
          <w:sz w:val="24"/>
        </w:rPr>
        <w:tab/>
      </w:r>
      <w:r w:rsidRPr="005245CB">
        <w:rPr>
          <w:sz w:val="24"/>
        </w:rPr>
        <w:tab/>
      </w:r>
      <w:r w:rsidR="00D11D99" w:rsidRPr="005245CB">
        <w:rPr>
          <w:rFonts w:hint="eastAsia"/>
          <w:sz w:val="24"/>
        </w:rPr>
        <w:t>三级牌</w:t>
      </w:r>
      <w:r w:rsidR="00245712" w:rsidRPr="005245CB">
        <w:rPr>
          <w:rFonts w:hint="eastAsia"/>
          <w:sz w:val="24"/>
        </w:rPr>
        <w:t xml:space="preserve"> </w:t>
      </w:r>
      <w:r w:rsidR="00E41329" w:rsidRPr="005245CB">
        <w:rPr>
          <w:rFonts w:hint="eastAsia"/>
          <w:sz w:val="24"/>
        </w:rPr>
        <w:t>1</w:t>
      </w:r>
      <w:r w:rsidR="00E41329" w:rsidRPr="005245CB">
        <w:rPr>
          <w:sz w:val="24"/>
        </w:rPr>
        <w:t xml:space="preserve"> </w:t>
      </w:r>
      <w:r w:rsidR="00D11D99" w:rsidRPr="005245CB">
        <w:rPr>
          <w:rFonts w:hint="eastAsia"/>
          <w:sz w:val="24"/>
        </w:rPr>
        <w:t>个</w:t>
      </w:r>
      <w:r w:rsidR="00D11D99" w:rsidRPr="005245CB">
        <w:rPr>
          <w:rFonts w:hint="eastAsia"/>
          <w:sz w:val="24"/>
        </w:rPr>
        <w:t xml:space="preserve">  </w:t>
      </w:r>
    </w:p>
    <w:p w:rsidR="006150C7" w:rsidRDefault="001B4592" w:rsidP="005701AC">
      <w:pPr>
        <w:pStyle w:val="4"/>
      </w:pPr>
      <w:r>
        <w:rPr>
          <w:rFonts w:hint="eastAsia"/>
        </w:rPr>
        <w:t>4.</w:t>
      </w:r>
      <w:r>
        <w:t>3.3</w:t>
      </w:r>
      <w:r>
        <w:tab/>
      </w:r>
      <w:r w:rsidR="00D11D99">
        <w:rPr>
          <w:rFonts w:hint="eastAsia"/>
          <w:szCs w:val="24"/>
        </w:rPr>
        <w:t>版面设计</w:t>
      </w:r>
    </w:p>
    <w:p w:rsidR="006150C7" w:rsidRDefault="006D4343" w:rsidP="00665AE4">
      <w:pPr>
        <w:spacing w:line="360" w:lineRule="auto"/>
        <w:rPr>
          <w:sz w:val="24"/>
        </w:rPr>
      </w:pPr>
      <w:r>
        <w:rPr>
          <w:rFonts w:hint="eastAsia"/>
          <w:sz w:val="24"/>
        </w:rPr>
        <w:t>1</w:t>
      </w:r>
      <w:r w:rsidR="00D11D99">
        <w:rPr>
          <w:rFonts w:hint="eastAsia"/>
          <w:sz w:val="24"/>
        </w:rPr>
        <w:t>）二级诱导屏版面</w:t>
      </w:r>
    </w:p>
    <w:p w:rsidR="006150C7" w:rsidRDefault="00D11D99" w:rsidP="00665AE4">
      <w:pPr>
        <w:spacing w:line="360" w:lineRule="auto"/>
        <w:rPr>
          <w:sz w:val="24"/>
        </w:rPr>
      </w:pPr>
      <w:r>
        <w:rPr>
          <w:rFonts w:hint="eastAsia"/>
          <w:sz w:val="24"/>
        </w:rPr>
        <w:t>版面设计参考《道路交通标志和标线</w:t>
      </w:r>
      <w:r>
        <w:rPr>
          <w:rFonts w:hint="eastAsia"/>
          <w:sz w:val="24"/>
        </w:rPr>
        <w:t xml:space="preserve"> GB5768-2009</w:t>
      </w:r>
      <w:r>
        <w:rPr>
          <w:rFonts w:hint="eastAsia"/>
          <w:sz w:val="24"/>
        </w:rPr>
        <w:t>》国标、《停车诱导系统技术</w:t>
      </w:r>
      <w:r>
        <w:rPr>
          <w:rFonts w:hint="eastAsia"/>
          <w:sz w:val="24"/>
        </w:rPr>
        <w:lastRenderedPageBreak/>
        <w:t>要求</w:t>
      </w:r>
      <w:r>
        <w:rPr>
          <w:rFonts w:hint="eastAsia"/>
          <w:sz w:val="24"/>
        </w:rPr>
        <w:t xml:space="preserve"> DB11T667-2009</w:t>
      </w:r>
      <w:r>
        <w:rPr>
          <w:rFonts w:hint="eastAsia"/>
          <w:sz w:val="24"/>
        </w:rPr>
        <w:t>》北京市地方标准。</w:t>
      </w:r>
    </w:p>
    <w:p w:rsidR="006150C7" w:rsidRDefault="00D11D99" w:rsidP="00665AE4">
      <w:pPr>
        <w:spacing w:line="360" w:lineRule="auto"/>
        <w:rPr>
          <w:sz w:val="24"/>
        </w:rPr>
      </w:pPr>
      <w:r>
        <w:rPr>
          <w:rFonts w:hint="eastAsia"/>
          <w:sz w:val="24"/>
        </w:rPr>
        <w:t>a</w:t>
      </w:r>
      <w:r>
        <w:rPr>
          <w:rFonts w:hint="eastAsia"/>
          <w:sz w:val="24"/>
        </w:rPr>
        <w:t>）主要参数</w:t>
      </w:r>
    </w:p>
    <w:p w:rsidR="006150C7" w:rsidRDefault="00D11D99" w:rsidP="00665AE4">
      <w:pPr>
        <w:spacing w:line="360" w:lineRule="auto"/>
        <w:ind w:firstLine="420"/>
        <w:rPr>
          <w:sz w:val="24"/>
        </w:rPr>
      </w:pPr>
      <w:r>
        <w:rPr>
          <w:rFonts w:hint="eastAsia"/>
          <w:sz w:val="24"/>
        </w:rPr>
        <w:t>二级发布屏的版面外型尺寸为</w:t>
      </w:r>
      <w:r>
        <w:rPr>
          <w:rFonts w:hint="eastAsia"/>
          <w:sz w:val="24"/>
        </w:rPr>
        <w:t>1700mm</w:t>
      </w:r>
      <w:r>
        <w:rPr>
          <w:rFonts w:hint="eastAsia"/>
          <w:sz w:val="24"/>
        </w:rPr>
        <w:t>×</w:t>
      </w:r>
      <w:r>
        <w:rPr>
          <w:rFonts w:hint="eastAsia"/>
          <w:sz w:val="24"/>
        </w:rPr>
        <w:t>2000mm</w:t>
      </w:r>
      <w:r>
        <w:rPr>
          <w:rFonts w:hint="eastAsia"/>
          <w:sz w:val="24"/>
        </w:rPr>
        <w:t>（</w:t>
      </w:r>
      <w:r>
        <w:rPr>
          <w:rFonts w:hint="eastAsia"/>
          <w:sz w:val="24"/>
        </w:rPr>
        <w:t>4LED</w:t>
      </w:r>
      <w:r>
        <w:rPr>
          <w:rFonts w:hint="eastAsia"/>
          <w:sz w:val="24"/>
        </w:rPr>
        <w:t>），单条信息条规格</w:t>
      </w:r>
      <w:r>
        <w:rPr>
          <w:rFonts w:hint="eastAsia"/>
          <w:sz w:val="24"/>
        </w:rPr>
        <w:t>1700mm</w:t>
      </w:r>
      <w:r>
        <w:rPr>
          <w:rFonts w:hint="eastAsia"/>
          <w:sz w:val="24"/>
        </w:rPr>
        <w:t>×</w:t>
      </w:r>
      <w:r>
        <w:rPr>
          <w:rFonts w:hint="eastAsia"/>
          <w:sz w:val="24"/>
        </w:rPr>
        <w:t>500mm</w:t>
      </w:r>
      <w:r>
        <w:rPr>
          <w:rFonts w:hint="eastAsia"/>
          <w:sz w:val="24"/>
        </w:rPr>
        <w:t>，可进行多窗口叠加，材料采用</w:t>
      </w:r>
      <w:r>
        <w:rPr>
          <w:rFonts w:hint="eastAsia"/>
          <w:sz w:val="24"/>
        </w:rPr>
        <w:t>3mm</w:t>
      </w:r>
      <w:r>
        <w:rPr>
          <w:rFonts w:hint="eastAsia"/>
          <w:sz w:val="24"/>
        </w:rPr>
        <w:t>厚度的</w:t>
      </w:r>
      <w:r>
        <w:rPr>
          <w:rFonts w:hint="eastAsia"/>
          <w:sz w:val="24"/>
        </w:rPr>
        <w:t>LF2</w:t>
      </w:r>
      <w:r>
        <w:rPr>
          <w:rFonts w:hint="eastAsia"/>
          <w:sz w:val="24"/>
        </w:rPr>
        <w:t>铝板，钻石级反光膜；</w:t>
      </w:r>
    </w:p>
    <w:p w:rsidR="006150C7" w:rsidRDefault="00D11D99" w:rsidP="00665AE4">
      <w:pPr>
        <w:spacing w:line="360" w:lineRule="auto"/>
        <w:rPr>
          <w:sz w:val="24"/>
        </w:rPr>
      </w:pPr>
      <w:r>
        <w:rPr>
          <w:rFonts w:hint="eastAsia"/>
          <w:sz w:val="24"/>
        </w:rPr>
        <w:t>设有停车场名称、方位距离指示标志、停车场标识和</w:t>
      </w:r>
      <w:r>
        <w:rPr>
          <w:rFonts w:hint="eastAsia"/>
          <w:sz w:val="24"/>
        </w:rPr>
        <w:t>3</w:t>
      </w:r>
      <w:r>
        <w:rPr>
          <w:rFonts w:hint="eastAsia"/>
          <w:sz w:val="24"/>
        </w:rPr>
        <w:t>位数的数字显示窗，数字显示窗用于显示停车场的空车位数量；</w:t>
      </w:r>
    </w:p>
    <w:p w:rsidR="006150C7" w:rsidRDefault="00D11D99" w:rsidP="00665AE4">
      <w:pPr>
        <w:spacing w:line="360" w:lineRule="auto"/>
        <w:rPr>
          <w:sz w:val="24"/>
        </w:rPr>
      </w:pPr>
      <w:r>
        <w:rPr>
          <w:rFonts w:hint="eastAsia"/>
          <w:sz w:val="24"/>
        </w:rPr>
        <w:t>二级诱导屏下方的全屏</w:t>
      </w:r>
      <w:r>
        <w:rPr>
          <w:rFonts w:hint="eastAsia"/>
          <w:sz w:val="24"/>
        </w:rPr>
        <w:t>LED</w:t>
      </w:r>
      <w:r>
        <w:rPr>
          <w:rFonts w:hint="eastAsia"/>
          <w:sz w:val="24"/>
        </w:rPr>
        <w:t>尺寸大小</w:t>
      </w:r>
      <w:r>
        <w:rPr>
          <w:rFonts w:hint="eastAsia"/>
          <w:sz w:val="24"/>
        </w:rPr>
        <w:t xml:space="preserve"> 1700mm</w:t>
      </w:r>
      <w:r>
        <w:rPr>
          <w:rFonts w:hint="eastAsia"/>
          <w:sz w:val="24"/>
        </w:rPr>
        <w:t>×</w:t>
      </w:r>
      <w:r>
        <w:rPr>
          <w:rFonts w:hint="eastAsia"/>
          <w:sz w:val="24"/>
        </w:rPr>
        <w:t xml:space="preserve">400mm </w:t>
      </w:r>
    </w:p>
    <w:p w:rsidR="006150C7" w:rsidRDefault="00D11D99" w:rsidP="00665AE4">
      <w:pPr>
        <w:spacing w:line="360" w:lineRule="auto"/>
        <w:rPr>
          <w:sz w:val="24"/>
        </w:rPr>
      </w:pPr>
      <w:r>
        <w:rPr>
          <w:rFonts w:hint="eastAsia"/>
          <w:sz w:val="24"/>
        </w:rPr>
        <w:t>内屏</w:t>
      </w:r>
      <w:r>
        <w:rPr>
          <w:rFonts w:hint="eastAsia"/>
          <w:sz w:val="24"/>
        </w:rPr>
        <w:t>LED</w:t>
      </w:r>
      <w:r>
        <w:rPr>
          <w:rFonts w:hint="eastAsia"/>
          <w:sz w:val="24"/>
        </w:rPr>
        <w:t>尺寸</w:t>
      </w:r>
      <w:r>
        <w:rPr>
          <w:rFonts w:hint="eastAsia"/>
          <w:sz w:val="24"/>
        </w:rPr>
        <w:t xml:space="preserve"> 1600mm</w:t>
      </w:r>
      <w:r>
        <w:rPr>
          <w:rFonts w:hint="eastAsia"/>
          <w:sz w:val="24"/>
        </w:rPr>
        <w:t>×</w:t>
      </w:r>
      <w:r>
        <w:rPr>
          <w:rFonts w:hint="eastAsia"/>
          <w:sz w:val="24"/>
        </w:rPr>
        <w:t xml:space="preserve">320mm </w:t>
      </w:r>
      <w:r>
        <w:rPr>
          <w:rFonts w:hint="eastAsia"/>
          <w:sz w:val="24"/>
        </w:rPr>
        <w:t>白平衡亮度：≥</w:t>
      </w:r>
      <w:r>
        <w:rPr>
          <w:rFonts w:hint="eastAsia"/>
          <w:sz w:val="24"/>
        </w:rPr>
        <w:t xml:space="preserve">5000 </w:t>
      </w:r>
      <w:r>
        <w:rPr>
          <w:rFonts w:ascii="宋体" w:hAnsi="宋体" w:hint="eastAsia"/>
          <w:szCs w:val="21"/>
        </w:rPr>
        <w:t>cd/m</w:t>
      </w:r>
      <w:r>
        <w:rPr>
          <w:rFonts w:ascii="宋体" w:hAnsi="宋体" w:hint="eastAsia"/>
          <w:szCs w:val="21"/>
          <w:vertAlign w:val="superscript"/>
        </w:rPr>
        <w:t xml:space="preserve">2 </w:t>
      </w:r>
    </w:p>
    <w:p w:rsidR="006150C7" w:rsidRDefault="00D11D99" w:rsidP="00665AE4">
      <w:pPr>
        <w:spacing w:line="360" w:lineRule="auto"/>
        <w:rPr>
          <w:sz w:val="24"/>
        </w:rPr>
      </w:pPr>
      <w:r>
        <w:rPr>
          <w:rFonts w:hint="eastAsia"/>
          <w:sz w:val="24"/>
        </w:rPr>
        <w:t>b</w:t>
      </w:r>
      <w:r>
        <w:rPr>
          <w:rFonts w:hint="eastAsia"/>
          <w:sz w:val="24"/>
        </w:rPr>
        <w:t>）尺寸详图</w:t>
      </w:r>
    </w:p>
    <w:p w:rsidR="006150C7" w:rsidRDefault="00D11D99" w:rsidP="00665AE4">
      <w:pPr>
        <w:spacing w:line="360" w:lineRule="auto"/>
        <w:ind w:firstLine="420"/>
        <w:rPr>
          <w:sz w:val="24"/>
        </w:rPr>
      </w:pPr>
      <w:r>
        <w:rPr>
          <w:rFonts w:hint="eastAsia"/>
          <w:sz w:val="24"/>
        </w:rPr>
        <w:t>二级诱导屏尺寸如下图所示。</w:t>
      </w:r>
    </w:p>
    <w:p w:rsidR="006150C7" w:rsidRDefault="00D11D99" w:rsidP="00665AE4">
      <w:pPr>
        <w:spacing w:line="360" w:lineRule="auto"/>
        <w:rPr>
          <w:sz w:val="24"/>
        </w:rPr>
      </w:pPr>
      <w:r>
        <w:rPr>
          <w:rFonts w:hint="eastAsia"/>
          <w:noProof/>
          <w:color w:val="000000"/>
        </w:rPr>
        <w:drawing>
          <wp:inline distT="0" distB="0" distL="114300" distR="114300">
            <wp:extent cx="5060950" cy="267271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rcRect t="4677" b="5132"/>
                    <a:stretch>
                      <a:fillRect/>
                    </a:stretch>
                  </pic:blipFill>
                  <pic:spPr>
                    <a:xfrm>
                      <a:off x="0" y="0"/>
                      <a:ext cx="5060950" cy="2672715"/>
                    </a:xfrm>
                    <a:prstGeom prst="rect">
                      <a:avLst/>
                    </a:prstGeom>
                    <a:noFill/>
                    <a:ln w="9525">
                      <a:noFill/>
                      <a:miter/>
                    </a:ln>
                  </pic:spPr>
                </pic:pic>
              </a:graphicData>
            </a:graphic>
          </wp:inline>
        </w:drawing>
      </w:r>
    </w:p>
    <w:p w:rsidR="006150C7" w:rsidRDefault="00D11D99" w:rsidP="00665AE4">
      <w:pPr>
        <w:spacing w:line="360" w:lineRule="auto"/>
        <w:rPr>
          <w:sz w:val="24"/>
        </w:rPr>
      </w:pPr>
      <w:r>
        <w:rPr>
          <w:rFonts w:hint="eastAsia"/>
          <w:sz w:val="24"/>
        </w:rPr>
        <w:t xml:space="preserve">                    </w:t>
      </w:r>
      <w:r>
        <w:rPr>
          <w:rFonts w:hint="eastAsia"/>
          <w:sz w:val="24"/>
        </w:rPr>
        <w:t>图</w:t>
      </w:r>
      <w:r>
        <w:rPr>
          <w:rFonts w:hint="eastAsia"/>
          <w:sz w:val="24"/>
        </w:rPr>
        <w:t xml:space="preserve">4 </w:t>
      </w:r>
      <w:r>
        <w:rPr>
          <w:rFonts w:hint="eastAsia"/>
          <w:sz w:val="24"/>
        </w:rPr>
        <w:t>二级诱导屏尺寸详图</w:t>
      </w:r>
    </w:p>
    <w:p w:rsidR="006150C7" w:rsidRDefault="00D11D99" w:rsidP="00665AE4">
      <w:pPr>
        <w:spacing w:line="360" w:lineRule="auto"/>
        <w:rPr>
          <w:sz w:val="24"/>
        </w:rPr>
      </w:pPr>
      <w:r>
        <w:rPr>
          <w:rFonts w:hint="eastAsia"/>
          <w:sz w:val="24"/>
        </w:rPr>
        <w:t>c</w:t>
      </w:r>
      <w:r>
        <w:rPr>
          <w:rFonts w:hint="eastAsia"/>
          <w:sz w:val="24"/>
        </w:rPr>
        <w:t>）示例</w:t>
      </w:r>
    </w:p>
    <w:p w:rsidR="006150C7" w:rsidRDefault="00D11D99" w:rsidP="00665AE4">
      <w:pPr>
        <w:spacing w:line="360" w:lineRule="auto"/>
        <w:rPr>
          <w:sz w:val="24"/>
        </w:rPr>
      </w:pPr>
      <w:r>
        <w:rPr>
          <w:rFonts w:hint="eastAsia"/>
          <w:sz w:val="24"/>
        </w:rPr>
        <w:t>二级诱导屏示例如下图所示。</w:t>
      </w:r>
    </w:p>
    <w:p w:rsidR="006150C7" w:rsidRDefault="00601EE4" w:rsidP="00665AE4">
      <w:pPr>
        <w:spacing w:line="360" w:lineRule="auto"/>
        <w:rPr>
          <w:sz w:val="24"/>
        </w:rPr>
      </w:pPr>
      <w:r>
        <w:rPr>
          <w:noProof/>
        </w:rPr>
        <w:lastRenderedPageBreak/>
        <w:drawing>
          <wp:inline distT="0" distB="0" distL="0" distR="0" wp14:anchorId="07F8F1A8" wp14:editId="745B7B97">
            <wp:extent cx="5274310" cy="47288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28845"/>
                    </a:xfrm>
                    <a:prstGeom prst="rect">
                      <a:avLst/>
                    </a:prstGeom>
                  </pic:spPr>
                </pic:pic>
              </a:graphicData>
            </a:graphic>
          </wp:inline>
        </w:drawing>
      </w:r>
    </w:p>
    <w:p w:rsidR="006150C7" w:rsidRDefault="00D11D99" w:rsidP="00665AE4">
      <w:pPr>
        <w:spacing w:line="360" w:lineRule="auto"/>
        <w:rPr>
          <w:sz w:val="24"/>
        </w:rPr>
      </w:pPr>
      <w:r>
        <w:rPr>
          <w:rFonts w:hint="eastAsia"/>
          <w:sz w:val="24"/>
        </w:rPr>
        <w:t xml:space="preserve">                       </w:t>
      </w:r>
      <w:r>
        <w:rPr>
          <w:rFonts w:hint="eastAsia"/>
          <w:sz w:val="24"/>
        </w:rPr>
        <w:t>图</w:t>
      </w:r>
      <w:r>
        <w:rPr>
          <w:rFonts w:hint="eastAsia"/>
          <w:sz w:val="24"/>
        </w:rPr>
        <w:t>5</w:t>
      </w:r>
      <w:r>
        <w:rPr>
          <w:rFonts w:hint="eastAsia"/>
          <w:sz w:val="24"/>
        </w:rPr>
        <w:t>二级诱导屏示例</w:t>
      </w:r>
    </w:p>
    <w:p w:rsidR="006150C7" w:rsidRDefault="006150C7" w:rsidP="00665AE4">
      <w:pPr>
        <w:spacing w:line="360" w:lineRule="auto"/>
        <w:rPr>
          <w:sz w:val="24"/>
        </w:rPr>
      </w:pPr>
    </w:p>
    <w:p w:rsidR="006150C7" w:rsidRPr="00E075B1" w:rsidRDefault="00D11D99" w:rsidP="00E075B1">
      <w:pPr>
        <w:pStyle w:val="a8"/>
        <w:numPr>
          <w:ilvl w:val="0"/>
          <w:numId w:val="5"/>
        </w:numPr>
        <w:spacing w:line="360" w:lineRule="auto"/>
        <w:ind w:firstLineChars="0"/>
        <w:rPr>
          <w:sz w:val="24"/>
        </w:rPr>
      </w:pPr>
      <w:r w:rsidRPr="00E075B1">
        <w:rPr>
          <w:rFonts w:hint="eastAsia"/>
          <w:sz w:val="24"/>
        </w:rPr>
        <w:t>三级诱导屏版面</w:t>
      </w:r>
    </w:p>
    <w:p w:rsidR="006150C7" w:rsidRDefault="00D11D99" w:rsidP="00665AE4">
      <w:pPr>
        <w:spacing w:line="360" w:lineRule="auto"/>
        <w:ind w:firstLine="420"/>
        <w:rPr>
          <w:sz w:val="24"/>
        </w:rPr>
      </w:pPr>
      <w:r>
        <w:rPr>
          <w:rFonts w:hint="eastAsia"/>
          <w:sz w:val="24"/>
        </w:rPr>
        <w:t>版面设计参考《道路交通标志和标线</w:t>
      </w:r>
      <w:r>
        <w:rPr>
          <w:rFonts w:hint="eastAsia"/>
          <w:sz w:val="24"/>
        </w:rPr>
        <w:t xml:space="preserve"> GB5768-2009</w:t>
      </w:r>
      <w:r>
        <w:rPr>
          <w:rFonts w:hint="eastAsia"/>
          <w:sz w:val="24"/>
        </w:rPr>
        <w:t>》国标、《停车诱导系统技术要求</w:t>
      </w:r>
      <w:r>
        <w:rPr>
          <w:rFonts w:hint="eastAsia"/>
          <w:sz w:val="24"/>
        </w:rPr>
        <w:t xml:space="preserve"> DB11T667-2009</w:t>
      </w:r>
      <w:r>
        <w:rPr>
          <w:rFonts w:hint="eastAsia"/>
          <w:sz w:val="24"/>
        </w:rPr>
        <w:t>》北京市地方标准。</w:t>
      </w:r>
    </w:p>
    <w:p w:rsidR="006150C7" w:rsidRDefault="00D11D99" w:rsidP="00665AE4">
      <w:pPr>
        <w:spacing w:line="360" w:lineRule="auto"/>
        <w:rPr>
          <w:sz w:val="24"/>
        </w:rPr>
      </w:pPr>
      <w:r>
        <w:rPr>
          <w:rFonts w:hint="eastAsia"/>
          <w:sz w:val="24"/>
        </w:rPr>
        <w:t>a</w:t>
      </w:r>
      <w:r>
        <w:rPr>
          <w:rFonts w:hint="eastAsia"/>
          <w:sz w:val="24"/>
        </w:rPr>
        <w:t>）主要参数</w:t>
      </w:r>
    </w:p>
    <w:p w:rsidR="006150C7" w:rsidRDefault="00D11D99" w:rsidP="00665AE4">
      <w:pPr>
        <w:spacing w:line="360" w:lineRule="auto"/>
        <w:ind w:firstLine="420"/>
        <w:rPr>
          <w:sz w:val="24"/>
        </w:rPr>
      </w:pPr>
      <w:r>
        <w:rPr>
          <w:rFonts w:hint="eastAsia"/>
          <w:sz w:val="24"/>
        </w:rPr>
        <w:t>三级发布屏版面外型尺寸为</w:t>
      </w:r>
      <w:r>
        <w:rPr>
          <w:rFonts w:hint="eastAsia"/>
          <w:sz w:val="24"/>
        </w:rPr>
        <w:t>1350mm</w:t>
      </w:r>
      <w:r>
        <w:rPr>
          <w:rFonts w:hint="eastAsia"/>
          <w:sz w:val="24"/>
        </w:rPr>
        <w:t>×</w:t>
      </w:r>
      <w:r>
        <w:rPr>
          <w:rFonts w:hint="eastAsia"/>
          <w:sz w:val="24"/>
        </w:rPr>
        <w:t>1050mm</w:t>
      </w:r>
      <w:r>
        <w:rPr>
          <w:rFonts w:hint="eastAsia"/>
          <w:sz w:val="24"/>
        </w:rPr>
        <w:t>，材料采用</w:t>
      </w:r>
      <w:r>
        <w:rPr>
          <w:rFonts w:hint="eastAsia"/>
          <w:sz w:val="24"/>
        </w:rPr>
        <w:t>3mm</w:t>
      </w:r>
      <w:r>
        <w:rPr>
          <w:rFonts w:hint="eastAsia"/>
          <w:sz w:val="24"/>
        </w:rPr>
        <w:t>厚度的</w:t>
      </w:r>
      <w:r>
        <w:rPr>
          <w:rFonts w:hint="eastAsia"/>
          <w:sz w:val="24"/>
        </w:rPr>
        <w:t>LF2</w:t>
      </w:r>
      <w:r>
        <w:rPr>
          <w:rFonts w:hint="eastAsia"/>
          <w:sz w:val="24"/>
        </w:rPr>
        <w:t>铝板，钻石级反光膜；</w:t>
      </w:r>
    </w:p>
    <w:p w:rsidR="006150C7" w:rsidRDefault="00D11D99" w:rsidP="00665AE4">
      <w:pPr>
        <w:spacing w:line="360" w:lineRule="auto"/>
        <w:rPr>
          <w:sz w:val="24"/>
        </w:rPr>
      </w:pPr>
      <w:r>
        <w:rPr>
          <w:rFonts w:hint="eastAsia"/>
          <w:sz w:val="24"/>
        </w:rPr>
        <w:t>设有停车场名称、方位指示标志、停车场标志和</w:t>
      </w:r>
      <w:r>
        <w:rPr>
          <w:rFonts w:hint="eastAsia"/>
          <w:sz w:val="24"/>
        </w:rPr>
        <w:t>3</w:t>
      </w:r>
      <w:r>
        <w:rPr>
          <w:rFonts w:hint="eastAsia"/>
          <w:sz w:val="24"/>
        </w:rPr>
        <w:t>位数的数字显示窗，数字显示窗用于显示该停车场的空车位数量；</w:t>
      </w:r>
    </w:p>
    <w:p w:rsidR="006150C7" w:rsidRDefault="00D11D99" w:rsidP="00665AE4">
      <w:pPr>
        <w:spacing w:line="360" w:lineRule="auto"/>
        <w:rPr>
          <w:sz w:val="24"/>
        </w:rPr>
      </w:pPr>
      <w:r>
        <w:rPr>
          <w:rFonts w:hint="eastAsia"/>
          <w:sz w:val="24"/>
        </w:rPr>
        <w:t>b</w:t>
      </w:r>
      <w:r>
        <w:rPr>
          <w:rFonts w:hint="eastAsia"/>
          <w:sz w:val="24"/>
        </w:rPr>
        <w:t>）尺寸详图</w:t>
      </w:r>
    </w:p>
    <w:p w:rsidR="006150C7" w:rsidRDefault="00D11D99" w:rsidP="00665AE4">
      <w:pPr>
        <w:spacing w:line="360" w:lineRule="auto"/>
        <w:rPr>
          <w:sz w:val="24"/>
        </w:rPr>
      </w:pPr>
      <w:r>
        <w:rPr>
          <w:rFonts w:hint="eastAsia"/>
          <w:sz w:val="24"/>
        </w:rPr>
        <w:t>三级诱导屏尺寸如下图所示。</w:t>
      </w:r>
    </w:p>
    <w:p w:rsidR="006150C7" w:rsidRDefault="00D11D99" w:rsidP="00665AE4">
      <w:pPr>
        <w:spacing w:line="360" w:lineRule="auto"/>
        <w:rPr>
          <w:sz w:val="24"/>
        </w:rPr>
      </w:pPr>
      <w:r>
        <w:rPr>
          <w:rFonts w:hint="eastAsia"/>
          <w:noProof/>
          <w:color w:val="000000"/>
        </w:rPr>
        <w:lastRenderedPageBreak/>
        <w:drawing>
          <wp:inline distT="0" distB="0" distL="114300" distR="114300">
            <wp:extent cx="3977640" cy="2820670"/>
            <wp:effectExtent l="0" t="0" r="381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977640" cy="2820670"/>
                    </a:xfrm>
                    <a:prstGeom prst="rect">
                      <a:avLst/>
                    </a:prstGeom>
                    <a:noFill/>
                    <a:ln w="9525">
                      <a:noFill/>
                      <a:miter/>
                    </a:ln>
                  </pic:spPr>
                </pic:pic>
              </a:graphicData>
            </a:graphic>
          </wp:inline>
        </w:drawing>
      </w:r>
    </w:p>
    <w:p w:rsidR="006150C7" w:rsidRDefault="00D11D99" w:rsidP="00665AE4">
      <w:pPr>
        <w:spacing w:line="360" w:lineRule="auto"/>
        <w:ind w:left="420" w:firstLine="420"/>
        <w:rPr>
          <w:sz w:val="24"/>
        </w:rPr>
      </w:pPr>
      <w:r>
        <w:rPr>
          <w:rFonts w:hint="eastAsia"/>
          <w:sz w:val="24"/>
        </w:rPr>
        <w:t>图</w:t>
      </w:r>
      <w:r>
        <w:rPr>
          <w:rFonts w:hint="eastAsia"/>
          <w:sz w:val="24"/>
        </w:rPr>
        <w:t xml:space="preserve">6 </w:t>
      </w:r>
      <w:r>
        <w:rPr>
          <w:rFonts w:hint="eastAsia"/>
          <w:sz w:val="24"/>
        </w:rPr>
        <w:t>三级诱导屏尺寸详图</w:t>
      </w:r>
    </w:p>
    <w:p w:rsidR="006150C7" w:rsidRDefault="00D11D99" w:rsidP="00665AE4">
      <w:pPr>
        <w:spacing w:line="360" w:lineRule="auto"/>
        <w:rPr>
          <w:sz w:val="24"/>
        </w:rPr>
      </w:pPr>
      <w:r>
        <w:rPr>
          <w:rFonts w:hint="eastAsia"/>
          <w:sz w:val="24"/>
        </w:rPr>
        <w:t>c</w:t>
      </w:r>
      <w:r>
        <w:rPr>
          <w:rFonts w:hint="eastAsia"/>
          <w:sz w:val="24"/>
        </w:rPr>
        <w:t>）示例</w:t>
      </w:r>
    </w:p>
    <w:p w:rsidR="006150C7" w:rsidRDefault="00D11D99" w:rsidP="00665AE4">
      <w:pPr>
        <w:spacing w:line="360" w:lineRule="auto"/>
        <w:rPr>
          <w:sz w:val="24"/>
        </w:rPr>
      </w:pPr>
      <w:r>
        <w:rPr>
          <w:rFonts w:hint="eastAsia"/>
          <w:sz w:val="24"/>
        </w:rPr>
        <w:t>三级诱导屏示例如下图所示。</w:t>
      </w:r>
    </w:p>
    <w:p w:rsidR="006150C7" w:rsidRDefault="00CE740B" w:rsidP="00CE740B">
      <w:pPr>
        <w:spacing w:line="360" w:lineRule="auto"/>
        <w:jc w:val="center"/>
        <w:rPr>
          <w:sz w:val="24"/>
        </w:rPr>
      </w:pPr>
      <w:r>
        <w:rPr>
          <w:noProof/>
        </w:rPr>
        <w:drawing>
          <wp:inline distT="0" distB="0" distL="0" distR="0" wp14:anchorId="3FF51CBB" wp14:editId="72E0005D">
            <wp:extent cx="5274310" cy="44589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58970"/>
                    </a:xfrm>
                    <a:prstGeom prst="rect">
                      <a:avLst/>
                    </a:prstGeom>
                  </pic:spPr>
                </pic:pic>
              </a:graphicData>
            </a:graphic>
          </wp:inline>
        </w:drawing>
      </w:r>
    </w:p>
    <w:p w:rsidR="006150C7" w:rsidRDefault="00D11D99" w:rsidP="00665AE4">
      <w:pPr>
        <w:spacing w:line="360" w:lineRule="auto"/>
        <w:rPr>
          <w:sz w:val="24"/>
        </w:rPr>
      </w:pPr>
      <w:r>
        <w:rPr>
          <w:rFonts w:hint="eastAsia"/>
          <w:sz w:val="24"/>
        </w:rPr>
        <w:t xml:space="preserve">                         </w:t>
      </w:r>
      <w:r>
        <w:rPr>
          <w:rFonts w:hint="eastAsia"/>
          <w:sz w:val="24"/>
        </w:rPr>
        <w:t>图</w:t>
      </w:r>
      <w:r>
        <w:rPr>
          <w:rFonts w:hint="eastAsia"/>
          <w:sz w:val="24"/>
        </w:rPr>
        <w:t xml:space="preserve">7 </w:t>
      </w:r>
      <w:r>
        <w:rPr>
          <w:rFonts w:hint="eastAsia"/>
          <w:sz w:val="24"/>
        </w:rPr>
        <w:t>三级诱导屏示例</w:t>
      </w:r>
    </w:p>
    <w:p w:rsidR="006150C7" w:rsidRPr="00EF69F1" w:rsidRDefault="00EF69F1" w:rsidP="00EF69F1">
      <w:pPr>
        <w:pStyle w:val="4"/>
      </w:pPr>
      <w:r>
        <w:rPr>
          <w:rFonts w:hint="eastAsia"/>
        </w:rPr>
        <w:lastRenderedPageBreak/>
        <w:t>4.</w:t>
      </w:r>
      <w:r>
        <w:t>3.4</w:t>
      </w:r>
      <w:r>
        <w:tab/>
      </w:r>
      <w:r w:rsidR="00D11D99" w:rsidRPr="007329CD">
        <w:rPr>
          <w:rFonts w:hint="eastAsia"/>
        </w:rPr>
        <w:t>技术要求</w:t>
      </w:r>
    </w:p>
    <w:p w:rsidR="006150C7" w:rsidRDefault="00D11D99" w:rsidP="00665AE4">
      <w:pPr>
        <w:spacing w:line="360" w:lineRule="auto"/>
        <w:rPr>
          <w:sz w:val="24"/>
        </w:rPr>
      </w:pPr>
      <w:r>
        <w:rPr>
          <w:rFonts w:hint="eastAsia"/>
          <w:sz w:val="24"/>
        </w:rPr>
        <w:t>1</w:t>
      </w:r>
      <w:r>
        <w:rPr>
          <w:rFonts w:hint="eastAsia"/>
          <w:sz w:val="24"/>
        </w:rPr>
        <w:t>）诱导屏基本功能</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显示功能。停车信息发布屏接收空车位数据后，可实时显示公共停车信息系统或区域停车信息中心的数据，显示内容为数字，并以红、绿两种颜色表示。</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可控制功能。停车信息发布屏接入系统后，能接收区域停车信息服务中心或公共停车信息系统的控制指令，并进行处理和执行。</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自检功能。停车信息发布屏设置自检功能。通过自检功能，将屏体状态正确检测出来，并向区域停车信息服务中心或公共停车信息系统发送自检结果。</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亮度调节功能。停车信息发布屏显示亮度分手动调节和自动调节两种方式。</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校时功能。停车信息发布屏可以接收校时指令，对自身的时钟进行校正。</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开关屏功能。停车信息发布屏可以通过接收开关指令来开关显示。</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最小间隔设置功能。若停车信息发布屏未收到区域停车信息服务中心或公共停车信息系统平台的通信控制指令时间超过最小通讯间隔，则自动黑屏；若最小通讯间隔为</w:t>
      </w:r>
      <w:r w:rsidRPr="005A24CB">
        <w:rPr>
          <w:rFonts w:hint="eastAsia"/>
          <w:sz w:val="24"/>
        </w:rPr>
        <w:t>0</w:t>
      </w:r>
      <w:r w:rsidRPr="005A24CB">
        <w:rPr>
          <w:rFonts w:hint="eastAsia"/>
          <w:sz w:val="24"/>
        </w:rPr>
        <w:t>，则不自动黑屏。</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对接收到的控制中心的数据或指令，提供运行结果返回。</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诱导屏应处在可控状态下运行，能通过监控中心进行远程的控制操作，包括开关屏、亮度调整、参数设置以及显示信息修改等。</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能实时自动检测诱导屏的工作状态并上传到控制中心，发生故障时自动黑屏。</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显示屏可根据外界光强变化自动调节显示屏亮度。</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显示屏具有电源故障检测及驱动故障检测并主动报警功能。</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显示屏可根据外界气温的变化，具有显示屏内温度检测和散热控制功能。</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停车管理信息中心具有对一块乃至全部室外显示屏设备进行开关机及重启功能。</w:t>
      </w:r>
    </w:p>
    <w:p w:rsidR="006150C7" w:rsidRPr="005A24CB" w:rsidRDefault="00D11D99" w:rsidP="005A24CB">
      <w:pPr>
        <w:pStyle w:val="a8"/>
        <w:numPr>
          <w:ilvl w:val="1"/>
          <w:numId w:val="11"/>
        </w:numPr>
        <w:spacing w:line="360" w:lineRule="auto"/>
        <w:ind w:firstLineChars="0"/>
        <w:rPr>
          <w:sz w:val="24"/>
        </w:rPr>
      </w:pPr>
      <w:r w:rsidRPr="005A24CB">
        <w:rPr>
          <w:rFonts w:hint="eastAsia"/>
          <w:sz w:val="24"/>
        </w:rPr>
        <w:t>停车管理信息中心具有对一块乃至全部显示屏联机进行时间校时的功能。</w:t>
      </w:r>
    </w:p>
    <w:p w:rsidR="006150C7" w:rsidRPr="005A24CB" w:rsidRDefault="00D11D99" w:rsidP="005A24CB">
      <w:pPr>
        <w:pStyle w:val="a8"/>
        <w:numPr>
          <w:ilvl w:val="0"/>
          <w:numId w:val="10"/>
        </w:numPr>
        <w:spacing w:line="360" w:lineRule="auto"/>
        <w:ind w:firstLineChars="0"/>
        <w:rPr>
          <w:sz w:val="24"/>
        </w:rPr>
      </w:pPr>
      <w:r w:rsidRPr="005A24CB">
        <w:rPr>
          <w:rFonts w:hint="eastAsia"/>
          <w:sz w:val="24"/>
        </w:rPr>
        <w:t>停车管理信息中心具有对一块乃至全部室外显示屏进行工作状态的查询并显示查询结果的功能。</w:t>
      </w:r>
    </w:p>
    <w:p w:rsidR="00486578" w:rsidRDefault="00486578" w:rsidP="00486578">
      <w:pPr>
        <w:spacing w:line="360" w:lineRule="auto"/>
        <w:rPr>
          <w:sz w:val="24"/>
        </w:rPr>
      </w:pPr>
    </w:p>
    <w:p w:rsidR="006150C7" w:rsidRPr="00486578" w:rsidRDefault="00BC0A62" w:rsidP="00486578">
      <w:pPr>
        <w:spacing w:line="360" w:lineRule="auto"/>
        <w:rPr>
          <w:sz w:val="24"/>
        </w:rPr>
      </w:pPr>
      <w:r>
        <w:rPr>
          <w:rFonts w:hint="eastAsia"/>
          <w:sz w:val="24"/>
        </w:rPr>
        <w:lastRenderedPageBreak/>
        <w:t>2</w:t>
      </w:r>
      <w:r>
        <w:rPr>
          <w:rFonts w:hint="eastAsia"/>
          <w:sz w:val="24"/>
        </w:rPr>
        <w:t>）</w:t>
      </w:r>
      <w:r w:rsidR="00D11D99" w:rsidRPr="00486578">
        <w:rPr>
          <w:rFonts w:hint="eastAsia"/>
          <w:sz w:val="24"/>
        </w:rPr>
        <w:t>诱导屏技术要求</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显示牌的大小规格、形状、材质、颜色、字体大小、安装位置等的设计与施工应符合国家规定。</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考虑将来停车场车位的扩充</w:t>
      </w:r>
      <w:r w:rsidRPr="004E20F0">
        <w:rPr>
          <w:rFonts w:hint="eastAsia"/>
          <w:sz w:val="24"/>
        </w:rPr>
        <w:t>,</w:t>
      </w:r>
      <w:r w:rsidRPr="004E20F0">
        <w:rPr>
          <w:rFonts w:hint="eastAsia"/>
          <w:sz w:val="24"/>
        </w:rPr>
        <w:t>泊位信息发布牌要求对每个停车场空位可显示三位有效数据。</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停车场名称和停车场诱导系统片区名称有中文和英文两种标识，并具备简单的指示停车场方向的信息，屏体所显示内容格式应符合有关规定。</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显示屏供电应优先考虑太阳能方式，对于不能实施的，应给出说明及解决方案。</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显示牌应保证在夜晚或光线阴暗时清晰易读，应设置补光灯，以避免夜晚</w:t>
      </w:r>
      <w:r w:rsidRPr="004E20F0">
        <w:rPr>
          <w:rFonts w:hint="eastAsia"/>
          <w:sz w:val="24"/>
        </w:rPr>
        <w:t>LED</w:t>
      </w:r>
      <w:r w:rsidRPr="004E20F0">
        <w:rPr>
          <w:rFonts w:hint="eastAsia"/>
          <w:sz w:val="24"/>
        </w:rPr>
        <w:t>屏的眩光，造成版面静态内容不易辨识。</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显示牌的设计及施工中需考虑设施的防雷及电源的稳定性等因素，采用合理有效的安全接地措施。</w:t>
      </w:r>
    </w:p>
    <w:p w:rsidR="006150C7" w:rsidRPr="004E20F0" w:rsidRDefault="00D11D99" w:rsidP="004E20F0">
      <w:pPr>
        <w:pStyle w:val="a8"/>
        <w:numPr>
          <w:ilvl w:val="0"/>
          <w:numId w:val="10"/>
        </w:numPr>
        <w:spacing w:line="360" w:lineRule="auto"/>
        <w:ind w:firstLineChars="0"/>
        <w:rPr>
          <w:sz w:val="24"/>
        </w:rPr>
      </w:pPr>
      <w:r w:rsidRPr="004E20F0">
        <w:rPr>
          <w:rFonts w:hint="eastAsia"/>
          <w:sz w:val="24"/>
        </w:rPr>
        <w:t>对于显示牌上空位信息显示单元，竞标商需要提供相应的设备组成、工作原理、技术指标（含功能指标、电气指标、环境适应性指标），应符合国家有关规定。</w:t>
      </w:r>
      <w:r w:rsidRPr="004E20F0">
        <w:rPr>
          <w:rFonts w:hint="eastAsia"/>
          <w:sz w:val="24"/>
        </w:rPr>
        <w:t>LED</w:t>
      </w:r>
      <w:r w:rsidRPr="004E20F0">
        <w:rPr>
          <w:rFonts w:hint="eastAsia"/>
          <w:sz w:val="24"/>
        </w:rPr>
        <w:t>屏应可根据外部光线自动调节亮度，并满足下列特定需求。</w:t>
      </w:r>
    </w:p>
    <w:p w:rsidR="006150C7" w:rsidRPr="00BD0F2D" w:rsidRDefault="00D11D99" w:rsidP="00E075B1">
      <w:pPr>
        <w:numPr>
          <w:ilvl w:val="0"/>
          <w:numId w:val="5"/>
        </w:numPr>
        <w:spacing w:line="360" w:lineRule="auto"/>
        <w:rPr>
          <w:sz w:val="24"/>
        </w:rPr>
      </w:pPr>
      <w:r w:rsidRPr="00BD0F2D">
        <w:rPr>
          <w:rFonts w:hint="eastAsia"/>
          <w:sz w:val="24"/>
        </w:rPr>
        <w:t>点阵</w:t>
      </w:r>
      <w:r w:rsidRPr="00BD0F2D">
        <w:rPr>
          <w:rFonts w:hint="eastAsia"/>
          <w:sz w:val="24"/>
        </w:rPr>
        <w:t>LED</w:t>
      </w:r>
      <w:r w:rsidRPr="00BD0F2D">
        <w:rPr>
          <w:rFonts w:hint="eastAsia"/>
          <w:sz w:val="24"/>
        </w:rPr>
        <w:t>屏技术参数要求</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具有定时和受控自检、故障报警功能；</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用于停车诱导信息实时显示的</w:t>
      </w:r>
      <w:r w:rsidRPr="004E20F0">
        <w:rPr>
          <w:rFonts w:hint="eastAsia"/>
          <w:sz w:val="24"/>
        </w:rPr>
        <w:t>LED</w:t>
      </w:r>
      <w:r w:rsidRPr="004E20F0">
        <w:rPr>
          <w:rFonts w:hint="eastAsia"/>
          <w:sz w:val="24"/>
        </w:rPr>
        <w:t>灯管采用知名品牌产品；</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复合</w:t>
      </w:r>
      <w:r w:rsidRPr="004E20F0">
        <w:rPr>
          <w:rFonts w:hint="eastAsia"/>
          <w:sz w:val="24"/>
        </w:rPr>
        <w:t>LED</w:t>
      </w:r>
      <w:r w:rsidRPr="004E20F0">
        <w:rPr>
          <w:rFonts w:hint="eastAsia"/>
          <w:sz w:val="24"/>
        </w:rPr>
        <w:t>规格：</w:t>
      </w:r>
      <w:r w:rsidRPr="004E20F0">
        <w:rPr>
          <w:rFonts w:hint="eastAsia"/>
          <w:sz w:val="24"/>
        </w:rPr>
        <w:t>P16 256*128</w:t>
      </w:r>
      <w:r w:rsidRPr="004E20F0">
        <w:rPr>
          <w:rFonts w:hint="eastAsia"/>
          <w:sz w:val="24"/>
        </w:rPr>
        <w:t>，</w:t>
      </w:r>
      <w:r w:rsidRPr="004E20F0">
        <w:rPr>
          <w:rFonts w:hint="eastAsia"/>
          <w:sz w:val="24"/>
        </w:rPr>
        <w:t>16*8</w:t>
      </w:r>
      <w:r w:rsidRPr="004E20F0">
        <w:rPr>
          <w:rFonts w:hint="eastAsia"/>
          <w:sz w:val="24"/>
        </w:rPr>
        <w:t>点</w:t>
      </w:r>
      <w:r w:rsidRPr="004E20F0">
        <w:rPr>
          <w:rFonts w:hint="eastAsia"/>
          <w:sz w:val="24"/>
        </w:rPr>
        <w:t xml:space="preserve"> </w:t>
      </w:r>
      <w:r w:rsidRPr="004E20F0">
        <w:rPr>
          <w:rFonts w:hint="eastAsia"/>
          <w:sz w:val="24"/>
        </w:rPr>
        <w:t>白平衡亮度：≥</w:t>
      </w:r>
      <w:r w:rsidRPr="004E20F0">
        <w:rPr>
          <w:rFonts w:hint="eastAsia"/>
          <w:sz w:val="24"/>
        </w:rPr>
        <w:t xml:space="preserve">9000 </w:t>
      </w:r>
      <w:r w:rsidRPr="004E20F0">
        <w:rPr>
          <w:rFonts w:ascii="宋体" w:hAnsi="宋体" w:hint="eastAsia"/>
          <w:szCs w:val="21"/>
        </w:rPr>
        <w:t>cd/m</w:t>
      </w:r>
      <w:r w:rsidRPr="004E20F0">
        <w:rPr>
          <w:rFonts w:ascii="宋体" w:hAnsi="宋体" w:hint="eastAsia"/>
          <w:szCs w:val="21"/>
          <w:vertAlign w:val="superscript"/>
        </w:rPr>
        <w:t xml:space="preserve">2  </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工作电压：交流</w:t>
      </w:r>
      <w:r w:rsidRPr="004E20F0">
        <w:rPr>
          <w:rFonts w:hint="eastAsia"/>
          <w:sz w:val="24"/>
        </w:rPr>
        <w:t>220V</w:t>
      </w:r>
      <w:r w:rsidRPr="004E20F0">
        <w:rPr>
          <w:rFonts w:hint="eastAsia"/>
          <w:sz w:val="24"/>
        </w:rPr>
        <w:t>±</w:t>
      </w:r>
      <w:r w:rsidRPr="004E20F0">
        <w:rPr>
          <w:rFonts w:hint="eastAsia"/>
          <w:sz w:val="24"/>
        </w:rPr>
        <w:t>10%</w:t>
      </w:r>
      <w:r w:rsidRPr="004E20F0">
        <w:rPr>
          <w:rFonts w:hint="eastAsia"/>
          <w:sz w:val="24"/>
        </w:rPr>
        <w:t>；供电电压：交流</w:t>
      </w:r>
      <w:r w:rsidRPr="004E20F0">
        <w:rPr>
          <w:rFonts w:hint="eastAsia"/>
          <w:sz w:val="24"/>
        </w:rPr>
        <w:t>220V</w:t>
      </w:r>
      <w:r w:rsidRPr="004E20F0">
        <w:rPr>
          <w:rFonts w:hint="eastAsia"/>
          <w:sz w:val="24"/>
        </w:rPr>
        <w:t>±</w:t>
      </w:r>
      <w:r w:rsidRPr="004E20F0">
        <w:rPr>
          <w:rFonts w:hint="eastAsia"/>
          <w:sz w:val="24"/>
        </w:rPr>
        <w:t>10%</w:t>
      </w:r>
      <w:r w:rsidRPr="004E20F0">
        <w:rPr>
          <w:rFonts w:hint="eastAsia"/>
          <w:sz w:val="24"/>
        </w:rPr>
        <w:t>，</w:t>
      </w:r>
      <w:r w:rsidRPr="004E20F0">
        <w:rPr>
          <w:rFonts w:hint="eastAsia"/>
          <w:sz w:val="24"/>
        </w:rPr>
        <w:t xml:space="preserve"> </w:t>
      </w:r>
      <w:r w:rsidRPr="004E20F0">
        <w:rPr>
          <w:rFonts w:hint="eastAsia"/>
          <w:sz w:val="24"/>
        </w:rPr>
        <w:t>每个显屏最大功耗</w:t>
      </w:r>
      <w:r w:rsidRPr="004E20F0">
        <w:rPr>
          <w:rFonts w:hint="eastAsia"/>
          <w:sz w:val="24"/>
        </w:rPr>
        <w:t>45W</w:t>
      </w:r>
      <w:r w:rsidRPr="004E20F0">
        <w:rPr>
          <w:rFonts w:hint="eastAsia"/>
          <w:sz w:val="24"/>
        </w:rPr>
        <w:t>；</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防盗措施：</w:t>
      </w:r>
      <w:r w:rsidRPr="004E20F0">
        <w:rPr>
          <w:rFonts w:hint="eastAsia"/>
          <w:sz w:val="24"/>
        </w:rPr>
        <w:t xml:space="preserve"> </w:t>
      </w:r>
      <w:r w:rsidRPr="004E20F0">
        <w:rPr>
          <w:rFonts w:hint="eastAsia"/>
          <w:sz w:val="24"/>
        </w:rPr>
        <w:t>箱体安装在高处，并且外箱体和内部设备均上锁；</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失控点：≤</w:t>
      </w:r>
      <w:r w:rsidRPr="004E20F0">
        <w:rPr>
          <w:rFonts w:hint="eastAsia"/>
          <w:sz w:val="24"/>
        </w:rPr>
        <w:t>1/20000</w:t>
      </w:r>
      <w:r w:rsidRPr="004E20F0">
        <w:rPr>
          <w:rFonts w:hint="eastAsia"/>
          <w:sz w:val="24"/>
        </w:rPr>
        <w:t>；</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连续工作时间：不间断；</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LED</w:t>
      </w:r>
      <w:r w:rsidRPr="004E20F0">
        <w:rPr>
          <w:rFonts w:hint="eastAsia"/>
          <w:sz w:val="24"/>
        </w:rPr>
        <w:t>管平均寿命：</w:t>
      </w:r>
      <w:r w:rsidRPr="004E20F0">
        <w:rPr>
          <w:rFonts w:hint="eastAsia"/>
          <w:sz w:val="24"/>
        </w:rPr>
        <w:t>10</w:t>
      </w:r>
      <w:r w:rsidRPr="004E20F0">
        <w:rPr>
          <w:rFonts w:hint="eastAsia"/>
          <w:sz w:val="24"/>
        </w:rPr>
        <w:t>万小时；</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LED</w:t>
      </w:r>
      <w:r w:rsidRPr="004E20F0">
        <w:rPr>
          <w:rFonts w:hint="eastAsia"/>
          <w:sz w:val="24"/>
        </w:rPr>
        <w:t>显示器件平均无故障工作时间：≥</w:t>
      </w:r>
      <w:r w:rsidRPr="004E20F0">
        <w:rPr>
          <w:rFonts w:hint="eastAsia"/>
          <w:sz w:val="24"/>
        </w:rPr>
        <w:t>10,000</w:t>
      </w:r>
      <w:r w:rsidRPr="004E20F0">
        <w:rPr>
          <w:rFonts w:hint="eastAsia"/>
          <w:sz w:val="24"/>
        </w:rPr>
        <w:t>小时；</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环境温度：－</w:t>
      </w:r>
      <w:r w:rsidRPr="004E20F0">
        <w:rPr>
          <w:rFonts w:hint="eastAsia"/>
          <w:sz w:val="24"/>
        </w:rPr>
        <w:t>35</w:t>
      </w:r>
      <w:r w:rsidRPr="004E20F0">
        <w:rPr>
          <w:rFonts w:hint="eastAsia"/>
          <w:sz w:val="24"/>
        </w:rPr>
        <w:t>℃～＋</w:t>
      </w:r>
      <w:r w:rsidRPr="004E20F0">
        <w:rPr>
          <w:rFonts w:hint="eastAsia"/>
          <w:sz w:val="24"/>
        </w:rPr>
        <w:t>65</w:t>
      </w:r>
      <w:r w:rsidRPr="004E20F0">
        <w:rPr>
          <w:rFonts w:hint="eastAsia"/>
          <w:sz w:val="24"/>
        </w:rPr>
        <w:t>℃；</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相对湿度：小于</w:t>
      </w:r>
      <w:r w:rsidRPr="004E20F0">
        <w:rPr>
          <w:rFonts w:hint="eastAsia"/>
          <w:sz w:val="24"/>
        </w:rPr>
        <w:t>95%</w:t>
      </w:r>
      <w:r w:rsidRPr="004E20F0">
        <w:rPr>
          <w:rFonts w:hint="eastAsia"/>
          <w:sz w:val="24"/>
        </w:rPr>
        <w:t>不结露；</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lastRenderedPageBreak/>
        <w:t>电气安全要求：保护接地端有标记，在熔断器和开关电源处有警告标志；</w:t>
      </w:r>
    </w:p>
    <w:p w:rsidR="006150C7" w:rsidRPr="004E20F0" w:rsidRDefault="00D11D99" w:rsidP="004E20F0">
      <w:pPr>
        <w:pStyle w:val="a8"/>
        <w:numPr>
          <w:ilvl w:val="0"/>
          <w:numId w:val="13"/>
        </w:numPr>
        <w:spacing w:line="360" w:lineRule="auto"/>
        <w:ind w:firstLineChars="0"/>
        <w:rPr>
          <w:sz w:val="24"/>
        </w:rPr>
      </w:pPr>
      <w:r w:rsidRPr="004E20F0">
        <w:rPr>
          <w:rFonts w:hint="eastAsia"/>
          <w:sz w:val="24"/>
        </w:rPr>
        <w:t>防护等级：</w:t>
      </w:r>
      <w:r w:rsidRPr="004E20F0">
        <w:rPr>
          <w:rFonts w:hint="eastAsia"/>
          <w:sz w:val="24"/>
        </w:rPr>
        <w:t>IP65</w:t>
      </w:r>
      <w:r w:rsidRPr="004E20F0">
        <w:rPr>
          <w:rFonts w:hint="eastAsia"/>
          <w:sz w:val="24"/>
        </w:rPr>
        <w:t>。</w:t>
      </w:r>
    </w:p>
    <w:p w:rsidR="006150C7" w:rsidRPr="00852AEE" w:rsidRDefault="00D11D99" w:rsidP="00E075B1">
      <w:pPr>
        <w:numPr>
          <w:ilvl w:val="0"/>
          <w:numId w:val="5"/>
        </w:numPr>
        <w:spacing w:line="360" w:lineRule="auto"/>
        <w:rPr>
          <w:sz w:val="24"/>
        </w:rPr>
      </w:pPr>
      <w:r w:rsidRPr="00852AEE">
        <w:rPr>
          <w:rFonts w:hint="eastAsia"/>
          <w:sz w:val="24"/>
        </w:rPr>
        <w:t>诱导屏安装及环境适应性要求</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显示屏体设置一般采用单臂悬挂式或者路侧立杆方式布置。立柱需采用热镀锌无缝钢管。</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LED</w:t>
      </w:r>
      <w:r w:rsidRPr="004E20F0">
        <w:rPr>
          <w:rFonts w:hint="eastAsia"/>
          <w:sz w:val="24"/>
        </w:rPr>
        <w:t>像素管的封装要求为防水、防灰、遮光、防腐蚀、利于散热的野外型组件。</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显示屏具有良好的防雨、防灰、散热性能，内部结构牢固可靠、安全合理、便于维护。</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显示屏应能抗</w:t>
      </w:r>
      <w:r w:rsidRPr="004E20F0">
        <w:rPr>
          <w:rFonts w:hint="eastAsia"/>
          <w:sz w:val="24"/>
        </w:rPr>
        <w:t>12</w:t>
      </w:r>
      <w:r w:rsidRPr="004E20F0">
        <w:rPr>
          <w:rFonts w:hint="eastAsia"/>
          <w:sz w:val="24"/>
        </w:rPr>
        <w:t>级以上大风。</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显示屏和控制箱内部结构牢固可靠、安全合理、便于维护，具有良好的防雨、防灰、散热、隔热性能。</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显示屏系统具有抗雷击功能。</w:t>
      </w:r>
    </w:p>
    <w:p w:rsidR="006150C7" w:rsidRPr="004E20F0" w:rsidRDefault="00D11D99" w:rsidP="004E20F0">
      <w:pPr>
        <w:pStyle w:val="a8"/>
        <w:numPr>
          <w:ilvl w:val="0"/>
          <w:numId w:val="15"/>
        </w:numPr>
        <w:spacing w:line="360" w:lineRule="auto"/>
        <w:ind w:firstLineChars="0"/>
        <w:rPr>
          <w:sz w:val="24"/>
        </w:rPr>
      </w:pPr>
      <w:r w:rsidRPr="004E20F0">
        <w:rPr>
          <w:rFonts w:hint="eastAsia"/>
          <w:sz w:val="24"/>
        </w:rPr>
        <w:t>显示屏器材应经过严格筛选，采取严格的三防措施。</w:t>
      </w:r>
    </w:p>
    <w:p w:rsidR="004A5957" w:rsidRDefault="004A5957" w:rsidP="004A5957">
      <w:pPr>
        <w:pStyle w:val="2"/>
      </w:pPr>
      <w:r>
        <w:rPr>
          <w:rFonts w:hint="eastAsia"/>
        </w:rPr>
        <w:t>5.</w:t>
      </w:r>
      <w:r w:rsidR="00BD519F">
        <w:rPr>
          <w:rFonts w:hint="eastAsia"/>
        </w:rPr>
        <w:t>地磁</w:t>
      </w:r>
      <w:r>
        <w:rPr>
          <w:rFonts w:hint="eastAsia"/>
        </w:rPr>
        <w:t>车位检测系统</w:t>
      </w:r>
    </w:p>
    <w:p w:rsidR="007A1FEB" w:rsidRPr="00C961AB" w:rsidRDefault="00AB2F22" w:rsidP="00C961AB">
      <w:pPr>
        <w:spacing w:line="360" w:lineRule="auto"/>
        <w:ind w:firstLine="420"/>
        <w:rPr>
          <w:sz w:val="24"/>
        </w:rPr>
      </w:pPr>
      <w:r>
        <w:rPr>
          <w:rFonts w:hint="eastAsia"/>
          <w:sz w:val="24"/>
        </w:rPr>
        <w:t>北京市政务服务中心静态交通智慧停车诱导系统</w:t>
      </w:r>
      <w:r w:rsidR="007A1FEB" w:rsidRPr="00C961AB">
        <w:rPr>
          <w:rFonts w:hint="eastAsia"/>
          <w:sz w:val="24"/>
        </w:rPr>
        <w:t>信息化建设方案中的路侧占道停车与封闭停车场出入检测智能管理系统，以地磁车辆探测器为传感器节点，以</w:t>
      </w:r>
      <w:r w:rsidR="007A1FEB" w:rsidRPr="00C961AB">
        <w:rPr>
          <w:rFonts w:hint="eastAsia"/>
          <w:sz w:val="24"/>
        </w:rPr>
        <w:t>433MHz</w:t>
      </w:r>
      <w:r w:rsidR="007A1FEB" w:rsidRPr="00C961AB">
        <w:rPr>
          <w:rFonts w:hint="eastAsia"/>
          <w:sz w:val="24"/>
        </w:rPr>
        <w:t>无线通信异构网技术为纽带，以独有的行车指引算法为指示的停车管理系统，</w:t>
      </w:r>
      <w:r w:rsidR="007A1FEB" w:rsidRPr="00C961AB">
        <w:rPr>
          <w:rFonts w:hint="eastAsia"/>
          <w:sz w:val="24"/>
        </w:rPr>
        <w:t xml:space="preserve"> </w:t>
      </w:r>
      <w:r w:rsidR="007A1FEB" w:rsidRPr="00C961AB">
        <w:rPr>
          <w:sz w:val="24"/>
        </w:rPr>
        <w:t>包含无线泊位检测器、中继器、地磁接收器</w:t>
      </w:r>
      <w:r w:rsidR="007A1FEB" w:rsidRPr="00C961AB">
        <w:rPr>
          <w:rFonts w:hint="eastAsia"/>
          <w:sz w:val="24"/>
        </w:rPr>
        <w:t>、系统管理软件</w:t>
      </w:r>
      <w:r w:rsidR="007A1FEB" w:rsidRPr="00C961AB">
        <w:rPr>
          <w:sz w:val="24"/>
        </w:rPr>
        <w:t>、</w:t>
      </w:r>
      <w:r w:rsidR="007A1FEB" w:rsidRPr="00C961AB">
        <w:rPr>
          <w:rFonts w:hint="eastAsia"/>
          <w:sz w:val="24"/>
        </w:rPr>
        <w:t>路边</w:t>
      </w:r>
      <w:r w:rsidR="007A1FEB" w:rsidRPr="00C961AB">
        <w:rPr>
          <w:sz w:val="24"/>
        </w:rPr>
        <w:t>占道停车数据中心服务器等。</w:t>
      </w:r>
    </w:p>
    <w:p w:rsidR="007A1FEB" w:rsidRPr="00C961AB" w:rsidRDefault="007A1FEB" w:rsidP="00C961AB">
      <w:pPr>
        <w:spacing w:line="360" w:lineRule="auto"/>
        <w:ind w:firstLine="420"/>
        <w:rPr>
          <w:sz w:val="24"/>
        </w:rPr>
      </w:pPr>
      <w:r w:rsidRPr="00C961AB">
        <w:rPr>
          <w:sz w:val="24"/>
        </w:rPr>
        <w:t>无线泊位检测器</w:t>
      </w:r>
      <w:r w:rsidRPr="00C961AB">
        <w:rPr>
          <w:rFonts w:hint="eastAsia"/>
          <w:sz w:val="24"/>
        </w:rPr>
        <w:t>通过对地球磁场变化的分析来检测车位的</w:t>
      </w:r>
      <w:r w:rsidRPr="00C961AB">
        <w:rPr>
          <w:sz w:val="24"/>
        </w:rPr>
        <w:t>停车情况</w:t>
      </w:r>
      <w:r w:rsidRPr="00C961AB">
        <w:rPr>
          <w:rFonts w:hint="eastAsia"/>
          <w:sz w:val="24"/>
        </w:rPr>
        <w:t>。</w:t>
      </w:r>
      <w:r w:rsidRPr="00C961AB">
        <w:rPr>
          <w:sz w:val="24"/>
        </w:rPr>
        <w:t>无线泊位检测器</w:t>
      </w:r>
      <w:r w:rsidRPr="00C961AB">
        <w:rPr>
          <w:rFonts w:hint="eastAsia"/>
          <w:sz w:val="24"/>
        </w:rPr>
        <w:t>埋于车位表面下或</w:t>
      </w:r>
      <w:r w:rsidRPr="00C961AB">
        <w:rPr>
          <w:sz w:val="24"/>
        </w:rPr>
        <w:t>贴在地面上</w:t>
      </w:r>
      <w:r w:rsidRPr="00C961AB">
        <w:rPr>
          <w:rFonts w:hint="eastAsia"/>
          <w:sz w:val="24"/>
        </w:rPr>
        <w:t>，每当车辆驶入有</w:t>
      </w:r>
      <w:r w:rsidRPr="00C961AB">
        <w:rPr>
          <w:sz w:val="24"/>
        </w:rPr>
        <w:t>泊位检测器的泊位</w:t>
      </w:r>
      <w:r w:rsidRPr="00C961AB">
        <w:rPr>
          <w:rFonts w:hint="eastAsia"/>
          <w:sz w:val="24"/>
        </w:rPr>
        <w:t>时泊位检测器根据地感周围磁场的变化检测到车辆的到来，并在信号稳定后，将此信号发送到安装在适当位置的中继器</w:t>
      </w:r>
      <w:r w:rsidRPr="00C961AB">
        <w:rPr>
          <w:sz w:val="24"/>
        </w:rPr>
        <w:t>，由中继器对信息进行转发，发送到地磁</w:t>
      </w:r>
      <w:r w:rsidRPr="00C961AB">
        <w:rPr>
          <w:rFonts w:hint="eastAsia"/>
          <w:sz w:val="24"/>
        </w:rPr>
        <w:t>接收器，再</w:t>
      </w:r>
      <w:r w:rsidRPr="00C961AB">
        <w:rPr>
          <w:sz w:val="24"/>
        </w:rPr>
        <w:t>传输到路边占道停车数据中心的服务器</w:t>
      </w:r>
      <w:r w:rsidRPr="00C961AB">
        <w:rPr>
          <w:rFonts w:hint="eastAsia"/>
          <w:sz w:val="24"/>
        </w:rPr>
        <w:t>。同样，当车辆离开时，传感器也能根据磁场的变化检测到此信息并告知中继器</w:t>
      </w:r>
      <w:r w:rsidRPr="00C961AB">
        <w:rPr>
          <w:sz w:val="24"/>
        </w:rPr>
        <w:t>，继而转发到</w:t>
      </w:r>
      <w:r w:rsidRPr="00C961AB">
        <w:rPr>
          <w:rFonts w:hint="eastAsia"/>
          <w:sz w:val="24"/>
        </w:rPr>
        <w:t>接收器，再传输到服务器，服务器</w:t>
      </w:r>
      <w:r w:rsidRPr="00C961AB">
        <w:rPr>
          <w:sz w:val="24"/>
        </w:rPr>
        <w:t>上的</w:t>
      </w:r>
      <w:r w:rsidRPr="00C961AB">
        <w:rPr>
          <w:rFonts w:hint="eastAsia"/>
          <w:sz w:val="24"/>
        </w:rPr>
        <w:t>后台应用软件根据信号刷新车位占用状态，这样，系统就可以准确掌握每个车位的实际占用情况。</w:t>
      </w:r>
      <w:r w:rsidRPr="00C961AB">
        <w:rPr>
          <w:sz w:val="24"/>
        </w:rPr>
        <w:t xml:space="preserve"> </w:t>
      </w:r>
    </w:p>
    <w:p w:rsidR="007A1FEB" w:rsidRDefault="007A1FEB" w:rsidP="00C961AB">
      <w:pPr>
        <w:spacing w:line="360" w:lineRule="auto"/>
        <w:ind w:firstLine="420"/>
        <w:rPr>
          <w:sz w:val="24"/>
        </w:rPr>
      </w:pPr>
      <w:r w:rsidRPr="00C961AB">
        <w:rPr>
          <w:rFonts w:hint="eastAsia"/>
          <w:sz w:val="24"/>
        </w:rPr>
        <w:lastRenderedPageBreak/>
        <w:t>通过</w:t>
      </w:r>
      <w:r w:rsidRPr="00C961AB">
        <w:rPr>
          <w:sz w:val="24"/>
        </w:rPr>
        <w:t>接口的方式可以</w:t>
      </w:r>
      <w:r w:rsidRPr="00C961AB">
        <w:rPr>
          <w:rFonts w:hint="eastAsia"/>
          <w:sz w:val="24"/>
        </w:rPr>
        <w:t>将</w:t>
      </w:r>
      <w:r w:rsidRPr="00C961AB">
        <w:rPr>
          <w:sz w:val="24"/>
        </w:rPr>
        <w:t>车位的</w:t>
      </w:r>
      <w:r w:rsidRPr="00C961AB">
        <w:rPr>
          <w:rFonts w:hint="eastAsia"/>
          <w:sz w:val="24"/>
        </w:rPr>
        <w:t>状态</w:t>
      </w:r>
      <w:r w:rsidRPr="00C961AB">
        <w:rPr>
          <w:sz w:val="24"/>
        </w:rPr>
        <w:t>发布到各种媒介上，如</w:t>
      </w:r>
      <w:r w:rsidRPr="00C961AB">
        <w:rPr>
          <w:rFonts w:hint="eastAsia"/>
          <w:sz w:val="24"/>
        </w:rPr>
        <w:t>城市</w:t>
      </w:r>
      <w:r w:rsidRPr="00C961AB">
        <w:rPr>
          <w:sz w:val="24"/>
        </w:rPr>
        <w:t>泊车</w:t>
      </w:r>
      <w:r w:rsidRPr="00C961AB">
        <w:rPr>
          <w:sz w:val="24"/>
        </w:rPr>
        <w:t>APP</w:t>
      </w:r>
      <w:r w:rsidRPr="00C961AB">
        <w:rPr>
          <w:sz w:val="24"/>
        </w:rPr>
        <w:t>、停车诱导屏、</w:t>
      </w:r>
      <w:r w:rsidRPr="00C961AB">
        <w:rPr>
          <w:rFonts w:hint="eastAsia"/>
          <w:sz w:val="24"/>
        </w:rPr>
        <w:t>交通</w:t>
      </w:r>
      <w:r w:rsidRPr="00C961AB">
        <w:rPr>
          <w:sz w:val="24"/>
        </w:rPr>
        <w:t>广播等。可</w:t>
      </w:r>
      <w:r w:rsidRPr="00C961AB">
        <w:rPr>
          <w:rFonts w:hint="eastAsia"/>
          <w:sz w:val="24"/>
        </w:rPr>
        <w:t>实时反映</w:t>
      </w:r>
      <w:r w:rsidRPr="00C961AB">
        <w:rPr>
          <w:sz w:val="24"/>
        </w:rPr>
        <w:t>当前车位的紧张情况。</w:t>
      </w:r>
    </w:p>
    <w:p w:rsidR="00AB2F22" w:rsidRDefault="00AB2F22" w:rsidP="00AB2F22">
      <w:pPr>
        <w:jc w:val="center"/>
      </w:pPr>
      <w:r>
        <w:rPr>
          <w:noProof/>
        </w:rPr>
        <w:drawing>
          <wp:inline distT="0" distB="0" distL="0" distR="0">
            <wp:extent cx="4531360" cy="34461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1360" cy="3446145"/>
                    </a:xfrm>
                    <a:prstGeom prst="rect">
                      <a:avLst/>
                    </a:prstGeom>
                    <a:noFill/>
                    <a:ln>
                      <a:noFill/>
                    </a:ln>
                  </pic:spPr>
                </pic:pic>
              </a:graphicData>
            </a:graphic>
          </wp:inline>
        </w:drawing>
      </w:r>
    </w:p>
    <w:p w:rsidR="00AB2F22" w:rsidRDefault="00AB2F22" w:rsidP="00AB2F22">
      <w:pPr>
        <w:jc w:val="center"/>
      </w:pPr>
      <w:r>
        <w:t>业务流程图</w:t>
      </w:r>
    </w:p>
    <w:p w:rsidR="00AB2F22" w:rsidRPr="00AB2F22" w:rsidRDefault="00AB2F22" w:rsidP="00104E42">
      <w:pPr>
        <w:spacing w:line="360" w:lineRule="auto"/>
        <w:rPr>
          <w:sz w:val="24"/>
        </w:rPr>
      </w:pPr>
    </w:p>
    <w:p w:rsidR="00104E42" w:rsidRDefault="00104E42" w:rsidP="00104E42">
      <w:pPr>
        <w:pStyle w:val="3"/>
      </w:pPr>
      <w:bookmarkStart w:id="0" w:name="_Toc462167566"/>
      <w:r>
        <w:rPr>
          <w:rFonts w:hint="eastAsia"/>
        </w:rPr>
        <w:t>5.1</w:t>
      </w:r>
      <w:r>
        <w:rPr>
          <w:rFonts w:hint="eastAsia"/>
        </w:rPr>
        <w:tab/>
      </w:r>
      <w:r>
        <w:tab/>
      </w:r>
      <w:r>
        <w:rPr>
          <w:rFonts w:hint="eastAsia"/>
        </w:rPr>
        <w:t>封闭停车出入口地磁流量检测系统</w:t>
      </w:r>
      <w:bookmarkEnd w:id="0"/>
    </w:p>
    <w:p w:rsidR="00104E42" w:rsidRDefault="00104E42" w:rsidP="00104E42">
      <w:r>
        <w:rPr>
          <w:noProof/>
        </w:rPr>
        <w:drawing>
          <wp:inline distT="0" distB="0" distL="0" distR="0">
            <wp:extent cx="5274945" cy="312547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3125470"/>
                    </a:xfrm>
                    <a:prstGeom prst="rect">
                      <a:avLst/>
                    </a:prstGeom>
                    <a:noFill/>
                    <a:ln>
                      <a:noFill/>
                    </a:ln>
                  </pic:spPr>
                </pic:pic>
              </a:graphicData>
            </a:graphic>
          </wp:inline>
        </w:drawing>
      </w:r>
    </w:p>
    <w:p w:rsidR="00104E42" w:rsidRDefault="00104E42" w:rsidP="00104E42"/>
    <w:p w:rsidR="00104E42" w:rsidRDefault="00104E42" w:rsidP="00104E42">
      <w:pPr>
        <w:jc w:val="center"/>
      </w:pPr>
      <w:r>
        <w:rPr>
          <w:rFonts w:hint="eastAsia"/>
        </w:rPr>
        <w:lastRenderedPageBreak/>
        <w:t>系统示意图</w:t>
      </w:r>
    </w:p>
    <w:p w:rsidR="00104E42" w:rsidRDefault="00104E42" w:rsidP="00386931">
      <w:pPr>
        <w:spacing w:line="360" w:lineRule="auto"/>
        <w:ind w:firstLine="420"/>
        <w:rPr>
          <w:sz w:val="24"/>
        </w:rPr>
      </w:pPr>
      <w:r w:rsidRPr="00386931">
        <w:rPr>
          <w:rFonts w:hint="eastAsia"/>
          <w:sz w:val="24"/>
        </w:rPr>
        <w:t>在停车场在入口和出口各安装两个地磁流量检测器，根据地磁检测器检测到车辆经过的不同顺序，如：</w:t>
      </w:r>
      <w:r w:rsidRPr="00386931">
        <w:rPr>
          <w:rFonts w:hint="eastAsia"/>
          <w:sz w:val="24"/>
        </w:rPr>
        <w:t>A</w:t>
      </w:r>
      <w:r w:rsidRPr="00386931">
        <w:rPr>
          <w:rFonts w:hint="eastAsia"/>
          <w:sz w:val="24"/>
        </w:rPr>
        <w:t>先检测到车辆，</w:t>
      </w:r>
      <w:r w:rsidRPr="00386931">
        <w:rPr>
          <w:rFonts w:hint="eastAsia"/>
          <w:sz w:val="24"/>
        </w:rPr>
        <w:t>B</w:t>
      </w:r>
      <w:r w:rsidRPr="00386931">
        <w:rPr>
          <w:rFonts w:hint="eastAsia"/>
          <w:sz w:val="24"/>
        </w:rPr>
        <w:t>随后检测到（设定一定的时间阈值），则为入口进入车辆；</w:t>
      </w:r>
      <w:r w:rsidRPr="00386931">
        <w:rPr>
          <w:rFonts w:hint="eastAsia"/>
          <w:sz w:val="24"/>
        </w:rPr>
        <w:t>C</w:t>
      </w:r>
      <w:r w:rsidRPr="00386931">
        <w:rPr>
          <w:rFonts w:hint="eastAsia"/>
          <w:sz w:val="24"/>
        </w:rPr>
        <w:t>先检测到车辆，</w:t>
      </w:r>
      <w:r w:rsidRPr="00386931">
        <w:rPr>
          <w:rFonts w:hint="eastAsia"/>
          <w:sz w:val="24"/>
        </w:rPr>
        <w:t>D</w:t>
      </w:r>
      <w:r w:rsidRPr="00386931">
        <w:rPr>
          <w:rFonts w:hint="eastAsia"/>
          <w:sz w:val="24"/>
        </w:rPr>
        <w:t>随后检测到，则为出口离开车辆，用以精确判断车辆的进</w:t>
      </w:r>
      <w:r w:rsidRPr="00386931">
        <w:rPr>
          <w:rFonts w:hint="eastAsia"/>
          <w:sz w:val="24"/>
        </w:rPr>
        <w:t>/</w:t>
      </w:r>
      <w:r w:rsidRPr="00386931">
        <w:rPr>
          <w:rFonts w:hint="eastAsia"/>
          <w:sz w:val="24"/>
        </w:rPr>
        <w:t>出数据。当地磁车位检测器获得所需信息后，通过中继器和网关将车辆进</w:t>
      </w:r>
      <w:r w:rsidRPr="00386931">
        <w:rPr>
          <w:rFonts w:hint="eastAsia"/>
          <w:sz w:val="24"/>
        </w:rPr>
        <w:t>/</w:t>
      </w:r>
      <w:r w:rsidRPr="00386931">
        <w:rPr>
          <w:rFonts w:hint="eastAsia"/>
          <w:sz w:val="24"/>
        </w:rPr>
        <w:t>出数据传输至中心服务器，中心服务器根据录入的停车场初始车位空余数据进行增减。</w:t>
      </w:r>
    </w:p>
    <w:p w:rsidR="005A1F50" w:rsidRDefault="005A1F50" w:rsidP="005A1F50">
      <w:pPr>
        <w:pStyle w:val="3"/>
      </w:pPr>
      <w:bookmarkStart w:id="1" w:name="_Toc462167568"/>
      <w:r>
        <w:rPr>
          <w:rFonts w:hint="eastAsia"/>
        </w:rPr>
        <w:t>5.2</w:t>
      </w:r>
      <w:r>
        <w:rPr>
          <w:rFonts w:hint="eastAsia"/>
        </w:rPr>
        <w:tab/>
      </w:r>
      <w:r>
        <w:rPr>
          <w:rFonts w:hint="eastAsia"/>
        </w:rPr>
        <w:tab/>
      </w:r>
      <w:r>
        <w:rPr>
          <w:rFonts w:hint="eastAsia"/>
        </w:rPr>
        <w:t>地磁车辆探测器</w:t>
      </w:r>
      <w:bookmarkEnd w:id="1"/>
    </w:p>
    <w:p w:rsidR="005A1F50" w:rsidRPr="003B70A3" w:rsidRDefault="005A1F50" w:rsidP="003B70A3">
      <w:pPr>
        <w:rPr>
          <w:sz w:val="24"/>
        </w:rPr>
      </w:pPr>
      <w:r w:rsidRPr="003B70A3">
        <w:rPr>
          <w:rFonts w:hint="eastAsia"/>
          <w:sz w:val="24"/>
        </w:rPr>
        <w:t>地磁车辆探测器，每个车位或停车场进出口安装，其功能和特色如下所述：</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通过磁传感技术探测车位是否有车。通过对车辆所处位置的地磁场的强度数据，来判定车位是否被占据。其具有低功耗、高可靠性、高准确性等特点。</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通过低功耗射频模块将车位信息发送给指定的转发器。采用低功耗无线射频模块，以自开发的算法为基础，将车位状态、探测器电池电量等信息发送给转发器。</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通过优化的外壳的结构设计，具有抗单轮</w:t>
      </w:r>
      <w:r w:rsidRPr="003B70A3">
        <w:rPr>
          <w:rFonts w:hint="eastAsia"/>
          <w:sz w:val="24"/>
          <w:szCs w:val="24"/>
        </w:rPr>
        <w:t>&gt;1.5</w:t>
      </w:r>
      <w:r w:rsidRPr="003B70A3">
        <w:rPr>
          <w:rFonts w:hint="eastAsia"/>
          <w:sz w:val="24"/>
          <w:szCs w:val="24"/>
        </w:rPr>
        <w:t>吨碾压的性能，且仅通过四个螺钉即可将车辆探测器进行固定，大大的减少了施工成本和布线成本。</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设备自动进入超低功耗模式。通过车辆来</w:t>
      </w:r>
      <w:r w:rsidRPr="003B70A3">
        <w:rPr>
          <w:rFonts w:hint="eastAsia"/>
          <w:sz w:val="24"/>
          <w:szCs w:val="24"/>
        </w:rPr>
        <w:t>/</w:t>
      </w:r>
      <w:r w:rsidRPr="003B70A3">
        <w:rPr>
          <w:rFonts w:hint="eastAsia"/>
          <w:sz w:val="24"/>
          <w:szCs w:val="24"/>
        </w:rPr>
        <w:t>往信号触发，在保证地磁车辆探测器电池使用年限的前提下，保证系统响应时间。</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具有故障上报并自重启功能。</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具有电量上报功能，准确监测探测器状态。</w:t>
      </w:r>
    </w:p>
    <w:p w:rsidR="005A1F50" w:rsidRPr="003B70A3" w:rsidRDefault="005A1F50" w:rsidP="00601F4E">
      <w:pPr>
        <w:pStyle w:val="a8"/>
        <w:numPr>
          <w:ilvl w:val="0"/>
          <w:numId w:val="17"/>
        </w:numPr>
        <w:spacing w:line="360" w:lineRule="auto"/>
        <w:ind w:left="284" w:firstLineChars="0" w:hanging="284"/>
        <w:rPr>
          <w:sz w:val="24"/>
          <w:szCs w:val="24"/>
        </w:rPr>
      </w:pPr>
      <w:r w:rsidRPr="003B70A3">
        <w:rPr>
          <w:rFonts w:hint="eastAsia"/>
          <w:sz w:val="24"/>
          <w:szCs w:val="24"/>
        </w:rPr>
        <w:t>具有通过手持设备，在不打开设备的情况下对设备进行设置和升级的功能。</w:t>
      </w:r>
    </w:p>
    <w:p w:rsidR="005A1F50" w:rsidRDefault="005A1F50" w:rsidP="005A1F50">
      <w:pPr>
        <w:pStyle w:val="a8"/>
        <w:spacing w:line="360" w:lineRule="auto"/>
        <w:ind w:left="990" w:firstLine="480"/>
        <w:jc w:val="center"/>
        <w:rPr>
          <w:rFonts w:ascii="宋体" w:hAnsi="宋体"/>
          <w:sz w:val="24"/>
          <w:szCs w:val="24"/>
        </w:rPr>
      </w:pPr>
    </w:p>
    <w:p w:rsidR="005A1F50" w:rsidRDefault="00B17218" w:rsidP="00B17218">
      <w:pPr>
        <w:pStyle w:val="a8"/>
        <w:spacing w:line="360" w:lineRule="auto"/>
        <w:ind w:left="990" w:firstLine="480"/>
        <w:rPr>
          <w:rFonts w:ascii="宋体" w:hAnsi="宋体"/>
          <w:sz w:val="24"/>
          <w:szCs w:val="24"/>
        </w:rPr>
      </w:pPr>
      <w:r w:rsidRPr="00B17218">
        <w:rPr>
          <w:rFonts w:ascii="宋体" w:hAnsi="宋体"/>
          <w:noProof/>
          <w:sz w:val="24"/>
          <w:szCs w:val="24"/>
        </w:rPr>
        <w:lastRenderedPageBreak/>
        <w:drawing>
          <wp:inline distT="0" distB="0" distL="0" distR="0" wp14:anchorId="6869BE6A" wp14:editId="09F1DD26">
            <wp:extent cx="2420620" cy="2113280"/>
            <wp:effectExtent l="0" t="0" r="0" b="1270"/>
            <wp:docPr id="15" name="图片 14"/>
            <wp:cNvGraphicFramePr/>
            <a:graphic xmlns:a="http://schemas.openxmlformats.org/drawingml/2006/main">
              <a:graphicData uri="http://schemas.openxmlformats.org/drawingml/2006/picture">
                <pic:pic xmlns:pic="http://schemas.openxmlformats.org/drawingml/2006/picture">
                  <pic:nvPicPr>
                    <pic:cNvPr id="15" name="图片 14"/>
                    <pic:cNvPicPr/>
                  </pic:nvPicPr>
                  <pic:blipFill>
                    <a:blip r:embed="rId18"/>
                    <a:srcRect/>
                    <a:stretch>
                      <a:fillRect/>
                    </a:stretch>
                  </pic:blipFill>
                  <pic:spPr bwMode="auto">
                    <a:xfrm>
                      <a:off x="0" y="0"/>
                      <a:ext cx="2420620" cy="2113280"/>
                    </a:xfrm>
                    <a:prstGeom prst="rect">
                      <a:avLst/>
                    </a:prstGeom>
                    <a:noFill/>
                    <a:ln w="9525">
                      <a:noFill/>
                      <a:miter lim="800000"/>
                      <a:headEnd/>
                      <a:tailEnd/>
                    </a:ln>
                  </pic:spPr>
                </pic:pic>
              </a:graphicData>
            </a:graphic>
          </wp:inline>
        </w:drawing>
      </w:r>
    </w:p>
    <w:p w:rsidR="005A1F50" w:rsidRPr="00B17218" w:rsidRDefault="00B17218" w:rsidP="00B17218">
      <w:pPr>
        <w:spacing w:line="360" w:lineRule="auto"/>
        <w:ind w:firstLineChars="975" w:firstLine="2340"/>
        <w:rPr>
          <w:rFonts w:ascii="宋体" w:hAnsi="宋体"/>
          <w:sz w:val="24"/>
        </w:rPr>
      </w:pPr>
      <w:r>
        <w:rPr>
          <w:rFonts w:ascii="宋体" w:hAnsi="宋体" w:hint="eastAsia"/>
          <w:sz w:val="24"/>
        </w:rPr>
        <w:t>流量</w:t>
      </w:r>
      <w:r w:rsidR="005A1F50" w:rsidRPr="00B17218">
        <w:rPr>
          <w:rFonts w:ascii="宋体" w:hAnsi="宋体" w:hint="eastAsia"/>
          <w:sz w:val="24"/>
        </w:rPr>
        <w:t>车辆探测器</w:t>
      </w:r>
    </w:p>
    <w:p w:rsidR="005A1F50" w:rsidRPr="00C51638" w:rsidRDefault="005A1F50" w:rsidP="005A1F50">
      <w:pPr>
        <w:spacing w:beforeLines="50" w:before="156" w:afterLines="50" w:after="156" w:line="400" w:lineRule="exact"/>
        <w:ind w:firstLineChars="200" w:firstLine="480"/>
        <w:rPr>
          <w:sz w:val="24"/>
        </w:rPr>
      </w:pPr>
      <w:r w:rsidRPr="00C51638">
        <w:rPr>
          <w:rFonts w:hint="eastAsia"/>
          <w:sz w:val="24"/>
        </w:rPr>
        <w:t>地磁车辆探测器采用的</w:t>
      </w:r>
      <w:r w:rsidRPr="00C51638">
        <w:rPr>
          <w:rFonts w:hint="eastAsia"/>
          <w:sz w:val="24"/>
        </w:rPr>
        <w:t>PC</w:t>
      </w:r>
      <w:r w:rsidRPr="00C51638">
        <w:rPr>
          <w:rFonts w:hint="eastAsia"/>
          <w:sz w:val="24"/>
        </w:rPr>
        <w:t>（聚碳酸酯）材料，具有高强度及弹性系数、高冲击强度、使用温度范围广，成形收缩率低、尺寸安定性良好，耐疲劳性佳，耐侯性佳，电气特性优，无臭无味对人体无害符合卫生安全，潮湿、高温下也能保持电性能稳定，是制造电子、电气设备的理想材料。探测器的特性如表所示。</w:t>
      </w:r>
    </w:p>
    <w:p w:rsidR="005A1F50" w:rsidRDefault="005A1F50" w:rsidP="005A1F50">
      <w:pPr>
        <w:spacing w:beforeLines="50" w:before="156" w:afterLines="50" w:after="156"/>
        <w:jc w:val="center"/>
        <w:rPr>
          <w:rFonts w:ascii="楷体_GB2312" w:eastAsia="楷体_GB2312"/>
          <w:szCs w:val="21"/>
        </w:rPr>
      </w:pPr>
      <w:r>
        <w:rPr>
          <w:rFonts w:ascii="楷体_GB2312" w:eastAsia="楷体_GB2312" w:hint="eastAsia"/>
          <w:szCs w:val="21"/>
        </w:rPr>
        <w:t>地磁车辆探测器特性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3557"/>
      </w:tblGrid>
      <w:tr w:rsidR="005A1F50" w:rsidTr="00910967">
        <w:trPr>
          <w:jc w:val="center"/>
        </w:trPr>
        <w:tc>
          <w:tcPr>
            <w:tcW w:w="2339" w:type="dxa"/>
            <w:vAlign w:val="center"/>
          </w:tcPr>
          <w:p w:rsidR="005A1F50" w:rsidRDefault="005A1F50" w:rsidP="00910967">
            <w:pPr>
              <w:rPr>
                <w:sz w:val="36"/>
                <w:szCs w:val="36"/>
              </w:rPr>
            </w:pPr>
            <w:r>
              <w:rPr>
                <w:rFonts w:hint="eastAsia"/>
              </w:rPr>
              <w:t>产品型号</w:t>
            </w:r>
          </w:p>
        </w:tc>
        <w:tc>
          <w:tcPr>
            <w:tcW w:w="3557" w:type="dxa"/>
          </w:tcPr>
          <w:p w:rsidR="005A1F50" w:rsidRDefault="005A1F50" w:rsidP="00910967">
            <w:r>
              <w:rPr>
                <w:rFonts w:hint="eastAsia"/>
              </w:rPr>
              <w:t>BW-SPS-001-T1</w:t>
            </w:r>
          </w:p>
        </w:tc>
      </w:tr>
      <w:tr w:rsidR="005A1F50" w:rsidTr="00910967">
        <w:trPr>
          <w:jc w:val="center"/>
        </w:trPr>
        <w:tc>
          <w:tcPr>
            <w:tcW w:w="2339" w:type="dxa"/>
            <w:vAlign w:val="center"/>
          </w:tcPr>
          <w:p w:rsidR="005A1F50" w:rsidRDefault="005A1F50" w:rsidP="00910967">
            <w:r>
              <w:rPr>
                <w:rFonts w:hint="eastAsia"/>
              </w:rPr>
              <w:t>工作频率</w:t>
            </w:r>
          </w:p>
        </w:tc>
        <w:tc>
          <w:tcPr>
            <w:tcW w:w="3557" w:type="dxa"/>
          </w:tcPr>
          <w:p w:rsidR="005A1F50" w:rsidRDefault="005A1F50" w:rsidP="00910967">
            <w:r>
              <w:rPr>
                <w:rFonts w:hint="eastAsia"/>
              </w:rPr>
              <w:t>433MHz</w:t>
            </w:r>
          </w:p>
        </w:tc>
      </w:tr>
      <w:tr w:rsidR="005A1F50" w:rsidTr="00910967">
        <w:trPr>
          <w:jc w:val="center"/>
        </w:trPr>
        <w:tc>
          <w:tcPr>
            <w:tcW w:w="2339" w:type="dxa"/>
            <w:vAlign w:val="center"/>
          </w:tcPr>
          <w:p w:rsidR="005A1F50" w:rsidRDefault="005A1F50" w:rsidP="00910967">
            <w:r>
              <w:rPr>
                <w:rFonts w:hint="eastAsia"/>
              </w:rPr>
              <w:t>响应时间</w:t>
            </w:r>
          </w:p>
        </w:tc>
        <w:tc>
          <w:tcPr>
            <w:tcW w:w="3557" w:type="dxa"/>
          </w:tcPr>
          <w:p w:rsidR="005A1F50" w:rsidRDefault="005A1F50" w:rsidP="00910967">
            <w:r>
              <w:rPr>
                <w:rFonts w:hint="eastAsia"/>
              </w:rPr>
              <w:t>5</w:t>
            </w:r>
            <w:r>
              <w:rPr>
                <w:rFonts w:hint="eastAsia"/>
              </w:rPr>
              <w:t>秒</w:t>
            </w:r>
          </w:p>
        </w:tc>
      </w:tr>
      <w:tr w:rsidR="005A1F50" w:rsidTr="00910967">
        <w:trPr>
          <w:jc w:val="center"/>
        </w:trPr>
        <w:tc>
          <w:tcPr>
            <w:tcW w:w="2339" w:type="dxa"/>
            <w:vAlign w:val="center"/>
          </w:tcPr>
          <w:p w:rsidR="005A1F50" w:rsidRDefault="005A1F50" w:rsidP="00910967">
            <w:pPr>
              <w:rPr>
                <w:sz w:val="36"/>
                <w:szCs w:val="36"/>
              </w:rPr>
            </w:pPr>
            <w:r>
              <w:rPr>
                <w:rFonts w:hint="eastAsia"/>
              </w:rPr>
              <w:t>检测半径</w:t>
            </w:r>
          </w:p>
        </w:tc>
        <w:tc>
          <w:tcPr>
            <w:tcW w:w="3557" w:type="dxa"/>
          </w:tcPr>
          <w:p w:rsidR="005A1F50" w:rsidRDefault="005A1F50" w:rsidP="00910967">
            <w:r>
              <w:rPr>
                <w:rFonts w:hint="eastAsia"/>
              </w:rPr>
              <w:t>0-2m</w:t>
            </w:r>
            <w:r>
              <w:rPr>
                <w:rFonts w:hint="eastAsia"/>
              </w:rPr>
              <w:t>可调</w:t>
            </w:r>
          </w:p>
        </w:tc>
      </w:tr>
      <w:tr w:rsidR="005A1F50" w:rsidTr="00910967">
        <w:trPr>
          <w:jc w:val="center"/>
        </w:trPr>
        <w:tc>
          <w:tcPr>
            <w:tcW w:w="2339" w:type="dxa"/>
            <w:vAlign w:val="center"/>
          </w:tcPr>
          <w:p w:rsidR="005A1F50" w:rsidRDefault="005A1F50" w:rsidP="00910967">
            <w:r>
              <w:rPr>
                <w:rFonts w:hint="eastAsia"/>
              </w:rPr>
              <w:t>检测高度</w:t>
            </w:r>
          </w:p>
        </w:tc>
        <w:tc>
          <w:tcPr>
            <w:tcW w:w="3557" w:type="dxa"/>
          </w:tcPr>
          <w:p w:rsidR="005A1F50" w:rsidRDefault="005A1F50" w:rsidP="00910967">
            <w:r>
              <w:rPr>
                <w:rFonts w:hint="eastAsia"/>
              </w:rPr>
              <w:t>80cm</w:t>
            </w:r>
          </w:p>
        </w:tc>
      </w:tr>
      <w:tr w:rsidR="005A1F50" w:rsidTr="00910967">
        <w:trPr>
          <w:jc w:val="center"/>
        </w:trPr>
        <w:tc>
          <w:tcPr>
            <w:tcW w:w="2339" w:type="dxa"/>
            <w:vAlign w:val="center"/>
          </w:tcPr>
          <w:p w:rsidR="005A1F50" w:rsidRDefault="005A1F50" w:rsidP="00910967">
            <w:r>
              <w:rPr>
                <w:rFonts w:hint="eastAsia"/>
              </w:rPr>
              <w:t>检测种类</w:t>
            </w:r>
          </w:p>
        </w:tc>
        <w:tc>
          <w:tcPr>
            <w:tcW w:w="3557" w:type="dxa"/>
          </w:tcPr>
          <w:p w:rsidR="005A1F50" w:rsidRDefault="005A1F50" w:rsidP="00910967">
            <w:r>
              <w:rPr>
                <w:rFonts w:hint="eastAsia"/>
              </w:rPr>
              <w:t>轿车、工程车、客车、货车等各种机动车类型</w:t>
            </w:r>
          </w:p>
        </w:tc>
      </w:tr>
      <w:tr w:rsidR="005A1F50" w:rsidTr="00910967">
        <w:trPr>
          <w:jc w:val="center"/>
        </w:trPr>
        <w:tc>
          <w:tcPr>
            <w:tcW w:w="2339" w:type="dxa"/>
            <w:vAlign w:val="center"/>
          </w:tcPr>
          <w:p w:rsidR="005A1F50" w:rsidRDefault="005A1F50" w:rsidP="00910967">
            <w:r>
              <w:rPr>
                <w:rFonts w:hint="eastAsia"/>
              </w:rPr>
              <w:t>检测准确度</w:t>
            </w:r>
          </w:p>
        </w:tc>
        <w:tc>
          <w:tcPr>
            <w:tcW w:w="3557" w:type="dxa"/>
          </w:tcPr>
          <w:p w:rsidR="005A1F50" w:rsidRDefault="005A1F50" w:rsidP="00910967">
            <w:r>
              <w:rPr>
                <w:rFonts w:hint="eastAsia"/>
              </w:rPr>
              <w:t>&gt;98%</w:t>
            </w:r>
          </w:p>
        </w:tc>
      </w:tr>
      <w:tr w:rsidR="005A1F50" w:rsidTr="00910967">
        <w:trPr>
          <w:jc w:val="center"/>
        </w:trPr>
        <w:tc>
          <w:tcPr>
            <w:tcW w:w="2339" w:type="dxa"/>
            <w:vAlign w:val="center"/>
          </w:tcPr>
          <w:p w:rsidR="005A1F50" w:rsidRDefault="005A1F50" w:rsidP="00910967">
            <w:r>
              <w:rPr>
                <w:rFonts w:hint="eastAsia"/>
              </w:rPr>
              <w:t>使用寿命</w:t>
            </w:r>
          </w:p>
        </w:tc>
        <w:tc>
          <w:tcPr>
            <w:tcW w:w="3557" w:type="dxa"/>
          </w:tcPr>
          <w:p w:rsidR="005A1F50" w:rsidRDefault="005A1F50" w:rsidP="00910967">
            <w:r>
              <w:rPr>
                <w:rFonts w:hint="eastAsia"/>
              </w:rPr>
              <w:t>设计寿命</w:t>
            </w:r>
            <w:r>
              <w:rPr>
                <w:rFonts w:hint="eastAsia"/>
              </w:rPr>
              <w:t>10</w:t>
            </w:r>
            <w:r>
              <w:rPr>
                <w:rFonts w:hint="eastAsia"/>
              </w:rPr>
              <w:t>年，实际寿命</w:t>
            </w:r>
            <w:r>
              <w:rPr>
                <w:rFonts w:hint="eastAsia"/>
              </w:rPr>
              <w:t>&gt;5</w:t>
            </w:r>
            <w:r>
              <w:rPr>
                <w:rFonts w:hint="eastAsia"/>
              </w:rPr>
              <w:t>年</w:t>
            </w:r>
          </w:p>
        </w:tc>
      </w:tr>
      <w:tr w:rsidR="005A1F50" w:rsidTr="00910967">
        <w:trPr>
          <w:jc w:val="center"/>
        </w:trPr>
        <w:tc>
          <w:tcPr>
            <w:tcW w:w="2339" w:type="dxa"/>
            <w:vAlign w:val="center"/>
          </w:tcPr>
          <w:p w:rsidR="005A1F50" w:rsidRDefault="005A1F50" w:rsidP="00910967">
            <w:r>
              <w:rPr>
                <w:rFonts w:hint="eastAsia"/>
              </w:rPr>
              <w:t>工作温度</w:t>
            </w:r>
          </w:p>
        </w:tc>
        <w:tc>
          <w:tcPr>
            <w:tcW w:w="3557" w:type="dxa"/>
          </w:tcPr>
          <w:p w:rsidR="005A1F50" w:rsidRDefault="005A1F50" w:rsidP="00910967">
            <w:r>
              <w:rPr>
                <w:rFonts w:hint="eastAsia"/>
              </w:rPr>
              <w:t>-20</w:t>
            </w:r>
            <w:r>
              <w:rPr>
                <w:rFonts w:hint="eastAsia"/>
              </w:rPr>
              <w:t>～</w:t>
            </w:r>
            <w:r>
              <w:rPr>
                <w:rFonts w:hint="eastAsia"/>
              </w:rPr>
              <w:t>85</w:t>
            </w:r>
            <w:r>
              <w:rPr>
                <w:rFonts w:hint="eastAsia"/>
                <w:vertAlign w:val="superscript"/>
              </w:rPr>
              <w:t>o</w:t>
            </w:r>
            <w:r>
              <w:rPr>
                <w:rFonts w:hint="eastAsia"/>
              </w:rPr>
              <w:t>C</w:t>
            </w:r>
          </w:p>
        </w:tc>
      </w:tr>
      <w:tr w:rsidR="005A1F50" w:rsidTr="00910967">
        <w:trPr>
          <w:jc w:val="center"/>
        </w:trPr>
        <w:tc>
          <w:tcPr>
            <w:tcW w:w="2339" w:type="dxa"/>
            <w:vAlign w:val="center"/>
          </w:tcPr>
          <w:p w:rsidR="005A1F50" w:rsidRDefault="005A1F50" w:rsidP="00910967">
            <w:r>
              <w:rPr>
                <w:rFonts w:hint="eastAsia"/>
              </w:rPr>
              <w:t>平均工作电流</w:t>
            </w:r>
          </w:p>
        </w:tc>
        <w:tc>
          <w:tcPr>
            <w:tcW w:w="3557" w:type="dxa"/>
          </w:tcPr>
          <w:p w:rsidR="005A1F50" w:rsidRDefault="005A1F50" w:rsidP="00910967">
            <w:r>
              <w:rPr>
                <w:rFonts w:hint="eastAsia"/>
              </w:rPr>
              <w:t>&lt;100</w:t>
            </w:r>
            <w:r>
              <w:rPr>
                <w:rFonts w:hint="eastAsia"/>
              </w:rPr>
              <w:t>μ</w:t>
            </w:r>
            <w:r>
              <w:rPr>
                <w:rFonts w:hint="eastAsia"/>
              </w:rPr>
              <w:t>A@3.6V</w:t>
            </w:r>
          </w:p>
        </w:tc>
      </w:tr>
      <w:tr w:rsidR="005A1F50" w:rsidTr="00910967">
        <w:trPr>
          <w:jc w:val="center"/>
        </w:trPr>
        <w:tc>
          <w:tcPr>
            <w:tcW w:w="2339" w:type="dxa"/>
            <w:tcBorders>
              <w:top w:val="single" w:sz="4" w:space="0" w:color="auto"/>
              <w:left w:val="single" w:sz="4" w:space="0" w:color="auto"/>
              <w:bottom w:val="single" w:sz="4" w:space="0" w:color="auto"/>
              <w:right w:val="single" w:sz="4" w:space="0" w:color="auto"/>
            </w:tcBorders>
            <w:vAlign w:val="center"/>
          </w:tcPr>
          <w:p w:rsidR="005A1F50" w:rsidRDefault="005A1F50" w:rsidP="00910967">
            <w:r>
              <w:rPr>
                <w:rFonts w:hint="eastAsia"/>
              </w:rPr>
              <w:t>防尘防水</w:t>
            </w:r>
          </w:p>
        </w:tc>
        <w:tc>
          <w:tcPr>
            <w:tcW w:w="3557" w:type="dxa"/>
            <w:tcBorders>
              <w:top w:val="single" w:sz="4" w:space="0" w:color="auto"/>
              <w:left w:val="single" w:sz="4" w:space="0" w:color="auto"/>
              <w:bottom w:val="single" w:sz="4" w:space="0" w:color="auto"/>
              <w:right w:val="single" w:sz="4" w:space="0" w:color="auto"/>
            </w:tcBorders>
          </w:tcPr>
          <w:p w:rsidR="005A1F50" w:rsidRDefault="005A1F50" w:rsidP="00910967">
            <w:r>
              <w:rPr>
                <w:rFonts w:hint="eastAsia"/>
              </w:rPr>
              <w:t>IP68</w:t>
            </w:r>
          </w:p>
        </w:tc>
      </w:tr>
      <w:tr w:rsidR="005A1F50" w:rsidTr="00910967">
        <w:trPr>
          <w:jc w:val="center"/>
        </w:trPr>
        <w:tc>
          <w:tcPr>
            <w:tcW w:w="2339" w:type="dxa"/>
            <w:tcBorders>
              <w:top w:val="single" w:sz="4" w:space="0" w:color="auto"/>
              <w:left w:val="single" w:sz="4" w:space="0" w:color="auto"/>
              <w:bottom w:val="single" w:sz="4" w:space="0" w:color="auto"/>
              <w:right w:val="single" w:sz="4" w:space="0" w:color="auto"/>
            </w:tcBorders>
            <w:vAlign w:val="center"/>
          </w:tcPr>
          <w:p w:rsidR="005A1F50" w:rsidRDefault="005A1F50" w:rsidP="00910967">
            <w:r>
              <w:rPr>
                <w:rFonts w:hint="eastAsia"/>
              </w:rPr>
              <w:t>探测器表面抗碾压能力</w:t>
            </w:r>
          </w:p>
        </w:tc>
        <w:tc>
          <w:tcPr>
            <w:tcW w:w="3557" w:type="dxa"/>
            <w:tcBorders>
              <w:top w:val="single" w:sz="4" w:space="0" w:color="auto"/>
              <w:left w:val="single" w:sz="4" w:space="0" w:color="auto"/>
              <w:bottom w:val="single" w:sz="4" w:space="0" w:color="auto"/>
              <w:right w:val="single" w:sz="4" w:space="0" w:color="auto"/>
            </w:tcBorders>
          </w:tcPr>
          <w:p w:rsidR="005A1F50" w:rsidRDefault="005A1F50" w:rsidP="00910967">
            <w:r>
              <w:rPr>
                <w:rFonts w:hint="eastAsia"/>
              </w:rPr>
              <w:t>&gt;10kN</w:t>
            </w:r>
          </w:p>
        </w:tc>
      </w:tr>
      <w:tr w:rsidR="005A1F50" w:rsidTr="00910967">
        <w:trPr>
          <w:trHeight w:val="311"/>
          <w:jc w:val="center"/>
        </w:trPr>
        <w:tc>
          <w:tcPr>
            <w:tcW w:w="2339" w:type="dxa"/>
            <w:tcBorders>
              <w:left w:val="single" w:sz="4" w:space="0" w:color="auto"/>
              <w:bottom w:val="single" w:sz="4" w:space="0" w:color="auto"/>
              <w:right w:val="single" w:sz="4" w:space="0" w:color="auto"/>
            </w:tcBorders>
            <w:vAlign w:val="center"/>
          </w:tcPr>
          <w:p w:rsidR="005A1F50" w:rsidRDefault="005A1F50" w:rsidP="00910967">
            <w:r>
              <w:rPr>
                <w:rFonts w:hint="eastAsia"/>
              </w:rPr>
              <w:t>外壳尺寸</w:t>
            </w:r>
          </w:p>
        </w:tc>
        <w:tc>
          <w:tcPr>
            <w:tcW w:w="3557" w:type="dxa"/>
            <w:tcBorders>
              <w:top w:val="single" w:sz="4" w:space="0" w:color="auto"/>
              <w:left w:val="single" w:sz="4" w:space="0" w:color="auto"/>
              <w:bottom w:val="single" w:sz="4" w:space="0" w:color="auto"/>
              <w:right w:val="single" w:sz="4" w:space="0" w:color="auto"/>
            </w:tcBorders>
          </w:tcPr>
          <w:p w:rsidR="005A1F50" w:rsidRDefault="005A1F50" w:rsidP="00910967">
            <w:r>
              <w:rPr>
                <w:rFonts w:hint="eastAsia"/>
              </w:rPr>
              <w:t>Φ</w:t>
            </w:r>
            <w:r>
              <w:rPr>
                <w:rFonts w:hint="eastAsia"/>
              </w:rPr>
              <w:t>10</w:t>
            </w:r>
            <w:r>
              <w:rPr>
                <w:rFonts w:hint="eastAsia"/>
              </w:rPr>
              <w:t>×</w:t>
            </w:r>
            <w:r>
              <w:rPr>
                <w:rFonts w:hint="eastAsia"/>
              </w:rPr>
              <w:t>8cm</w:t>
            </w:r>
          </w:p>
        </w:tc>
      </w:tr>
      <w:tr w:rsidR="005A1F50" w:rsidTr="00910967">
        <w:trPr>
          <w:jc w:val="center"/>
        </w:trPr>
        <w:tc>
          <w:tcPr>
            <w:tcW w:w="5896" w:type="dxa"/>
            <w:gridSpan w:val="2"/>
            <w:vAlign w:val="center"/>
          </w:tcPr>
          <w:p w:rsidR="005A1F50" w:rsidRDefault="005A1F50" w:rsidP="00910967">
            <w:r>
              <w:rPr>
                <w:rFonts w:hint="eastAsia"/>
              </w:rPr>
              <w:t>电池可拆卸</w:t>
            </w:r>
          </w:p>
        </w:tc>
      </w:tr>
    </w:tbl>
    <w:p w:rsidR="005A1F50" w:rsidRDefault="005A1F50" w:rsidP="005A1F50"/>
    <w:p w:rsidR="005A1F50" w:rsidRDefault="002B062A" w:rsidP="002B062A">
      <w:pPr>
        <w:pStyle w:val="3"/>
      </w:pPr>
      <w:bookmarkStart w:id="2" w:name="_Toc462167569"/>
      <w:r>
        <w:rPr>
          <w:rFonts w:hint="eastAsia"/>
        </w:rPr>
        <w:t>5.3</w:t>
      </w:r>
      <w:r>
        <w:rPr>
          <w:rFonts w:hint="eastAsia"/>
        </w:rPr>
        <w:tab/>
      </w:r>
      <w:r>
        <w:tab/>
      </w:r>
      <w:r w:rsidR="005A1F50">
        <w:rPr>
          <w:rFonts w:hint="eastAsia"/>
        </w:rPr>
        <w:t>转发器</w:t>
      </w:r>
      <w:bookmarkEnd w:id="2"/>
    </w:p>
    <w:p w:rsidR="005A1F50" w:rsidRPr="004E6970" w:rsidRDefault="005A1F50" w:rsidP="005A1F50">
      <w:pPr>
        <w:ind w:firstLineChars="200" w:firstLine="480"/>
        <w:rPr>
          <w:sz w:val="24"/>
        </w:rPr>
      </w:pPr>
      <w:r w:rsidRPr="004E6970">
        <w:rPr>
          <w:rFonts w:hint="eastAsia"/>
          <w:sz w:val="24"/>
        </w:rPr>
        <w:t>无线转发器负责将探测器信息收集并上传至网关，同时将其车位占有信息发送给当前的指示灯。转发器最大可接收具有以下功能和特点：</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与所属车辆探测器通过</w:t>
      </w:r>
      <w:r w:rsidRPr="00C51C52">
        <w:rPr>
          <w:rFonts w:hint="eastAsia"/>
          <w:sz w:val="24"/>
          <w:szCs w:val="24"/>
        </w:rPr>
        <w:t>433MHz</w:t>
      </w:r>
      <w:r w:rsidRPr="00C51C52">
        <w:rPr>
          <w:rFonts w:hint="eastAsia"/>
          <w:sz w:val="24"/>
          <w:szCs w:val="24"/>
        </w:rPr>
        <w:t>无线传感网通信，准确的将车辆探测器</w:t>
      </w:r>
      <w:r w:rsidRPr="00C51C52">
        <w:rPr>
          <w:rFonts w:hint="eastAsia"/>
          <w:sz w:val="24"/>
          <w:szCs w:val="24"/>
        </w:rPr>
        <w:lastRenderedPageBreak/>
        <w:t>上报的信息收集；</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每个转发器可收集直径</w:t>
      </w:r>
      <w:r w:rsidRPr="00C51C52">
        <w:rPr>
          <w:rFonts w:hint="eastAsia"/>
          <w:sz w:val="24"/>
          <w:szCs w:val="24"/>
        </w:rPr>
        <w:t>50m</w:t>
      </w:r>
      <w:r w:rsidRPr="00C51C52">
        <w:rPr>
          <w:rFonts w:hint="eastAsia"/>
          <w:sz w:val="24"/>
          <w:szCs w:val="24"/>
        </w:rPr>
        <w:t>内所有车辆探测器的信息；</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汇总所属所有车辆探测器状态，并通过</w:t>
      </w:r>
      <w:r w:rsidRPr="00C51C52">
        <w:rPr>
          <w:rFonts w:hint="eastAsia"/>
          <w:sz w:val="24"/>
          <w:szCs w:val="24"/>
        </w:rPr>
        <w:t>2.4GHz</w:t>
      </w:r>
      <w:r w:rsidRPr="00C51C52">
        <w:rPr>
          <w:rFonts w:hint="eastAsia"/>
          <w:sz w:val="24"/>
          <w:szCs w:val="24"/>
        </w:rPr>
        <w:t>无线传感网上报给网关；</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采用</w:t>
      </w:r>
      <w:r w:rsidRPr="00C51C52">
        <w:rPr>
          <w:rFonts w:hint="eastAsia"/>
          <w:sz w:val="24"/>
          <w:szCs w:val="24"/>
        </w:rPr>
        <w:t>24V</w:t>
      </w:r>
      <w:r w:rsidRPr="00C51C52">
        <w:rPr>
          <w:rFonts w:hint="eastAsia"/>
          <w:sz w:val="24"/>
          <w:szCs w:val="24"/>
        </w:rPr>
        <w:t>弱电供电，安全性和可靠性大大加强；</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具备自检，故障自动重启，以及故障上报功能；</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支持不开设备的情况下对设备固件进行升级；</w:t>
      </w:r>
    </w:p>
    <w:p w:rsidR="005A1F50" w:rsidRPr="00C51C52" w:rsidRDefault="005A1F50" w:rsidP="005A1F50">
      <w:pPr>
        <w:pStyle w:val="a8"/>
        <w:numPr>
          <w:ilvl w:val="0"/>
          <w:numId w:val="18"/>
        </w:numPr>
        <w:spacing w:line="360" w:lineRule="auto"/>
        <w:ind w:firstLineChars="0"/>
        <w:rPr>
          <w:sz w:val="24"/>
          <w:szCs w:val="24"/>
        </w:rPr>
      </w:pPr>
      <w:r w:rsidRPr="00C51C52">
        <w:rPr>
          <w:rFonts w:hint="eastAsia"/>
          <w:sz w:val="24"/>
          <w:szCs w:val="24"/>
        </w:rPr>
        <w:t>支持不打开设备的情况下对设备进行参数的无线设置和升级。</w:t>
      </w:r>
    </w:p>
    <w:p w:rsidR="005A1F50" w:rsidRDefault="005A1F50" w:rsidP="005A1F50">
      <w:pPr>
        <w:pStyle w:val="a8"/>
        <w:spacing w:line="360" w:lineRule="auto"/>
        <w:ind w:left="900" w:firstLine="480"/>
        <w:jc w:val="center"/>
        <w:rPr>
          <w:rFonts w:ascii="宋体" w:hAnsi="宋体"/>
          <w:sz w:val="24"/>
          <w:szCs w:val="24"/>
        </w:rPr>
      </w:pPr>
      <w:r>
        <w:rPr>
          <w:rFonts w:ascii="宋体" w:hAnsi="宋体"/>
          <w:noProof/>
          <w:sz w:val="24"/>
          <w:szCs w:val="24"/>
        </w:rPr>
        <w:drawing>
          <wp:inline distT="0" distB="0" distL="0" distR="0">
            <wp:extent cx="1378585" cy="1746885"/>
            <wp:effectExtent l="0" t="0" r="0" b="5715"/>
            <wp:docPr id="8" name="图片 8" descr="C:\Documents and Settings\LWL\桌面\基站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Documents and Settings\LWL\桌面\基站副本.png"/>
                    <pic:cNvPicPr>
                      <a:picLocks noChangeAspect="1" noChangeArrowheads="1"/>
                    </pic:cNvPicPr>
                  </pic:nvPicPr>
                  <pic:blipFill>
                    <a:blip r:embed="rId19">
                      <a:extLst>
                        <a:ext uri="{28A0092B-C50C-407E-A947-70E740481C1C}">
                          <a14:useLocalDpi xmlns:a14="http://schemas.microsoft.com/office/drawing/2010/main" val="0"/>
                        </a:ext>
                      </a:extLst>
                    </a:blip>
                    <a:srcRect l="28439" t="6128" r="37952" b="18800"/>
                    <a:stretch>
                      <a:fillRect/>
                    </a:stretch>
                  </pic:blipFill>
                  <pic:spPr bwMode="auto">
                    <a:xfrm>
                      <a:off x="0" y="0"/>
                      <a:ext cx="1378585" cy="1746885"/>
                    </a:xfrm>
                    <a:prstGeom prst="rect">
                      <a:avLst/>
                    </a:prstGeom>
                    <a:noFill/>
                    <a:ln>
                      <a:noFill/>
                    </a:ln>
                  </pic:spPr>
                </pic:pic>
              </a:graphicData>
            </a:graphic>
          </wp:inline>
        </w:drawing>
      </w:r>
    </w:p>
    <w:p w:rsidR="005A1F50" w:rsidRDefault="005A1F50" w:rsidP="005A1F50">
      <w:pPr>
        <w:pStyle w:val="a8"/>
        <w:spacing w:line="360" w:lineRule="auto"/>
        <w:ind w:left="900" w:firstLine="480"/>
        <w:jc w:val="center"/>
        <w:rPr>
          <w:rFonts w:ascii="宋体" w:hAnsi="宋体"/>
          <w:sz w:val="24"/>
          <w:szCs w:val="24"/>
        </w:rPr>
      </w:pPr>
      <w:r>
        <w:rPr>
          <w:rFonts w:ascii="宋体" w:hAnsi="宋体" w:hint="eastAsia"/>
          <w:sz w:val="24"/>
          <w:szCs w:val="24"/>
        </w:rPr>
        <w:t>转发器特性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276"/>
        <w:gridCol w:w="3273"/>
      </w:tblGrid>
      <w:tr w:rsidR="005A1F50" w:rsidTr="00910967">
        <w:trPr>
          <w:jc w:val="center"/>
        </w:trPr>
        <w:tc>
          <w:tcPr>
            <w:tcW w:w="2623" w:type="dxa"/>
            <w:gridSpan w:val="2"/>
            <w:vAlign w:val="center"/>
          </w:tcPr>
          <w:p w:rsidR="005A1F50" w:rsidRDefault="005A1F50" w:rsidP="00910967">
            <w:pPr>
              <w:rPr>
                <w:sz w:val="36"/>
                <w:szCs w:val="36"/>
              </w:rPr>
            </w:pPr>
            <w:r>
              <w:rPr>
                <w:rFonts w:hint="eastAsia"/>
              </w:rPr>
              <w:t>产品型号</w:t>
            </w:r>
          </w:p>
        </w:tc>
        <w:tc>
          <w:tcPr>
            <w:tcW w:w="3273" w:type="dxa"/>
          </w:tcPr>
          <w:p w:rsidR="005A1F50" w:rsidRDefault="005A1F50" w:rsidP="00910967">
            <w:r>
              <w:rPr>
                <w:rFonts w:hint="eastAsia"/>
              </w:rPr>
              <w:t>BW-SPS-001-J1</w:t>
            </w:r>
          </w:p>
        </w:tc>
      </w:tr>
      <w:tr w:rsidR="005A1F50" w:rsidTr="00910967">
        <w:trPr>
          <w:jc w:val="center"/>
        </w:trPr>
        <w:tc>
          <w:tcPr>
            <w:tcW w:w="2623" w:type="dxa"/>
            <w:gridSpan w:val="2"/>
            <w:vAlign w:val="center"/>
          </w:tcPr>
          <w:p w:rsidR="005A1F50" w:rsidRDefault="005A1F50" w:rsidP="00910967">
            <w:r>
              <w:rPr>
                <w:rFonts w:hint="eastAsia"/>
              </w:rPr>
              <w:t>使用寿命</w:t>
            </w:r>
          </w:p>
        </w:tc>
        <w:tc>
          <w:tcPr>
            <w:tcW w:w="3273" w:type="dxa"/>
          </w:tcPr>
          <w:p w:rsidR="005A1F50" w:rsidRDefault="005A1F50" w:rsidP="00910967">
            <w:r>
              <w:rPr>
                <w:rFonts w:hint="eastAsia"/>
              </w:rPr>
              <w:t>10</w:t>
            </w:r>
            <w:r>
              <w:rPr>
                <w:rFonts w:hint="eastAsia"/>
              </w:rPr>
              <w:t>年</w:t>
            </w:r>
          </w:p>
        </w:tc>
      </w:tr>
      <w:tr w:rsidR="005A1F50" w:rsidTr="00910967">
        <w:trPr>
          <w:jc w:val="center"/>
        </w:trPr>
        <w:tc>
          <w:tcPr>
            <w:tcW w:w="2623" w:type="dxa"/>
            <w:gridSpan w:val="2"/>
            <w:vAlign w:val="center"/>
          </w:tcPr>
          <w:p w:rsidR="005A1F50" w:rsidRDefault="005A1F50" w:rsidP="00910967">
            <w:r>
              <w:rPr>
                <w:rFonts w:hint="eastAsia"/>
              </w:rPr>
              <w:t>平均工作电流</w:t>
            </w:r>
          </w:p>
        </w:tc>
        <w:tc>
          <w:tcPr>
            <w:tcW w:w="3273" w:type="dxa"/>
          </w:tcPr>
          <w:p w:rsidR="005A1F50" w:rsidRDefault="005A1F50" w:rsidP="00910967">
            <w:r>
              <w:rPr>
                <w:rFonts w:hint="eastAsia"/>
              </w:rPr>
              <w:t>&lt;250mA@12V</w:t>
            </w:r>
          </w:p>
        </w:tc>
      </w:tr>
      <w:tr w:rsidR="005A1F50" w:rsidTr="00910967">
        <w:trPr>
          <w:jc w:val="center"/>
        </w:trPr>
        <w:tc>
          <w:tcPr>
            <w:tcW w:w="2623" w:type="dxa"/>
            <w:gridSpan w:val="2"/>
            <w:vAlign w:val="center"/>
          </w:tcPr>
          <w:p w:rsidR="005A1F50" w:rsidRDefault="005A1F50" w:rsidP="00910967">
            <w:r>
              <w:rPr>
                <w:rFonts w:hint="eastAsia"/>
              </w:rPr>
              <w:t>供电方式</w:t>
            </w:r>
          </w:p>
        </w:tc>
        <w:tc>
          <w:tcPr>
            <w:tcW w:w="3273" w:type="dxa"/>
          </w:tcPr>
          <w:p w:rsidR="005A1F50" w:rsidRDefault="005A1F50" w:rsidP="00910967">
            <w:r>
              <w:rPr>
                <w:rFonts w:hint="eastAsia"/>
              </w:rPr>
              <w:t>24V DC</w:t>
            </w:r>
          </w:p>
        </w:tc>
      </w:tr>
      <w:tr w:rsidR="005A1F50" w:rsidTr="00910967">
        <w:trPr>
          <w:jc w:val="center"/>
        </w:trPr>
        <w:tc>
          <w:tcPr>
            <w:tcW w:w="2623" w:type="dxa"/>
            <w:gridSpan w:val="2"/>
            <w:vAlign w:val="center"/>
          </w:tcPr>
          <w:p w:rsidR="005A1F50" w:rsidRDefault="005A1F50" w:rsidP="00910967">
            <w:r>
              <w:rPr>
                <w:rFonts w:hint="eastAsia"/>
              </w:rPr>
              <w:t>工作温度</w:t>
            </w:r>
          </w:p>
        </w:tc>
        <w:tc>
          <w:tcPr>
            <w:tcW w:w="3273" w:type="dxa"/>
          </w:tcPr>
          <w:p w:rsidR="005A1F50" w:rsidRDefault="005A1F50" w:rsidP="00910967">
            <w:r>
              <w:rPr>
                <w:rFonts w:hint="eastAsia"/>
              </w:rPr>
              <w:t>-20 ~ 85</w:t>
            </w:r>
            <w:r>
              <w:rPr>
                <w:rFonts w:hint="eastAsia"/>
              </w:rPr>
              <w:t>℃</w:t>
            </w:r>
          </w:p>
        </w:tc>
      </w:tr>
      <w:tr w:rsidR="005A1F50" w:rsidTr="00910967">
        <w:trPr>
          <w:jc w:val="center"/>
        </w:trPr>
        <w:tc>
          <w:tcPr>
            <w:tcW w:w="2623" w:type="dxa"/>
            <w:gridSpan w:val="2"/>
            <w:vAlign w:val="center"/>
          </w:tcPr>
          <w:p w:rsidR="005A1F50" w:rsidRDefault="005A1F50" w:rsidP="00910967">
            <w:r>
              <w:rPr>
                <w:rFonts w:hint="eastAsia"/>
              </w:rPr>
              <w:t>防尘防水</w:t>
            </w:r>
          </w:p>
        </w:tc>
        <w:tc>
          <w:tcPr>
            <w:tcW w:w="3273" w:type="dxa"/>
          </w:tcPr>
          <w:p w:rsidR="005A1F50" w:rsidRDefault="005A1F50" w:rsidP="00910967">
            <w:r>
              <w:rPr>
                <w:rFonts w:hint="eastAsia"/>
              </w:rPr>
              <w:t>IP66</w:t>
            </w:r>
          </w:p>
        </w:tc>
      </w:tr>
      <w:tr w:rsidR="005A1F50" w:rsidTr="00910967">
        <w:trPr>
          <w:jc w:val="center"/>
        </w:trPr>
        <w:tc>
          <w:tcPr>
            <w:tcW w:w="2623" w:type="dxa"/>
            <w:gridSpan w:val="2"/>
            <w:vAlign w:val="center"/>
          </w:tcPr>
          <w:p w:rsidR="005A1F50" w:rsidRDefault="005A1F50" w:rsidP="00910967">
            <w:r>
              <w:rPr>
                <w:rFonts w:hint="eastAsia"/>
              </w:rPr>
              <w:t>容量</w:t>
            </w:r>
          </w:p>
        </w:tc>
        <w:tc>
          <w:tcPr>
            <w:tcW w:w="3273" w:type="dxa"/>
          </w:tcPr>
          <w:p w:rsidR="005A1F50" w:rsidRDefault="005A1F50" w:rsidP="00910967">
            <w:r>
              <w:rPr>
                <w:rFonts w:hint="eastAsia"/>
              </w:rPr>
              <w:t>直径</w:t>
            </w:r>
            <w:r>
              <w:rPr>
                <w:rFonts w:hint="eastAsia"/>
              </w:rPr>
              <w:t>50</w:t>
            </w:r>
            <w:r>
              <w:rPr>
                <w:rFonts w:hint="eastAsia"/>
              </w:rPr>
              <w:t>米内所有探测器</w:t>
            </w:r>
          </w:p>
        </w:tc>
      </w:tr>
      <w:tr w:rsidR="005A1F50" w:rsidTr="00910967">
        <w:trPr>
          <w:trHeight w:val="169"/>
          <w:jc w:val="center"/>
        </w:trPr>
        <w:tc>
          <w:tcPr>
            <w:tcW w:w="1347" w:type="dxa"/>
            <w:vMerge w:val="restart"/>
            <w:vAlign w:val="center"/>
          </w:tcPr>
          <w:p w:rsidR="005A1F50" w:rsidRDefault="005A1F50" w:rsidP="00910967">
            <w:r>
              <w:rPr>
                <w:rFonts w:hint="eastAsia"/>
              </w:rPr>
              <w:t>工作频率</w:t>
            </w:r>
          </w:p>
        </w:tc>
        <w:tc>
          <w:tcPr>
            <w:tcW w:w="1276" w:type="dxa"/>
            <w:vAlign w:val="center"/>
          </w:tcPr>
          <w:p w:rsidR="005A1F50" w:rsidRDefault="005A1F50" w:rsidP="00910967">
            <w:r>
              <w:rPr>
                <w:rFonts w:hint="eastAsia"/>
              </w:rPr>
              <w:t>接收</w:t>
            </w:r>
          </w:p>
        </w:tc>
        <w:tc>
          <w:tcPr>
            <w:tcW w:w="3273" w:type="dxa"/>
          </w:tcPr>
          <w:p w:rsidR="005A1F50" w:rsidRDefault="005A1F50" w:rsidP="00910967">
            <w:r>
              <w:rPr>
                <w:rFonts w:hint="eastAsia"/>
              </w:rPr>
              <w:t>433MHz</w:t>
            </w:r>
          </w:p>
        </w:tc>
      </w:tr>
      <w:tr w:rsidR="005A1F50" w:rsidTr="00910967">
        <w:trPr>
          <w:trHeight w:val="169"/>
          <w:jc w:val="center"/>
        </w:trPr>
        <w:tc>
          <w:tcPr>
            <w:tcW w:w="1347" w:type="dxa"/>
            <w:vMerge/>
            <w:vAlign w:val="center"/>
          </w:tcPr>
          <w:p w:rsidR="005A1F50" w:rsidRDefault="005A1F50" w:rsidP="00910967"/>
        </w:tc>
        <w:tc>
          <w:tcPr>
            <w:tcW w:w="1276" w:type="dxa"/>
            <w:vAlign w:val="center"/>
          </w:tcPr>
          <w:p w:rsidR="005A1F50" w:rsidRDefault="005A1F50" w:rsidP="00910967">
            <w:r>
              <w:rPr>
                <w:rFonts w:hint="eastAsia"/>
              </w:rPr>
              <w:t>发送</w:t>
            </w:r>
          </w:p>
        </w:tc>
        <w:tc>
          <w:tcPr>
            <w:tcW w:w="3273" w:type="dxa"/>
          </w:tcPr>
          <w:p w:rsidR="005A1F50" w:rsidRDefault="005A1F50" w:rsidP="00910967">
            <w:r>
              <w:rPr>
                <w:rFonts w:hint="eastAsia"/>
              </w:rPr>
              <w:t>2.4GHz</w:t>
            </w:r>
          </w:p>
        </w:tc>
      </w:tr>
      <w:tr w:rsidR="005A1F50" w:rsidTr="00910967">
        <w:trPr>
          <w:jc w:val="center"/>
        </w:trPr>
        <w:tc>
          <w:tcPr>
            <w:tcW w:w="2623" w:type="dxa"/>
            <w:gridSpan w:val="2"/>
            <w:vAlign w:val="center"/>
          </w:tcPr>
          <w:p w:rsidR="005A1F50" w:rsidRDefault="005A1F50" w:rsidP="00910967">
            <w:r>
              <w:rPr>
                <w:rFonts w:hint="eastAsia"/>
              </w:rPr>
              <w:t>体积</w:t>
            </w:r>
          </w:p>
        </w:tc>
        <w:tc>
          <w:tcPr>
            <w:tcW w:w="3273" w:type="dxa"/>
          </w:tcPr>
          <w:p w:rsidR="005A1F50" w:rsidRDefault="005A1F50" w:rsidP="00910967">
            <w:r>
              <w:rPr>
                <w:rFonts w:hint="eastAsia"/>
              </w:rPr>
              <w:t>&lt;600</w:t>
            </w:r>
            <w:r>
              <w:rPr>
                <w:rFonts w:hint="eastAsia"/>
              </w:rPr>
              <w:t>×</w:t>
            </w:r>
            <w:r>
              <w:rPr>
                <w:rFonts w:hint="eastAsia"/>
              </w:rPr>
              <w:t>600</w:t>
            </w:r>
            <w:r>
              <w:rPr>
                <w:rFonts w:hint="eastAsia"/>
              </w:rPr>
              <w:t>×</w:t>
            </w:r>
            <w:r>
              <w:rPr>
                <w:rFonts w:hint="eastAsia"/>
              </w:rPr>
              <w:t>50mm</w:t>
            </w:r>
            <w:r>
              <w:rPr>
                <w:rFonts w:hint="eastAsia"/>
                <w:vertAlign w:val="superscript"/>
              </w:rPr>
              <w:t>3</w:t>
            </w:r>
          </w:p>
        </w:tc>
      </w:tr>
      <w:tr w:rsidR="005A1F50" w:rsidTr="00910967">
        <w:trPr>
          <w:jc w:val="center"/>
        </w:trPr>
        <w:tc>
          <w:tcPr>
            <w:tcW w:w="2623" w:type="dxa"/>
            <w:gridSpan w:val="2"/>
            <w:vAlign w:val="center"/>
          </w:tcPr>
          <w:p w:rsidR="005A1F50" w:rsidRDefault="005A1F50" w:rsidP="00910967">
            <w:r>
              <w:rPr>
                <w:rFonts w:hint="eastAsia"/>
              </w:rPr>
              <w:t>外壳材料</w:t>
            </w:r>
          </w:p>
        </w:tc>
        <w:tc>
          <w:tcPr>
            <w:tcW w:w="3273" w:type="dxa"/>
          </w:tcPr>
          <w:p w:rsidR="005A1F50" w:rsidRDefault="005A1F50" w:rsidP="00910967">
            <w:r>
              <w:rPr>
                <w:rFonts w:hint="eastAsia"/>
              </w:rPr>
              <w:t>铸铝</w:t>
            </w:r>
          </w:p>
        </w:tc>
      </w:tr>
      <w:tr w:rsidR="005A1F50" w:rsidTr="00910967">
        <w:trPr>
          <w:jc w:val="center"/>
        </w:trPr>
        <w:tc>
          <w:tcPr>
            <w:tcW w:w="2623" w:type="dxa"/>
            <w:gridSpan w:val="2"/>
            <w:vAlign w:val="center"/>
          </w:tcPr>
          <w:p w:rsidR="005A1F50" w:rsidRDefault="005A1F50" w:rsidP="00910967">
            <w:r>
              <w:rPr>
                <w:rFonts w:hint="eastAsia"/>
              </w:rPr>
              <w:t>安装方式</w:t>
            </w:r>
          </w:p>
        </w:tc>
        <w:tc>
          <w:tcPr>
            <w:tcW w:w="3273" w:type="dxa"/>
          </w:tcPr>
          <w:p w:rsidR="005A1F50" w:rsidRDefault="005A1F50" w:rsidP="00910967">
            <w:r>
              <w:rPr>
                <w:rFonts w:hint="eastAsia"/>
              </w:rPr>
              <w:t>不锈钢钢箍固定或支架安装</w:t>
            </w:r>
          </w:p>
        </w:tc>
      </w:tr>
    </w:tbl>
    <w:p w:rsidR="005A1F50" w:rsidRDefault="005A1F50" w:rsidP="005A1F50"/>
    <w:p w:rsidR="005A1F50" w:rsidRDefault="00594C94" w:rsidP="00594C94">
      <w:pPr>
        <w:pStyle w:val="3"/>
      </w:pPr>
      <w:bookmarkStart w:id="3" w:name="_Toc462167570"/>
      <w:r>
        <w:rPr>
          <w:rFonts w:hint="eastAsia"/>
        </w:rPr>
        <w:t>5.4</w:t>
      </w:r>
      <w:r>
        <w:rPr>
          <w:rFonts w:hint="eastAsia"/>
        </w:rPr>
        <w:tab/>
      </w:r>
      <w:r>
        <w:tab/>
      </w:r>
      <w:r w:rsidR="005A1F50">
        <w:rPr>
          <w:rFonts w:hint="eastAsia"/>
        </w:rPr>
        <w:t>网关</w:t>
      </w:r>
      <w:bookmarkEnd w:id="3"/>
    </w:p>
    <w:p w:rsidR="005A1F50" w:rsidRPr="00C51C52" w:rsidRDefault="005A1F50" w:rsidP="005A1F50">
      <w:pPr>
        <w:ind w:firstLineChars="200" w:firstLine="480"/>
        <w:rPr>
          <w:sz w:val="24"/>
        </w:rPr>
      </w:pPr>
      <w:r w:rsidRPr="00C51C52">
        <w:rPr>
          <w:rFonts w:hint="eastAsia"/>
          <w:sz w:val="24"/>
        </w:rPr>
        <w:t>网关负责将转发器信息收集并上传至服务器，网关最大可接收</w:t>
      </w:r>
      <w:r w:rsidRPr="00C51C52">
        <w:rPr>
          <w:rFonts w:hint="eastAsia"/>
          <w:sz w:val="24"/>
        </w:rPr>
        <w:t>200</w:t>
      </w:r>
      <w:r w:rsidRPr="00C51C52">
        <w:rPr>
          <w:rFonts w:hint="eastAsia"/>
          <w:sz w:val="24"/>
        </w:rPr>
        <w:t>米内所有转发器的数据。网关具有以下功能和特点：</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与所属转发器通过2.4GHz无线传感网通信，准确的将转发器所收集的车辆探测器信息汇总；</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每个网关可收集直径200m内所有转发器的信息；</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lastRenderedPageBreak/>
        <w:t>汇总所属所有转发器信息，并通过GPRS无线上报给服务器；</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采用商用的成熟GPRS模块，减少故障率；</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一个网关可接入多个转发器的数据，同时接收到的探测器数量增加，大大减少了GPRS数据传输对SIM卡的需求，减少客户数据通信费用；</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采用24V弱电供电，安全性和可靠性大大加强；</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具备自检，故障自动重启，以及故障上报功能；</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支持不开设备的情况下对设备固件进行升级；</w:t>
      </w:r>
    </w:p>
    <w:p w:rsidR="005A1F50" w:rsidRDefault="005A1F50" w:rsidP="005A1F50">
      <w:pPr>
        <w:pStyle w:val="a8"/>
        <w:numPr>
          <w:ilvl w:val="0"/>
          <w:numId w:val="18"/>
        </w:numPr>
        <w:spacing w:line="360" w:lineRule="auto"/>
        <w:ind w:firstLineChars="0"/>
        <w:rPr>
          <w:rFonts w:ascii="宋体" w:hAnsi="宋体"/>
          <w:sz w:val="24"/>
          <w:szCs w:val="24"/>
        </w:rPr>
      </w:pPr>
      <w:r>
        <w:rPr>
          <w:rFonts w:ascii="宋体" w:hAnsi="宋体" w:hint="eastAsia"/>
          <w:sz w:val="24"/>
          <w:szCs w:val="24"/>
        </w:rPr>
        <w:t>支持不打开设备的情况下对设备进行参数的无线设置和升级。</w:t>
      </w:r>
    </w:p>
    <w:p w:rsidR="005A1F50" w:rsidRDefault="005A1F50" w:rsidP="005A1F50">
      <w:pPr>
        <w:jc w:val="center"/>
        <w:rPr>
          <w:rFonts w:ascii="宋体" w:hAnsi="宋体"/>
        </w:rPr>
      </w:pPr>
      <w:r>
        <w:rPr>
          <w:rFonts w:ascii="宋体" w:hAnsi="宋体"/>
          <w:noProof/>
        </w:rPr>
        <w:drawing>
          <wp:inline distT="0" distB="0" distL="0" distR="0">
            <wp:extent cx="1378585" cy="1746885"/>
            <wp:effectExtent l="0" t="0" r="0" b="5715"/>
            <wp:docPr id="7" name="图片 7" descr="C:\Documents and Settings\LWL\桌面\基站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Documents and Settings\LWL\桌面\基站副本.png"/>
                    <pic:cNvPicPr>
                      <a:picLocks noChangeAspect="1" noChangeArrowheads="1"/>
                    </pic:cNvPicPr>
                  </pic:nvPicPr>
                  <pic:blipFill>
                    <a:blip r:embed="rId19">
                      <a:extLst>
                        <a:ext uri="{28A0092B-C50C-407E-A947-70E740481C1C}">
                          <a14:useLocalDpi xmlns:a14="http://schemas.microsoft.com/office/drawing/2010/main" val="0"/>
                        </a:ext>
                      </a:extLst>
                    </a:blip>
                    <a:srcRect l="28439" t="6128" r="37952" b="18800"/>
                    <a:stretch>
                      <a:fillRect/>
                    </a:stretch>
                  </pic:blipFill>
                  <pic:spPr bwMode="auto">
                    <a:xfrm>
                      <a:off x="0" y="0"/>
                      <a:ext cx="1378585" cy="1746885"/>
                    </a:xfrm>
                    <a:prstGeom prst="rect">
                      <a:avLst/>
                    </a:prstGeom>
                    <a:noFill/>
                    <a:ln>
                      <a:noFill/>
                    </a:ln>
                  </pic:spPr>
                </pic:pic>
              </a:graphicData>
            </a:graphic>
          </wp:inline>
        </w:drawing>
      </w:r>
    </w:p>
    <w:p w:rsidR="005A1F50" w:rsidRDefault="005A1F50" w:rsidP="005A1F50">
      <w:pPr>
        <w:jc w:val="center"/>
        <w:rPr>
          <w:rFonts w:ascii="宋体" w:hAnsi="宋体"/>
        </w:rPr>
      </w:pPr>
    </w:p>
    <w:p w:rsidR="005A1F50" w:rsidRDefault="005A1F50" w:rsidP="005A1F50">
      <w:pPr>
        <w:jc w:val="center"/>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276"/>
        <w:gridCol w:w="3273"/>
      </w:tblGrid>
      <w:tr w:rsidR="005A1F50" w:rsidTr="00910967">
        <w:trPr>
          <w:jc w:val="center"/>
        </w:trPr>
        <w:tc>
          <w:tcPr>
            <w:tcW w:w="2623" w:type="dxa"/>
            <w:gridSpan w:val="2"/>
            <w:vAlign w:val="center"/>
          </w:tcPr>
          <w:p w:rsidR="005A1F50" w:rsidRDefault="005A1F50" w:rsidP="00910967">
            <w:pPr>
              <w:rPr>
                <w:sz w:val="36"/>
                <w:szCs w:val="36"/>
              </w:rPr>
            </w:pPr>
            <w:r>
              <w:rPr>
                <w:rFonts w:hint="eastAsia"/>
              </w:rPr>
              <w:t>产品型号</w:t>
            </w:r>
          </w:p>
        </w:tc>
        <w:tc>
          <w:tcPr>
            <w:tcW w:w="3273" w:type="dxa"/>
          </w:tcPr>
          <w:p w:rsidR="005A1F50" w:rsidRDefault="005A1F50" w:rsidP="00910967">
            <w:r>
              <w:rPr>
                <w:rFonts w:hint="eastAsia"/>
              </w:rPr>
              <w:t>BW-SPS-001-W1</w:t>
            </w:r>
          </w:p>
        </w:tc>
      </w:tr>
      <w:tr w:rsidR="005A1F50" w:rsidTr="00910967">
        <w:trPr>
          <w:jc w:val="center"/>
        </w:trPr>
        <w:tc>
          <w:tcPr>
            <w:tcW w:w="2623" w:type="dxa"/>
            <w:gridSpan w:val="2"/>
            <w:vAlign w:val="center"/>
          </w:tcPr>
          <w:p w:rsidR="005A1F50" w:rsidRDefault="005A1F50" w:rsidP="00910967">
            <w:r>
              <w:rPr>
                <w:rFonts w:hint="eastAsia"/>
              </w:rPr>
              <w:t>使用寿命</w:t>
            </w:r>
          </w:p>
        </w:tc>
        <w:tc>
          <w:tcPr>
            <w:tcW w:w="3273" w:type="dxa"/>
          </w:tcPr>
          <w:p w:rsidR="005A1F50" w:rsidRDefault="005A1F50" w:rsidP="00910967">
            <w:r>
              <w:rPr>
                <w:rFonts w:hint="eastAsia"/>
              </w:rPr>
              <w:t>10</w:t>
            </w:r>
            <w:r>
              <w:rPr>
                <w:rFonts w:hint="eastAsia"/>
              </w:rPr>
              <w:t>年</w:t>
            </w:r>
          </w:p>
        </w:tc>
      </w:tr>
      <w:tr w:rsidR="005A1F50" w:rsidTr="00910967">
        <w:trPr>
          <w:jc w:val="center"/>
        </w:trPr>
        <w:tc>
          <w:tcPr>
            <w:tcW w:w="2623" w:type="dxa"/>
            <w:gridSpan w:val="2"/>
            <w:vAlign w:val="center"/>
          </w:tcPr>
          <w:p w:rsidR="005A1F50" w:rsidRDefault="005A1F50" w:rsidP="00910967">
            <w:r>
              <w:rPr>
                <w:rFonts w:hint="eastAsia"/>
              </w:rPr>
              <w:t>平均工作电流</w:t>
            </w:r>
          </w:p>
        </w:tc>
        <w:tc>
          <w:tcPr>
            <w:tcW w:w="3273" w:type="dxa"/>
          </w:tcPr>
          <w:p w:rsidR="005A1F50" w:rsidRDefault="005A1F50" w:rsidP="00910967">
            <w:r>
              <w:rPr>
                <w:rFonts w:hint="eastAsia"/>
              </w:rPr>
              <w:t>&lt;250mA@12V</w:t>
            </w:r>
          </w:p>
        </w:tc>
      </w:tr>
      <w:tr w:rsidR="005A1F50" w:rsidTr="00910967">
        <w:trPr>
          <w:jc w:val="center"/>
        </w:trPr>
        <w:tc>
          <w:tcPr>
            <w:tcW w:w="2623" w:type="dxa"/>
            <w:gridSpan w:val="2"/>
            <w:vAlign w:val="center"/>
          </w:tcPr>
          <w:p w:rsidR="005A1F50" w:rsidRDefault="005A1F50" w:rsidP="00910967">
            <w:r>
              <w:rPr>
                <w:rFonts w:hint="eastAsia"/>
              </w:rPr>
              <w:t>供电方式</w:t>
            </w:r>
          </w:p>
        </w:tc>
        <w:tc>
          <w:tcPr>
            <w:tcW w:w="3273" w:type="dxa"/>
          </w:tcPr>
          <w:p w:rsidR="005A1F50" w:rsidRDefault="005A1F50" w:rsidP="00910967">
            <w:r>
              <w:rPr>
                <w:rFonts w:hint="eastAsia"/>
              </w:rPr>
              <w:t>24V DC</w:t>
            </w:r>
          </w:p>
        </w:tc>
      </w:tr>
      <w:tr w:rsidR="005A1F50" w:rsidTr="00910967">
        <w:trPr>
          <w:jc w:val="center"/>
        </w:trPr>
        <w:tc>
          <w:tcPr>
            <w:tcW w:w="2623" w:type="dxa"/>
            <w:gridSpan w:val="2"/>
            <w:vAlign w:val="center"/>
          </w:tcPr>
          <w:p w:rsidR="005A1F50" w:rsidRDefault="005A1F50" w:rsidP="00910967">
            <w:r>
              <w:rPr>
                <w:rFonts w:hint="eastAsia"/>
              </w:rPr>
              <w:t>工作温度</w:t>
            </w:r>
          </w:p>
        </w:tc>
        <w:tc>
          <w:tcPr>
            <w:tcW w:w="3273" w:type="dxa"/>
          </w:tcPr>
          <w:p w:rsidR="005A1F50" w:rsidRDefault="005A1F50" w:rsidP="00910967">
            <w:r>
              <w:rPr>
                <w:rFonts w:hint="eastAsia"/>
              </w:rPr>
              <w:t>-20 ~ 85</w:t>
            </w:r>
            <w:r>
              <w:rPr>
                <w:rFonts w:hint="eastAsia"/>
              </w:rPr>
              <w:t>℃</w:t>
            </w:r>
          </w:p>
        </w:tc>
      </w:tr>
      <w:tr w:rsidR="005A1F50" w:rsidTr="00910967">
        <w:trPr>
          <w:jc w:val="center"/>
        </w:trPr>
        <w:tc>
          <w:tcPr>
            <w:tcW w:w="2623" w:type="dxa"/>
            <w:gridSpan w:val="2"/>
            <w:vAlign w:val="center"/>
          </w:tcPr>
          <w:p w:rsidR="005A1F50" w:rsidRDefault="005A1F50" w:rsidP="00910967">
            <w:r>
              <w:rPr>
                <w:rFonts w:hint="eastAsia"/>
              </w:rPr>
              <w:t>防尘防水</w:t>
            </w:r>
          </w:p>
        </w:tc>
        <w:tc>
          <w:tcPr>
            <w:tcW w:w="3273" w:type="dxa"/>
          </w:tcPr>
          <w:p w:rsidR="005A1F50" w:rsidRDefault="005A1F50" w:rsidP="00910967">
            <w:r>
              <w:rPr>
                <w:rFonts w:hint="eastAsia"/>
              </w:rPr>
              <w:t>IP66</w:t>
            </w:r>
          </w:p>
        </w:tc>
      </w:tr>
      <w:tr w:rsidR="005A1F50" w:rsidTr="00910967">
        <w:trPr>
          <w:jc w:val="center"/>
        </w:trPr>
        <w:tc>
          <w:tcPr>
            <w:tcW w:w="2623" w:type="dxa"/>
            <w:gridSpan w:val="2"/>
            <w:vAlign w:val="center"/>
          </w:tcPr>
          <w:p w:rsidR="005A1F50" w:rsidRDefault="005A1F50" w:rsidP="00910967">
            <w:r>
              <w:rPr>
                <w:rFonts w:hint="eastAsia"/>
              </w:rPr>
              <w:t>容量</w:t>
            </w:r>
          </w:p>
        </w:tc>
        <w:tc>
          <w:tcPr>
            <w:tcW w:w="3273" w:type="dxa"/>
          </w:tcPr>
          <w:p w:rsidR="005A1F50" w:rsidRDefault="005A1F50" w:rsidP="00910967">
            <w:r>
              <w:rPr>
                <w:rFonts w:hint="eastAsia"/>
              </w:rPr>
              <w:t>直径</w:t>
            </w:r>
            <w:r>
              <w:rPr>
                <w:rFonts w:hint="eastAsia"/>
              </w:rPr>
              <w:t>50</w:t>
            </w:r>
            <w:r>
              <w:rPr>
                <w:rFonts w:hint="eastAsia"/>
              </w:rPr>
              <w:t>米内所有探测器</w:t>
            </w:r>
          </w:p>
        </w:tc>
      </w:tr>
      <w:tr w:rsidR="005A1F50" w:rsidTr="00910967">
        <w:trPr>
          <w:trHeight w:val="169"/>
          <w:jc w:val="center"/>
        </w:trPr>
        <w:tc>
          <w:tcPr>
            <w:tcW w:w="1347" w:type="dxa"/>
            <w:vMerge w:val="restart"/>
            <w:vAlign w:val="center"/>
          </w:tcPr>
          <w:p w:rsidR="005A1F50" w:rsidRDefault="005A1F50" w:rsidP="00910967">
            <w:r>
              <w:rPr>
                <w:rFonts w:hint="eastAsia"/>
              </w:rPr>
              <w:t>工作频率</w:t>
            </w:r>
          </w:p>
        </w:tc>
        <w:tc>
          <w:tcPr>
            <w:tcW w:w="1276" w:type="dxa"/>
            <w:vAlign w:val="center"/>
          </w:tcPr>
          <w:p w:rsidR="005A1F50" w:rsidRDefault="005A1F50" w:rsidP="00910967">
            <w:r>
              <w:rPr>
                <w:rFonts w:hint="eastAsia"/>
              </w:rPr>
              <w:t>接收</w:t>
            </w:r>
          </w:p>
        </w:tc>
        <w:tc>
          <w:tcPr>
            <w:tcW w:w="3273" w:type="dxa"/>
          </w:tcPr>
          <w:p w:rsidR="005A1F50" w:rsidRDefault="005A1F50" w:rsidP="00910967">
            <w:r>
              <w:rPr>
                <w:rFonts w:hint="eastAsia"/>
              </w:rPr>
              <w:t>433MHz</w:t>
            </w:r>
          </w:p>
        </w:tc>
      </w:tr>
      <w:tr w:rsidR="005A1F50" w:rsidTr="00910967">
        <w:trPr>
          <w:trHeight w:val="169"/>
          <w:jc w:val="center"/>
        </w:trPr>
        <w:tc>
          <w:tcPr>
            <w:tcW w:w="1347" w:type="dxa"/>
            <w:vMerge/>
            <w:vAlign w:val="center"/>
          </w:tcPr>
          <w:p w:rsidR="005A1F50" w:rsidRDefault="005A1F50" w:rsidP="00910967"/>
        </w:tc>
        <w:tc>
          <w:tcPr>
            <w:tcW w:w="1276" w:type="dxa"/>
            <w:vAlign w:val="center"/>
          </w:tcPr>
          <w:p w:rsidR="005A1F50" w:rsidRDefault="005A1F50" w:rsidP="00910967">
            <w:r>
              <w:rPr>
                <w:rFonts w:hint="eastAsia"/>
              </w:rPr>
              <w:t>发送</w:t>
            </w:r>
          </w:p>
        </w:tc>
        <w:tc>
          <w:tcPr>
            <w:tcW w:w="3273" w:type="dxa"/>
          </w:tcPr>
          <w:p w:rsidR="005A1F50" w:rsidRDefault="005A1F50" w:rsidP="00910967">
            <w:r>
              <w:rPr>
                <w:rFonts w:hint="eastAsia"/>
              </w:rPr>
              <w:t>2.4GHz</w:t>
            </w:r>
          </w:p>
        </w:tc>
      </w:tr>
      <w:tr w:rsidR="005A1F50" w:rsidTr="00910967">
        <w:trPr>
          <w:jc w:val="center"/>
        </w:trPr>
        <w:tc>
          <w:tcPr>
            <w:tcW w:w="2623" w:type="dxa"/>
            <w:gridSpan w:val="2"/>
            <w:vAlign w:val="center"/>
          </w:tcPr>
          <w:p w:rsidR="005A1F50" w:rsidRDefault="005A1F50" w:rsidP="00910967">
            <w:r>
              <w:rPr>
                <w:rFonts w:hint="eastAsia"/>
              </w:rPr>
              <w:t>体积</w:t>
            </w:r>
          </w:p>
        </w:tc>
        <w:tc>
          <w:tcPr>
            <w:tcW w:w="3273" w:type="dxa"/>
          </w:tcPr>
          <w:p w:rsidR="005A1F50" w:rsidRDefault="005A1F50" w:rsidP="00910967">
            <w:r>
              <w:rPr>
                <w:rFonts w:hint="eastAsia"/>
              </w:rPr>
              <w:t>&lt;600</w:t>
            </w:r>
            <w:r>
              <w:rPr>
                <w:rFonts w:hint="eastAsia"/>
              </w:rPr>
              <w:t>×</w:t>
            </w:r>
            <w:r>
              <w:rPr>
                <w:rFonts w:hint="eastAsia"/>
              </w:rPr>
              <w:t>600</w:t>
            </w:r>
            <w:r>
              <w:rPr>
                <w:rFonts w:hint="eastAsia"/>
              </w:rPr>
              <w:t>×</w:t>
            </w:r>
            <w:r>
              <w:rPr>
                <w:rFonts w:hint="eastAsia"/>
              </w:rPr>
              <w:t>50mm</w:t>
            </w:r>
            <w:r>
              <w:rPr>
                <w:rFonts w:hint="eastAsia"/>
                <w:vertAlign w:val="superscript"/>
              </w:rPr>
              <w:t>3</w:t>
            </w:r>
          </w:p>
        </w:tc>
      </w:tr>
      <w:tr w:rsidR="005A1F50" w:rsidTr="00910967">
        <w:trPr>
          <w:jc w:val="center"/>
        </w:trPr>
        <w:tc>
          <w:tcPr>
            <w:tcW w:w="2623" w:type="dxa"/>
            <w:gridSpan w:val="2"/>
            <w:vAlign w:val="center"/>
          </w:tcPr>
          <w:p w:rsidR="005A1F50" w:rsidRDefault="005A1F50" w:rsidP="00910967">
            <w:r>
              <w:rPr>
                <w:rFonts w:hint="eastAsia"/>
              </w:rPr>
              <w:t>外壳材料</w:t>
            </w:r>
          </w:p>
        </w:tc>
        <w:tc>
          <w:tcPr>
            <w:tcW w:w="3273" w:type="dxa"/>
          </w:tcPr>
          <w:p w:rsidR="005A1F50" w:rsidRDefault="005A1F50" w:rsidP="00910967">
            <w:r>
              <w:rPr>
                <w:rFonts w:hint="eastAsia"/>
              </w:rPr>
              <w:t>铸铝</w:t>
            </w:r>
          </w:p>
        </w:tc>
      </w:tr>
      <w:tr w:rsidR="005A1F50" w:rsidTr="00910967">
        <w:trPr>
          <w:jc w:val="center"/>
        </w:trPr>
        <w:tc>
          <w:tcPr>
            <w:tcW w:w="2623" w:type="dxa"/>
            <w:gridSpan w:val="2"/>
            <w:vAlign w:val="center"/>
          </w:tcPr>
          <w:p w:rsidR="005A1F50" w:rsidRDefault="00C51C52" w:rsidP="00910967">
            <w:r>
              <w:rPr>
                <w:rFonts w:hint="eastAsia"/>
              </w:rPr>
              <w:t>安</w:t>
            </w:r>
            <w:r w:rsidR="005A1F50">
              <w:rPr>
                <w:rFonts w:hint="eastAsia"/>
              </w:rPr>
              <w:t>装方式</w:t>
            </w:r>
          </w:p>
        </w:tc>
        <w:tc>
          <w:tcPr>
            <w:tcW w:w="3273" w:type="dxa"/>
          </w:tcPr>
          <w:p w:rsidR="005A1F50" w:rsidRDefault="005A1F50" w:rsidP="00910967">
            <w:r>
              <w:rPr>
                <w:rFonts w:hint="eastAsia"/>
              </w:rPr>
              <w:t>不锈钢钢箍固定或支架安装</w:t>
            </w:r>
          </w:p>
        </w:tc>
      </w:tr>
    </w:tbl>
    <w:p w:rsidR="005A1F50" w:rsidRDefault="005A1F50" w:rsidP="005A1F50"/>
    <w:p w:rsidR="005A1F50" w:rsidRPr="005A1F50" w:rsidRDefault="005A1F50" w:rsidP="00386931">
      <w:pPr>
        <w:spacing w:line="360" w:lineRule="auto"/>
        <w:ind w:firstLine="420"/>
        <w:rPr>
          <w:sz w:val="24"/>
        </w:rPr>
      </w:pPr>
    </w:p>
    <w:p w:rsidR="006D49D5" w:rsidRPr="00104E42" w:rsidRDefault="006D49D5" w:rsidP="006D49D5"/>
    <w:p w:rsidR="006150C7" w:rsidRDefault="006150C7" w:rsidP="00665AE4">
      <w:pPr>
        <w:spacing w:line="360" w:lineRule="auto"/>
        <w:rPr>
          <w:sz w:val="24"/>
        </w:rPr>
      </w:pPr>
      <w:bookmarkStart w:id="4" w:name="_GoBack"/>
      <w:bookmarkEnd w:id="4"/>
    </w:p>
    <w:p w:rsidR="001B6355" w:rsidRDefault="001B6355" w:rsidP="00665AE4">
      <w:pPr>
        <w:spacing w:line="360" w:lineRule="auto"/>
        <w:rPr>
          <w:sz w:val="24"/>
        </w:rPr>
      </w:pPr>
    </w:p>
    <w:p w:rsidR="00C3553C" w:rsidRDefault="00C3553C" w:rsidP="00C3553C">
      <w:pPr>
        <w:spacing w:line="360" w:lineRule="auto"/>
        <w:rPr>
          <w:sz w:val="24"/>
        </w:rPr>
      </w:pPr>
    </w:p>
    <w:sectPr w:rsidR="00C3553C">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601" w:rsidRDefault="00651601">
      <w:r>
        <w:separator/>
      </w:r>
    </w:p>
  </w:endnote>
  <w:endnote w:type="continuationSeparator" w:id="0">
    <w:p w:rsidR="00651601" w:rsidRDefault="0065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0C7" w:rsidRDefault="00D11D99">
    <w:pPr>
      <w:pStyle w:val="a4"/>
    </w:pPr>
    <w:r>
      <w:rPr>
        <w:noProof/>
      </w:rPr>
      <mc:AlternateContent>
        <mc:Choice Requires="wps">
          <w:drawing>
            <wp:anchor distT="0" distB="0" distL="114300" distR="114300" simplePos="0" relativeHeight="251658240" behindDoc="0" locked="0" layoutInCell="1" allowOverlap="1" wp14:anchorId="121F9080" wp14:editId="5FF740F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150C7" w:rsidRDefault="00D11D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B2BF1">
                            <w:rPr>
                              <w:noProof/>
                              <w:sz w:val="18"/>
                            </w:rPr>
                            <w:t>17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150C7" w:rsidRDefault="00D11D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B2BF1">
                      <w:rPr>
                        <w:noProof/>
                        <w:sz w:val="18"/>
                      </w:rPr>
                      <w:t>17</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601" w:rsidRDefault="00651601">
      <w:r>
        <w:separator/>
      </w:r>
    </w:p>
  </w:footnote>
  <w:footnote w:type="continuationSeparator" w:id="0">
    <w:p w:rsidR="00651601" w:rsidRDefault="00651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4B95"/>
    <w:multiLevelType w:val="multilevel"/>
    <w:tmpl w:val="04544B95"/>
    <w:lvl w:ilvl="0">
      <w:start w:val="1"/>
      <w:numFmt w:val="bullet"/>
      <w:lvlText w:val=""/>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1">
    <w:nsid w:val="055A7CF9"/>
    <w:multiLevelType w:val="hybridMultilevel"/>
    <w:tmpl w:val="9176E9E8"/>
    <w:lvl w:ilvl="0" w:tplc="04CC630E">
      <w:start w:val="1"/>
      <w:numFmt w:val="lowerLetter"/>
      <w:lvlText w:val="%1）"/>
      <w:lvlJc w:val="left"/>
      <w:pPr>
        <w:ind w:left="360" w:hanging="360"/>
      </w:pPr>
      <w:rPr>
        <w:rFonts w:hint="default"/>
      </w:rPr>
    </w:lvl>
    <w:lvl w:ilvl="1" w:tplc="B2108BFA">
      <w:start w:val="15"/>
      <w:numFmt w:val="bullet"/>
      <w:lvlText w:val="%2）"/>
      <w:lvlJc w:val="left"/>
      <w:pPr>
        <w:ind w:left="780" w:hanging="360"/>
      </w:pPr>
      <w:rPr>
        <w:rFonts w:ascii="Wingdings" w:eastAsiaTheme="minorEastAsia" w:hAnsi="Wingdings" w:cstheme="minorBidi" w:hint="default"/>
      </w:rPr>
    </w:lvl>
    <w:lvl w:ilvl="2" w:tplc="2B4A1534">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135A19"/>
    <w:multiLevelType w:val="hybridMultilevel"/>
    <w:tmpl w:val="6C6AB272"/>
    <w:lvl w:ilvl="0" w:tplc="A3E62606">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F56A3A"/>
    <w:multiLevelType w:val="multilevel"/>
    <w:tmpl w:val="16F56A3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19D242E5"/>
    <w:multiLevelType w:val="hybridMultilevel"/>
    <w:tmpl w:val="81FC4308"/>
    <w:lvl w:ilvl="0" w:tplc="22A80E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0D2B89"/>
    <w:multiLevelType w:val="hybridMultilevel"/>
    <w:tmpl w:val="ADF4F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8835B3"/>
    <w:multiLevelType w:val="hybridMultilevel"/>
    <w:tmpl w:val="BB30D53A"/>
    <w:lvl w:ilvl="0" w:tplc="54582E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D70370"/>
    <w:multiLevelType w:val="hybridMultilevel"/>
    <w:tmpl w:val="2FF2CCFA"/>
    <w:lvl w:ilvl="0" w:tplc="2300358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0A1693"/>
    <w:multiLevelType w:val="hybridMultilevel"/>
    <w:tmpl w:val="75A6F750"/>
    <w:lvl w:ilvl="0" w:tplc="23003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D63697E"/>
    <w:multiLevelType w:val="hybridMultilevel"/>
    <w:tmpl w:val="874E2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91218CC"/>
    <w:multiLevelType w:val="hybridMultilevel"/>
    <w:tmpl w:val="9C607730"/>
    <w:lvl w:ilvl="0" w:tplc="BD285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F0B3DEA"/>
    <w:multiLevelType w:val="hybridMultilevel"/>
    <w:tmpl w:val="2ECCA2E0"/>
    <w:lvl w:ilvl="0" w:tplc="FDA43C8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072019"/>
    <w:multiLevelType w:val="hybridMultilevel"/>
    <w:tmpl w:val="38544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E23E2C"/>
    <w:multiLevelType w:val="multilevel"/>
    <w:tmpl w:val="4CE23E2C"/>
    <w:lvl w:ilvl="0">
      <w:start w:val="1"/>
      <w:numFmt w:val="chineseCountingThousand"/>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5390767B"/>
    <w:multiLevelType w:val="hybridMultilevel"/>
    <w:tmpl w:val="75A6F750"/>
    <w:lvl w:ilvl="0" w:tplc="23003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FC744B"/>
    <w:multiLevelType w:val="singleLevel"/>
    <w:tmpl w:val="56FC744B"/>
    <w:lvl w:ilvl="0">
      <w:start w:val="2"/>
      <w:numFmt w:val="decimal"/>
      <w:suff w:val="nothing"/>
      <w:lvlText w:val="%1、"/>
      <w:lvlJc w:val="left"/>
    </w:lvl>
  </w:abstractNum>
  <w:abstractNum w:abstractNumId="16">
    <w:nsid w:val="570C9ADC"/>
    <w:multiLevelType w:val="singleLevel"/>
    <w:tmpl w:val="570C9ADC"/>
    <w:lvl w:ilvl="0">
      <w:start w:val="3"/>
      <w:numFmt w:val="decimal"/>
      <w:suff w:val="nothing"/>
      <w:lvlText w:val="%1）"/>
      <w:lvlJc w:val="left"/>
    </w:lvl>
  </w:abstractNum>
  <w:abstractNum w:abstractNumId="17">
    <w:nsid w:val="5CC82D57"/>
    <w:multiLevelType w:val="multilevel"/>
    <w:tmpl w:val="2AF8E28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C286B06"/>
    <w:multiLevelType w:val="hybridMultilevel"/>
    <w:tmpl w:val="590226A2"/>
    <w:lvl w:ilvl="0" w:tplc="DD3E4E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3"/>
  </w:num>
  <w:num w:numId="4">
    <w:abstractNumId w:val="2"/>
  </w:num>
  <w:num w:numId="5">
    <w:abstractNumId w:val="11"/>
  </w:num>
  <w:num w:numId="6">
    <w:abstractNumId w:val="8"/>
  </w:num>
  <w:num w:numId="7">
    <w:abstractNumId w:val="14"/>
  </w:num>
  <w:num w:numId="8">
    <w:abstractNumId w:val="7"/>
  </w:num>
  <w:num w:numId="9">
    <w:abstractNumId w:val="17"/>
  </w:num>
  <w:num w:numId="10">
    <w:abstractNumId w:val="9"/>
  </w:num>
  <w:num w:numId="11">
    <w:abstractNumId w:val="1"/>
  </w:num>
  <w:num w:numId="12">
    <w:abstractNumId w:val="4"/>
  </w:num>
  <w:num w:numId="13">
    <w:abstractNumId w:val="5"/>
  </w:num>
  <w:num w:numId="14">
    <w:abstractNumId w:val="18"/>
  </w:num>
  <w:num w:numId="15">
    <w:abstractNumId w:val="12"/>
  </w:num>
  <w:num w:numId="16">
    <w:abstractNumId w:val="6"/>
  </w:num>
  <w:num w:numId="17">
    <w:abstractNumId w:val="0"/>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87013"/>
    <w:rsid w:val="0000405E"/>
    <w:rsid w:val="00023162"/>
    <w:rsid w:val="00060E93"/>
    <w:rsid w:val="00073178"/>
    <w:rsid w:val="000A4CF7"/>
    <w:rsid w:val="000D2A02"/>
    <w:rsid w:val="00104E42"/>
    <w:rsid w:val="00121435"/>
    <w:rsid w:val="00177EF4"/>
    <w:rsid w:val="0019434F"/>
    <w:rsid w:val="001B2874"/>
    <w:rsid w:val="001B4592"/>
    <w:rsid w:val="001B6355"/>
    <w:rsid w:val="002258B7"/>
    <w:rsid w:val="00245712"/>
    <w:rsid w:val="00261C9F"/>
    <w:rsid w:val="00262448"/>
    <w:rsid w:val="00272084"/>
    <w:rsid w:val="002841D1"/>
    <w:rsid w:val="002B062A"/>
    <w:rsid w:val="002D4972"/>
    <w:rsid w:val="002D52C1"/>
    <w:rsid w:val="002D64CB"/>
    <w:rsid w:val="00305881"/>
    <w:rsid w:val="00317FA2"/>
    <w:rsid w:val="00326FDF"/>
    <w:rsid w:val="003436F0"/>
    <w:rsid w:val="00344B15"/>
    <w:rsid w:val="00350D1B"/>
    <w:rsid w:val="0037665F"/>
    <w:rsid w:val="00386931"/>
    <w:rsid w:val="003B70A3"/>
    <w:rsid w:val="003C05A3"/>
    <w:rsid w:val="003C28EF"/>
    <w:rsid w:val="00420FFB"/>
    <w:rsid w:val="00445C7D"/>
    <w:rsid w:val="004805FF"/>
    <w:rsid w:val="00481853"/>
    <w:rsid w:val="00486578"/>
    <w:rsid w:val="004A5957"/>
    <w:rsid w:val="004C20C0"/>
    <w:rsid w:val="004E20F0"/>
    <w:rsid w:val="004E6970"/>
    <w:rsid w:val="004F0511"/>
    <w:rsid w:val="005238CC"/>
    <w:rsid w:val="005245CB"/>
    <w:rsid w:val="00540016"/>
    <w:rsid w:val="005412B4"/>
    <w:rsid w:val="00555633"/>
    <w:rsid w:val="005604E6"/>
    <w:rsid w:val="005701AC"/>
    <w:rsid w:val="0057185E"/>
    <w:rsid w:val="0057645C"/>
    <w:rsid w:val="00585EB5"/>
    <w:rsid w:val="00594C94"/>
    <w:rsid w:val="005A1391"/>
    <w:rsid w:val="005A1F50"/>
    <w:rsid w:val="005A24CB"/>
    <w:rsid w:val="005A7561"/>
    <w:rsid w:val="005D2DD8"/>
    <w:rsid w:val="005D3718"/>
    <w:rsid w:val="005F4220"/>
    <w:rsid w:val="00601EE4"/>
    <w:rsid w:val="00601F4E"/>
    <w:rsid w:val="006150C7"/>
    <w:rsid w:val="006162E5"/>
    <w:rsid w:val="00623FAC"/>
    <w:rsid w:val="00645444"/>
    <w:rsid w:val="00646F20"/>
    <w:rsid w:val="00651601"/>
    <w:rsid w:val="00665AE4"/>
    <w:rsid w:val="00681F7C"/>
    <w:rsid w:val="006D4343"/>
    <w:rsid w:val="006D49D5"/>
    <w:rsid w:val="006E39FD"/>
    <w:rsid w:val="006E6DFA"/>
    <w:rsid w:val="006E75FE"/>
    <w:rsid w:val="00701B79"/>
    <w:rsid w:val="00703BEC"/>
    <w:rsid w:val="00707F27"/>
    <w:rsid w:val="00723B34"/>
    <w:rsid w:val="007329CD"/>
    <w:rsid w:val="00750484"/>
    <w:rsid w:val="00752E55"/>
    <w:rsid w:val="007569DB"/>
    <w:rsid w:val="0076562A"/>
    <w:rsid w:val="00781EE8"/>
    <w:rsid w:val="0078599D"/>
    <w:rsid w:val="0079093F"/>
    <w:rsid w:val="00796636"/>
    <w:rsid w:val="007A1FEB"/>
    <w:rsid w:val="00821A00"/>
    <w:rsid w:val="00847423"/>
    <w:rsid w:val="00851210"/>
    <w:rsid w:val="00852AEE"/>
    <w:rsid w:val="00873B7E"/>
    <w:rsid w:val="0087765F"/>
    <w:rsid w:val="00887239"/>
    <w:rsid w:val="008B2BF1"/>
    <w:rsid w:val="008D5F3E"/>
    <w:rsid w:val="009057B3"/>
    <w:rsid w:val="0091695A"/>
    <w:rsid w:val="00923431"/>
    <w:rsid w:val="00977AE1"/>
    <w:rsid w:val="00981D7C"/>
    <w:rsid w:val="009B2093"/>
    <w:rsid w:val="009B3F79"/>
    <w:rsid w:val="009C1654"/>
    <w:rsid w:val="00A224A5"/>
    <w:rsid w:val="00A52562"/>
    <w:rsid w:val="00A841B2"/>
    <w:rsid w:val="00AA3BE2"/>
    <w:rsid w:val="00AB2F22"/>
    <w:rsid w:val="00AB4002"/>
    <w:rsid w:val="00AC21DA"/>
    <w:rsid w:val="00AD1BCC"/>
    <w:rsid w:val="00AD3AE2"/>
    <w:rsid w:val="00B13176"/>
    <w:rsid w:val="00B14C9A"/>
    <w:rsid w:val="00B17218"/>
    <w:rsid w:val="00B17A79"/>
    <w:rsid w:val="00B648A9"/>
    <w:rsid w:val="00B66A63"/>
    <w:rsid w:val="00B84376"/>
    <w:rsid w:val="00B92F37"/>
    <w:rsid w:val="00BC0A62"/>
    <w:rsid w:val="00BD0F2D"/>
    <w:rsid w:val="00BD3125"/>
    <w:rsid w:val="00BD519F"/>
    <w:rsid w:val="00BF3B9F"/>
    <w:rsid w:val="00C063A3"/>
    <w:rsid w:val="00C110D8"/>
    <w:rsid w:val="00C3553C"/>
    <w:rsid w:val="00C40A18"/>
    <w:rsid w:val="00C51638"/>
    <w:rsid w:val="00C51C52"/>
    <w:rsid w:val="00C53D46"/>
    <w:rsid w:val="00C961AB"/>
    <w:rsid w:val="00CA28E0"/>
    <w:rsid w:val="00CB05DB"/>
    <w:rsid w:val="00CE740B"/>
    <w:rsid w:val="00CF67BC"/>
    <w:rsid w:val="00D11D99"/>
    <w:rsid w:val="00D1378D"/>
    <w:rsid w:val="00D201E0"/>
    <w:rsid w:val="00D74117"/>
    <w:rsid w:val="00D83DE0"/>
    <w:rsid w:val="00D971D9"/>
    <w:rsid w:val="00DC3D7B"/>
    <w:rsid w:val="00DC407E"/>
    <w:rsid w:val="00DE2307"/>
    <w:rsid w:val="00DF2A8E"/>
    <w:rsid w:val="00DF351D"/>
    <w:rsid w:val="00E075B1"/>
    <w:rsid w:val="00E10B42"/>
    <w:rsid w:val="00E126FA"/>
    <w:rsid w:val="00E17F5F"/>
    <w:rsid w:val="00E41329"/>
    <w:rsid w:val="00E67AFA"/>
    <w:rsid w:val="00E7165F"/>
    <w:rsid w:val="00E92C83"/>
    <w:rsid w:val="00EB15C6"/>
    <w:rsid w:val="00EB6859"/>
    <w:rsid w:val="00EF19FF"/>
    <w:rsid w:val="00EF69F1"/>
    <w:rsid w:val="00F11969"/>
    <w:rsid w:val="00F21A22"/>
    <w:rsid w:val="00F464AD"/>
    <w:rsid w:val="00F9734F"/>
    <w:rsid w:val="00FB71D7"/>
    <w:rsid w:val="00FC1E7B"/>
    <w:rsid w:val="00FE303E"/>
    <w:rsid w:val="01C2746A"/>
    <w:rsid w:val="01FE7FA1"/>
    <w:rsid w:val="02075744"/>
    <w:rsid w:val="02145513"/>
    <w:rsid w:val="024833DD"/>
    <w:rsid w:val="02B51A3D"/>
    <w:rsid w:val="038925BA"/>
    <w:rsid w:val="039F2B37"/>
    <w:rsid w:val="03C135CD"/>
    <w:rsid w:val="040B40E7"/>
    <w:rsid w:val="04243BC3"/>
    <w:rsid w:val="046B6315"/>
    <w:rsid w:val="05183970"/>
    <w:rsid w:val="051B2487"/>
    <w:rsid w:val="05A076F5"/>
    <w:rsid w:val="05AD7534"/>
    <w:rsid w:val="05B037AB"/>
    <w:rsid w:val="05E65D9E"/>
    <w:rsid w:val="06654E55"/>
    <w:rsid w:val="06801F71"/>
    <w:rsid w:val="068B3DFE"/>
    <w:rsid w:val="06A746D2"/>
    <w:rsid w:val="06A77B77"/>
    <w:rsid w:val="06DE34FA"/>
    <w:rsid w:val="06DF07A5"/>
    <w:rsid w:val="06E10549"/>
    <w:rsid w:val="06E80D38"/>
    <w:rsid w:val="07270D96"/>
    <w:rsid w:val="073C3E5C"/>
    <w:rsid w:val="077431F5"/>
    <w:rsid w:val="077F6C28"/>
    <w:rsid w:val="078816BE"/>
    <w:rsid w:val="07987364"/>
    <w:rsid w:val="07E434C9"/>
    <w:rsid w:val="080463BA"/>
    <w:rsid w:val="08091FED"/>
    <w:rsid w:val="081B02F3"/>
    <w:rsid w:val="08237A7C"/>
    <w:rsid w:val="08265B51"/>
    <w:rsid w:val="083D43B3"/>
    <w:rsid w:val="085C2A1B"/>
    <w:rsid w:val="08614229"/>
    <w:rsid w:val="08815F44"/>
    <w:rsid w:val="08942222"/>
    <w:rsid w:val="089C7FBA"/>
    <w:rsid w:val="08B85B5C"/>
    <w:rsid w:val="08C35B5A"/>
    <w:rsid w:val="090B103D"/>
    <w:rsid w:val="09333415"/>
    <w:rsid w:val="09520856"/>
    <w:rsid w:val="09520F38"/>
    <w:rsid w:val="09595A1E"/>
    <w:rsid w:val="097357B3"/>
    <w:rsid w:val="09933C24"/>
    <w:rsid w:val="09B94436"/>
    <w:rsid w:val="09CE2544"/>
    <w:rsid w:val="09D33C85"/>
    <w:rsid w:val="09E04566"/>
    <w:rsid w:val="09F00104"/>
    <w:rsid w:val="09F06511"/>
    <w:rsid w:val="0A1016E6"/>
    <w:rsid w:val="0A1B1E2B"/>
    <w:rsid w:val="0A432307"/>
    <w:rsid w:val="0AD31CFD"/>
    <w:rsid w:val="0ADF31C6"/>
    <w:rsid w:val="0B225D61"/>
    <w:rsid w:val="0B841E6F"/>
    <w:rsid w:val="0B970794"/>
    <w:rsid w:val="0BCD2BEC"/>
    <w:rsid w:val="0C2733D3"/>
    <w:rsid w:val="0C29629E"/>
    <w:rsid w:val="0C3770AE"/>
    <w:rsid w:val="0C560C1E"/>
    <w:rsid w:val="0C73508C"/>
    <w:rsid w:val="0C93625B"/>
    <w:rsid w:val="0CAA632E"/>
    <w:rsid w:val="0CB90B8B"/>
    <w:rsid w:val="0CC13716"/>
    <w:rsid w:val="0CD707EE"/>
    <w:rsid w:val="0CF41C44"/>
    <w:rsid w:val="0CFF66B3"/>
    <w:rsid w:val="0D3368F6"/>
    <w:rsid w:val="0D833C5C"/>
    <w:rsid w:val="0D9F0BCF"/>
    <w:rsid w:val="0DAE4ED7"/>
    <w:rsid w:val="0DC9036F"/>
    <w:rsid w:val="0DE011EC"/>
    <w:rsid w:val="0E014D4E"/>
    <w:rsid w:val="0E097932"/>
    <w:rsid w:val="0E585517"/>
    <w:rsid w:val="0E642607"/>
    <w:rsid w:val="0EAA5706"/>
    <w:rsid w:val="0ED251F4"/>
    <w:rsid w:val="0EE14F67"/>
    <w:rsid w:val="0F321CB8"/>
    <w:rsid w:val="0F7337D8"/>
    <w:rsid w:val="0F757DD9"/>
    <w:rsid w:val="0F7943FC"/>
    <w:rsid w:val="0F9B1459"/>
    <w:rsid w:val="0F9B745B"/>
    <w:rsid w:val="103B654D"/>
    <w:rsid w:val="106D6EB1"/>
    <w:rsid w:val="10997D4A"/>
    <w:rsid w:val="10AF274E"/>
    <w:rsid w:val="10C90F6A"/>
    <w:rsid w:val="10DD4054"/>
    <w:rsid w:val="10FB1086"/>
    <w:rsid w:val="110A5A98"/>
    <w:rsid w:val="1141281B"/>
    <w:rsid w:val="11584C94"/>
    <w:rsid w:val="116F0B51"/>
    <w:rsid w:val="11886D12"/>
    <w:rsid w:val="119F511B"/>
    <w:rsid w:val="11A27D72"/>
    <w:rsid w:val="11CD20F0"/>
    <w:rsid w:val="11DD745A"/>
    <w:rsid w:val="12BE5BB0"/>
    <w:rsid w:val="12CB5ED2"/>
    <w:rsid w:val="12F4581A"/>
    <w:rsid w:val="12F915A2"/>
    <w:rsid w:val="135A5BAF"/>
    <w:rsid w:val="139C725E"/>
    <w:rsid w:val="13CB0831"/>
    <w:rsid w:val="13CC1231"/>
    <w:rsid w:val="1403630A"/>
    <w:rsid w:val="1417363B"/>
    <w:rsid w:val="14693844"/>
    <w:rsid w:val="14752178"/>
    <w:rsid w:val="14757F6C"/>
    <w:rsid w:val="14A11215"/>
    <w:rsid w:val="14A52991"/>
    <w:rsid w:val="14AB7E25"/>
    <w:rsid w:val="15045AE4"/>
    <w:rsid w:val="15200E13"/>
    <w:rsid w:val="152B01E1"/>
    <w:rsid w:val="157B320E"/>
    <w:rsid w:val="15957B42"/>
    <w:rsid w:val="15D2504A"/>
    <w:rsid w:val="15D87013"/>
    <w:rsid w:val="15DC33AF"/>
    <w:rsid w:val="15EA272A"/>
    <w:rsid w:val="16093F12"/>
    <w:rsid w:val="167E0868"/>
    <w:rsid w:val="167F2AE6"/>
    <w:rsid w:val="16A30722"/>
    <w:rsid w:val="16C01292"/>
    <w:rsid w:val="16DD6742"/>
    <w:rsid w:val="16EA6DC1"/>
    <w:rsid w:val="172420BB"/>
    <w:rsid w:val="17582529"/>
    <w:rsid w:val="176D4BDC"/>
    <w:rsid w:val="17C734F3"/>
    <w:rsid w:val="18381DCB"/>
    <w:rsid w:val="1843505D"/>
    <w:rsid w:val="188047B7"/>
    <w:rsid w:val="18905D55"/>
    <w:rsid w:val="18BA5879"/>
    <w:rsid w:val="19700879"/>
    <w:rsid w:val="198266F8"/>
    <w:rsid w:val="19B27594"/>
    <w:rsid w:val="19D613A5"/>
    <w:rsid w:val="1A3D6846"/>
    <w:rsid w:val="1A477213"/>
    <w:rsid w:val="1A684225"/>
    <w:rsid w:val="1A71641B"/>
    <w:rsid w:val="1A7E0761"/>
    <w:rsid w:val="1A7F56F6"/>
    <w:rsid w:val="1A8356FE"/>
    <w:rsid w:val="1A8F215D"/>
    <w:rsid w:val="1B6C65D9"/>
    <w:rsid w:val="1B80484B"/>
    <w:rsid w:val="1BC95C3B"/>
    <w:rsid w:val="1BCC6060"/>
    <w:rsid w:val="1BDD6B6D"/>
    <w:rsid w:val="1C1C116D"/>
    <w:rsid w:val="1CA871D5"/>
    <w:rsid w:val="1D3C6E3A"/>
    <w:rsid w:val="1D4B65E1"/>
    <w:rsid w:val="1D56770E"/>
    <w:rsid w:val="1D780AC0"/>
    <w:rsid w:val="1DAA27CD"/>
    <w:rsid w:val="1DCE5565"/>
    <w:rsid w:val="1DD743D9"/>
    <w:rsid w:val="1DD92075"/>
    <w:rsid w:val="1DDD79F0"/>
    <w:rsid w:val="1E0321AC"/>
    <w:rsid w:val="1E0F5FC6"/>
    <w:rsid w:val="1E607328"/>
    <w:rsid w:val="1E67086A"/>
    <w:rsid w:val="1E7E090D"/>
    <w:rsid w:val="1F2F400E"/>
    <w:rsid w:val="1F4D1AF6"/>
    <w:rsid w:val="1F743249"/>
    <w:rsid w:val="1FB71939"/>
    <w:rsid w:val="20B95174"/>
    <w:rsid w:val="20D07865"/>
    <w:rsid w:val="20D324F7"/>
    <w:rsid w:val="20F24632"/>
    <w:rsid w:val="20FE1838"/>
    <w:rsid w:val="211B6C96"/>
    <w:rsid w:val="213329C5"/>
    <w:rsid w:val="214F4456"/>
    <w:rsid w:val="215002D2"/>
    <w:rsid w:val="21F234D3"/>
    <w:rsid w:val="22584633"/>
    <w:rsid w:val="22A97F81"/>
    <w:rsid w:val="22DD1285"/>
    <w:rsid w:val="22EA243A"/>
    <w:rsid w:val="23012FEE"/>
    <w:rsid w:val="23053F73"/>
    <w:rsid w:val="232447EE"/>
    <w:rsid w:val="238C3DCC"/>
    <w:rsid w:val="23A73475"/>
    <w:rsid w:val="23A947B4"/>
    <w:rsid w:val="23B42371"/>
    <w:rsid w:val="23CE1795"/>
    <w:rsid w:val="2413445B"/>
    <w:rsid w:val="24370E46"/>
    <w:rsid w:val="24374E0D"/>
    <w:rsid w:val="244544C4"/>
    <w:rsid w:val="24556664"/>
    <w:rsid w:val="24884606"/>
    <w:rsid w:val="248A172F"/>
    <w:rsid w:val="24A44FCA"/>
    <w:rsid w:val="24BF7C48"/>
    <w:rsid w:val="25034674"/>
    <w:rsid w:val="256E1E04"/>
    <w:rsid w:val="25F22148"/>
    <w:rsid w:val="26031471"/>
    <w:rsid w:val="26241258"/>
    <w:rsid w:val="26350035"/>
    <w:rsid w:val="26497632"/>
    <w:rsid w:val="26625565"/>
    <w:rsid w:val="26667669"/>
    <w:rsid w:val="2692582F"/>
    <w:rsid w:val="26A238D1"/>
    <w:rsid w:val="26C6461A"/>
    <w:rsid w:val="270A7F0C"/>
    <w:rsid w:val="277B1FD3"/>
    <w:rsid w:val="27FF04EB"/>
    <w:rsid w:val="280111E8"/>
    <w:rsid w:val="28090880"/>
    <w:rsid w:val="285F5CF1"/>
    <w:rsid w:val="28F61891"/>
    <w:rsid w:val="290F5C12"/>
    <w:rsid w:val="292D310D"/>
    <w:rsid w:val="29DF053E"/>
    <w:rsid w:val="29EA73A8"/>
    <w:rsid w:val="29F03843"/>
    <w:rsid w:val="2A202837"/>
    <w:rsid w:val="2A3E0F28"/>
    <w:rsid w:val="2A652F6A"/>
    <w:rsid w:val="2A6E3D1F"/>
    <w:rsid w:val="2A823336"/>
    <w:rsid w:val="2B04259D"/>
    <w:rsid w:val="2B4E125B"/>
    <w:rsid w:val="2B611A9C"/>
    <w:rsid w:val="2B80033F"/>
    <w:rsid w:val="2B811A17"/>
    <w:rsid w:val="2BA026E4"/>
    <w:rsid w:val="2BA1457D"/>
    <w:rsid w:val="2BBD3A4E"/>
    <w:rsid w:val="2BBD3DEC"/>
    <w:rsid w:val="2BDF2C89"/>
    <w:rsid w:val="2C1C313E"/>
    <w:rsid w:val="2C244D36"/>
    <w:rsid w:val="2C2B6BB2"/>
    <w:rsid w:val="2C3534B9"/>
    <w:rsid w:val="2C3A0734"/>
    <w:rsid w:val="2D1631F1"/>
    <w:rsid w:val="2D2E1B77"/>
    <w:rsid w:val="2DA15C72"/>
    <w:rsid w:val="2DC072C1"/>
    <w:rsid w:val="2DDB4E90"/>
    <w:rsid w:val="2E6E1455"/>
    <w:rsid w:val="2F0612DE"/>
    <w:rsid w:val="2F245688"/>
    <w:rsid w:val="2F625A47"/>
    <w:rsid w:val="2F680525"/>
    <w:rsid w:val="2FAC2B89"/>
    <w:rsid w:val="2FAD34E7"/>
    <w:rsid w:val="2FF373B6"/>
    <w:rsid w:val="300B1CA4"/>
    <w:rsid w:val="30120362"/>
    <w:rsid w:val="30390DAB"/>
    <w:rsid w:val="3048496F"/>
    <w:rsid w:val="30C55035"/>
    <w:rsid w:val="30D84139"/>
    <w:rsid w:val="310D7059"/>
    <w:rsid w:val="310F62A8"/>
    <w:rsid w:val="311D35B0"/>
    <w:rsid w:val="313304FA"/>
    <w:rsid w:val="313F6CD7"/>
    <w:rsid w:val="319950A5"/>
    <w:rsid w:val="31E57BAB"/>
    <w:rsid w:val="31F22D21"/>
    <w:rsid w:val="322B62A6"/>
    <w:rsid w:val="324939F3"/>
    <w:rsid w:val="329D4F31"/>
    <w:rsid w:val="32E77899"/>
    <w:rsid w:val="32FE1989"/>
    <w:rsid w:val="333F1D86"/>
    <w:rsid w:val="3351006D"/>
    <w:rsid w:val="336227B2"/>
    <w:rsid w:val="33993699"/>
    <w:rsid w:val="33E21E8A"/>
    <w:rsid w:val="33E62A40"/>
    <w:rsid w:val="33F328FD"/>
    <w:rsid w:val="34330B4B"/>
    <w:rsid w:val="344011F5"/>
    <w:rsid w:val="34444FAD"/>
    <w:rsid w:val="344707C8"/>
    <w:rsid w:val="34767BED"/>
    <w:rsid w:val="34966721"/>
    <w:rsid w:val="34BD480A"/>
    <w:rsid w:val="34E475A7"/>
    <w:rsid w:val="355C3B6F"/>
    <w:rsid w:val="356F4291"/>
    <w:rsid w:val="35A528AE"/>
    <w:rsid w:val="35CE7AA2"/>
    <w:rsid w:val="35E5500D"/>
    <w:rsid w:val="35EC5486"/>
    <w:rsid w:val="35F92EE4"/>
    <w:rsid w:val="360C0E96"/>
    <w:rsid w:val="36316AE8"/>
    <w:rsid w:val="363E239B"/>
    <w:rsid w:val="364512A3"/>
    <w:rsid w:val="36865F81"/>
    <w:rsid w:val="36D30646"/>
    <w:rsid w:val="3700103C"/>
    <w:rsid w:val="370657F8"/>
    <w:rsid w:val="371F1FA5"/>
    <w:rsid w:val="374F35CA"/>
    <w:rsid w:val="37507FB1"/>
    <w:rsid w:val="37703112"/>
    <w:rsid w:val="378846C4"/>
    <w:rsid w:val="37892CCB"/>
    <w:rsid w:val="378C68CF"/>
    <w:rsid w:val="37BA755C"/>
    <w:rsid w:val="37F74834"/>
    <w:rsid w:val="38160C21"/>
    <w:rsid w:val="383C042E"/>
    <w:rsid w:val="38512F79"/>
    <w:rsid w:val="388A6199"/>
    <w:rsid w:val="389E1899"/>
    <w:rsid w:val="389E4046"/>
    <w:rsid w:val="38E36653"/>
    <w:rsid w:val="38F944C7"/>
    <w:rsid w:val="39135171"/>
    <w:rsid w:val="39321AA7"/>
    <w:rsid w:val="39340FCF"/>
    <w:rsid w:val="395211D9"/>
    <w:rsid w:val="39A81CA5"/>
    <w:rsid w:val="39B34140"/>
    <w:rsid w:val="39B36FDE"/>
    <w:rsid w:val="39B52237"/>
    <w:rsid w:val="39DB11D0"/>
    <w:rsid w:val="39F22B71"/>
    <w:rsid w:val="39FF786D"/>
    <w:rsid w:val="3A122AD9"/>
    <w:rsid w:val="3AD12948"/>
    <w:rsid w:val="3AF00E34"/>
    <w:rsid w:val="3B4C50AC"/>
    <w:rsid w:val="3B544D99"/>
    <w:rsid w:val="3B645E11"/>
    <w:rsid w:val="3BDF6193"/>
    <w:rsid w:val="3BE16062"/>
    <w:rsid w:val="3BE60482"/>
    <w:rsid w:val="3C19743A"/>
    <w:rsid w:val="3C7D32A8"/>
    <w:rsid w:val="3CFE5450"/>
    <w:rsid w:val="3D0661D9"/>
    <w:rsid w:val="3D163DC8"/>
    <w:rsid w:val="3D566C5C"/>
    <w:rsid w:val="3D6226B6"/>
    <w:rsid w:val="3DAE21D3"/>
    <w:rsid w:val="3DD4628D"/>
    <w:rsid w:val="3DD87698"/>
    <w:rsid w:val="3E484CED"/>
    <w:rsid w:val="3E5B59C6"/>
    <w:rsid w:val="3E810E3F"/>
    <w:rsid w:val="3E983D89"/>
    <w:rsid w:val="3ED307DF"/>
    <w:rsid w:val="3EDF2419"/>
    <w:rsid w:val="3EEE5BBB"/>
    <w:rsid w:val="3EF67F3D"/>
    <w:rsid w:val="3F1957A6"/>
    <w:rsid w:val="3F2F18AF"/>
    <w:rsid w:val="3F315387"/>
    <w:rsid w:val="3FA23C28"/>
    <w:rsid w:val="400D3074"/>
    <w:rsid w:val="405231F9"/>
    <w:rsid w:val="405B0FAC"/>
    <w:rsid w:val="407A6D91"/>
    <w:rsid w:val="409143A8"/>
    <w:rsid w:val="40CA51E7"/>
    <w:rsid w:val="40CB5A57"/>
    <w:rsid w:val="40D56BCF"/>
    <w:rsid w:val="410A1031"/>
    <w:rsid w:val="41281D2D"/>
    <w:rsid w:val="41593955"/>
    <w:rsid w:val="41B96E56"/>
    <w:rsid w:val="41E46023"/>
    <w:rsid w:val="4215328B"/>
    <w:rsid w:val="426344B7"/>
    <w:rsid w:val="428B6C31"/>
    <w:rsid w:val="42992873"/>
    <w:rsid w:val="42B37F10"/>
    <w:rsid w:val="4305485B"/>
    <w:rsid w:val="436D6061"/>
    <w:rsid w:val="44070A53"/>
    <w:rsid w:val="440930AB"/>
    <w:rsid w:val="44431BA7"/>
    <w:rsid w:val="44CC140D"/>
    <w:rsid w:val="44D52D48"/>
    <w:rsid w:val="44F33B5E"/>
    <w:rsid w:val="44FB76F2"/>
    <w:rsid w:val="453374F6"/>
    <w:rsid w:val="45A342E0"/>
    <w:rsid w:val="45B31AE9"/>
    <w:rsid w:val="45C77E90"/>
    <w:rsid w:val="468137E3"/>
    <w:rsid w:val="46D04953"/>
    <w:rsid w:val="46EC06C0"/>
    <w:rsid w:val="47086576"/>
    <w:rsid w:val="476D5763"/>
    <w:rsid w:val="47C55979"/>
    <w:rsid w:val="47C74457"/>
    <w:rsid w:val="480A2CB8"/>
    <w:rsid w:val="48147484"/>
    <w:rsid w:val="482E5F3D"/>
    <w:rsid w:val="48335E02"/>
    <w:rsid w:val="485C3958"/>
    <w:rsid w:val="487415B6"/>
    <w:rsid w:val="488A33A4"/>
    <w:rsid w:val="489C65B6"/>
    <w:rsid w:val="48B920E4"/>
    <w:rsid w:val="48C00CD8"/>
    <w:rsid w:val="48CB114F"/>
    <w:rsid w:val="48FE5073"/>
    <w:rsid w:val="494C239A"/>
    <w:rsid w:val="4966177E"/>
    <w:rsid w:val="49B37152"/>
    <w:rsid w:val="49B57660"/>
    <w:rsid w:val="49C25A1F"/>
    <w:rsid w:val="49E06E74"/>
    <w:rsid w:val="49F5102F"/>
    <w:rsid w:val="4A1D2850"/>
    <w:rsid w:val="4A2A49D6"/>
    <w:rsid w:val="4A652144"/>
    <w:rsid w:val="4AA121C4"/>
    <w:rsid w:val="4AB47B1A"/>
    <w:rsid w:val="4B0A4276"/>
    <w:rsid w:val="4B2B5E3E"/>
    <w:rsid w:val="4B467599"/>
    <w:rsid w:val="4B844C82"/>
    <w:rsid w:val="4C253E52"/>
    <w:rsid w:val="4C517BCD"/>
    <w:rsid w:val="4C6D7707"/>
    <w:rsid w:val="4C823C01"/>
    <w:rsid w:val="4CD45587"/>
    <w:rsid w:val="4CF818E7"/>
    <w:rsid w:val="4D34717B"/>
    <w:rsid w:val="4D571D69"/>
    <w:rsid w:val="4DDA1DC0"/>
    <w:rsid w:val="4E45783A"/>
    <w:rsid w:val="4E5142A1"/>
    <w:rsid w:val="4E7D1027"/>
    <w:rsid w:val="4E8B5A8C"/>
    <w:rsid w:val="4EA6758D"/>
    <w:rsid w:val="4EFF43B8"/>
    <w:rsid w:val="4F193382"/>
    <w:rsid w:val="4F1A7968"/>
    <w:rsid w:val="4F393090"/>
    <w:rsid w:val="4F567BC2"/>
    <w:rsid w:val="4F6659DA"/>
    <w:rsid w:val="4F7B303C"/>
    <w:rsid w:val="4F9218DA"/>
    <w:rsid w:val="4FB17B00"/>
    <w:rsid w:val="4FDA40F3"/>
    <w:rsid w:val="50116EA4"/>
    <w:rsid w:val="50395E5F"/>
    <w:rsid w:val="504232F1"/>
    <w:rsid w:val="504909E3"/>
    <w:rsid w:val="51311725"/>
    <w:rsid w:val="516B4E38"/>
    <w:rsid w:val="518A6689"/>
    <w:rsid w:val="51A162A1"/>
    <w:rsid w:val="51D42190"/>
    <w:rsid w:val="52355C85"/>
    <w:rsid w:val="529244DC"/>
    <w:rsid w:val="52BF4996"/>
    <w:rsid w:val="52C43870"/>
    <w:rsid w:val="531827AF"/>
    <w:rsid w:val="53193FAF"/>
    <w:rsid w:val="53727F2C"/>
    <w:rsid w:val="538251C2"/>
    <w:rsid w:val="53B27703"/>
    <w:rsid w:val="53C42765"/>
    <w:rsid w:val="53E62D14"/>
    <w:rsid w:val="53E76713"/>
    <w:rsid w:val="54402B29"/>
    <w:rsid w:val="544655DB"/>
    <w:rsid w:val="549855F7"/>
    <w:rsid w:val="54E5485D"/>
    <w:rsid w:val="552E232B"/>
    <w:rsid w:val="55547E06"/>
    <w:rsid w:val="5568735E"/>
    <w:rsid w:val="55765D52"/>
    <w:rsid w:val="55C6396E"/>
    <w:rsid w:val="55DD5CA4"/>
    <w:rsid w:val="56181EEB"/>
    <w:rsid w:val="56340152"/>
    <w:rsid w:val="563C5138"/>
    <w:rsid w:val="56EB3DB3"/>
    <w:rsid w:val="57134F76"/>
    <w:rsid w:val="575D0F3B"/>
    <w:rsid w:val="57667897"/>
    <w:rsid w:val="579C3EC5"/>
    <w:rsid w:val="57B91A8D"/>
    <w:rsid w:val="57BF4585"/>
    <w:rsid w:val="581039AE"/>
    <w:rsid w:val="581854EB"/>
    <w:rsid w:val="5867163B"/>
    <w:rsid w:val="586E4232"/>
    <w:rsid w:val="58D76ACA"/>
    <w:rsid w:val="58DB6093"/>
    <w:rsid w:val="58EE30DE"/>
    <w:rsid w:val="58EF4364"/>
    <w:rsid w:val="58F473A9"/>
    <w:rsid w:val="59381ED1"/>
    <w:rsid w:val="5955044F"/>
    <w:rsid w:val="5964463B"/>
    <w:rsid w:val="598A2927"/>
    <w:rsid w:val="599328A3"/>
    <w:rsid w:val="59CA6FA6"/>
    <w:rsid w:val="59F76F6C"/>
    <w:rsid w:val="5A1D734A"/>
    <w:rsid w:val="5A4A7030"/>
    <w:rsid w:val="5A517AE6"/>
    <w:rsid w:val="5A6015C9"/>
    <w:rsid w:val="5A8E76C3"/>
    <w:rsid w:val="5AAD65A3"/>
    <w:rsid w:val="5AB41277"/>
    <w:rsid w:val="5AD26375"/>
    <w:rsid w:val="5AEA7728"/>
    <w:rsid w:val="5AFC4AF7"/>
    <w:rsid w:val="5B431D88"/>
    <w:rsid w:val="5B4468AB"/>
    <w:rsid w:val="5BD95F0B"/>
    <w:rsid w:val="5C9402A0"/>
    <w:rsid w:val="5CB836EB"/>
    <w:rsid w:val="5CF31F82"/>
    <w:rsid w:val="5CFB4CD6"/>
    <w:rsid w:val="5D62776C"/>
    <w:rsid w:val="5D85747B"/>
    <w:rsid w:val="5DA5501D"/>
    <w:rsid w:val="5DB42B0C"/>
    <w:rsid w:val="5DB7625C"/>
    <w:rsid w:val="5DBE5CA5"/>
    <w:rsid w:val="5DC92135"/>
    <w:rsid w:val="5DE21B2C"/>
    <w:rsid w:val="5DEF66CB"/>
    <w:rsid w:val="5EA40CA9"/>
    <w:rsid w:val="5EFA59F1"/>
    <w:rsid w:val="5F2E5A04"/>
    <w:rsid w:val="5F710E6E"/>
    <w:rsid w:val="5F817501"/>
    <w:rsid w:val="5F865260"/>
    <w:rsid w:val="5F8975E5"/>
    <w:rsid w:val="5FB14A88"/>
    <w:rsid w:val="5FC01866"/>
    <w:rsid w:val="5FC23240"/>
    <w:rsid w:val="6030388F"/>
    <w:rsid w:val="60580521"/>
    <w:rsid w:val="607E53C0"/>
    <w:rsid w:val="60A641EA"/>
    <w:rsid w:val="60C1282C"/>
    <w:rsid w:val="60D61509"/>
    <w:rsid w:val="60D77410"/>
    <w:rsid w:val="615F5B84"/>
    <w:rsid w:val="61C03F0D"/>
    <w:rsid w:val="61CA7369"/>
    <w:rsid w:val="62460214"/>
    <w:rsid w:val="624B5FC3"/>
    <w:rsid w:val="626E048C"/>
    <w:rsid w:val="62B03A46"/>
    <w:rsid w:val="62DD7088"/>
    <w:rsid w:val="6326404D"/>
    <w:rsid w:val="633B53D4"/>
    <w:rsid w:val="63607706"/>
    <w:rsid w:val="6377655A"/>
    <w:rsid w:val="63890FC0"/>
    <w:rsid w:val="639C2CC9"/>
    <w:rsid w:val="640612B1"/>
    <w:rsid w:val="646F6F17"/>
    <w:rsid w:val="647C2F42"/>
    <w:rsid w:val="64893A8B"/>
    <w:rsid w:val="64A53AE0"/>
    <w:rsid w:val="64C07777"/>
    <w:rsid w:val="64D02419"/>
    <w:rsid w:val="64D620C2"/>
    <w:rsid w:val="64E202C9"/>
    <w:rsid w:val="64FE55CE"/>
    <w:rsid w:val="6501233E"/>
    <w:rsid w:val="65020B4A"/>
    <w:rsid w:val="6506441D"/>
    <w:rsid w:val="65263412"/>
    <w:rsid w:val="653D7D3E"/>
    <w:rsid w:val="65610B1C"/>
    <w:rsid w:val="65901B7A"/>
    <w:rsid w:val="65DB19D2"/>
    <w:rsid w:val="65E22265"/>
    <w:rsid w:val="65E42257"/>
    <w:rsid w:val="65F444E5"/>
    <w:rsid w:val="66E470BD"/>
    <w:rsid w:val="66E80CA2"/>
    <w:rsid w:val="671E7F66"/>
    <w:rsid w:val="67572445"/>
    <w:rsid w:val="677D2DD5"/>
    <w:rsid w:val="67C17E6C"/>
    <w:rsid w:val="67FF5FD2"/>
    <w:rsid w:val="68026556"/>
    <w:rsid w:val="6823302E"/>
    <w:rsid w:val="682467E9"/>
    <w:rsid w:val="688B1913"/>
    <w:rsid w:val="68C51993"/>
    <w:rsid w:val="68E4467A"/>
    <w:rsid w:val="69061716"/>
    <w:rsid w:val="690E6920"/>
    <w:rsid w:val="691F397A"/>
    <w:rsid w:val="695461DE"/>
    <w:rsid w:val="69903A7C"/>
    <w:rsid w:val="699C332F"/>
    <w:rsid w:val="69AA7056"/>
    <w:rsid w:val="69F9475B"/>
    <w:rsid w:val="6A192A9F"/>
    <w:rsid w:val="6A405B6E"/>
    <w:rsid w:val="6A7715DC"/>
    <w:rsid w:val="6A850EF9"/>
    <w:rsid w:val="6AA35BEC"/>
    <w:rsid w:val="6AB56222"/>
    <w:rsid w:val="6B245E9C"/>
    <w:rsid w:val="6B2E1CE2"/>
    <w:rsid w:val="6B3362BE"/>
    <w:rsid w:val="6B530C65"/>
    <w:rsid w:val="6B950DB7"/>
    <w:rsid w:val="6BA45061"/>
    <w:rsid w:val="6BA91DD0"/>
    <w:rsid w:val="6BAB153D"/>
    <w:rsid w:val="6BE124EF"/>
    <w:rsid w:val="6C072AD6"/>
    <w:rsid w:val="6C790E6E"/>
    <w:rsid w:val="6CCD43E7"/>
    <w:rsid w:val="6D142AA2"/>
    <w:rsid w:val="6D1B312B"/>
    <w:rsid w:val="6D285DDB"/>
    <w:rsid w:val="6D442E41"/>
    <w:rsid w:val="6D44368C"/>
    <w:rsid w:val="6D7A3720"/>
    <w:rsid w:val="6D841A2A"/>
    <w:rsid w:val="6D9D3E1D"/>
    <w:rsid w:val="6DBD738F"/>
    <w:rsid w:val="6DF2403C"/>
    <w:rsid w:val="6ECB7B91"/>
    <w:rsid w:val="6EF347D2"/>
    <w:rsid w:val="6F0A4E3F"/>
    <w:rsid w:val="6F452B23"/>
    <w:rsid w:val="6F48421B"/>
    <w:rsid w:val="6F4D31F3"/>
    <w:rsid w:val="6F816972"/>
    <w:rsid w:val="70395A6B"/>
    <w:rsid w:val="70636084"/>
    <w:rsid w:val="70712315"/>
    <w:rsid w:val="70F57FDE"/>
    <w:rsid w:val="71157905"/>
    <w:rsid w:val="71270B35"/>
    <w:rsid w:val="713008FD"/>
    <w:rsid w:val="71394D94"/>
    <w:rsid w:val="718612BD"/>
    <w:rsid w:val="71BB67F8"/>
    <w:rsid w:val="71C0303B"/>
    <w:rsid w:val="71DF360D"/>
    <w:rsid w:val="7200358C"/>
    <w:rsid w:val="72462F5E"/>
    <w:rsid w:val="729B360F"/>
    <w:rsid w:val="72C35C37"/>
    <w:rsid w:val="73192585"/>
    <w:rsid w:val="732E1036"/>
    <w:rsid w:val="734F3F2A"/>
    <w:rsid w:val="7354529D"/>
    <w:rsid w:val="736E4B63"/>
    <w:rsid w:val="737B3DF4"/>
    <w:rsid w:val="73EA794F"/>
    <w:rsid w:val="74216E9F"/>
    <w:rsid w:val="742D6E42"/>
    <w:rsid w:val="74383198"/>
    <w:rsid w:val="74412279"/>
    <w:rsid w:val="74863420"/>
    <w:rsid w:val="74A630CB"/>
    <w:rsid w:val="74C701DD"/>
    <w:rsid w:val="74E470EC"/>
    <w:rsid w:val="74E82C49"/>
    <w:rsid w:val="750255AB"/>
    <w:rsid w:val="75037BD8"/>
    <w:rsid w:val="750D436F"/>
    <w:rsid w:val="75114284"/>
    <w:rsid w:val="75241BA2"/>
    <w:rsid w:val="7528513C"/>
    <w:rsid w:val="75533849"/>
    <w:rsid w:val="75F64BB0"/>
    <w:rsid w:val="76547261"/>
    <w:rsid w:val="76625C9C"/>
    <w:rsid w:val="76644950"/>
    <w:rsid w:val="76C56A32"/>
    <w:rsid w:val="76E37366"/>
    <w:rsid w:val="76F35CCE"/>
    <w:rsid w:val="77036328"/>
    <w:rsid w:val="77490300"/>
    <w:rsid w:val="7754644D"/>
    <w:rsid w:val="77AE52CE"/>
    <w:rsid w:val="77D93FCE"/>
    <w:rsid w:val="782452A9"/>
    <w:rsid w:val="78313705"/>
    <w:rsid w:val="786A52BF"/>
    <w:rsid w:val="788F06AA"/>
    <w:rsid w:val="78C43470"/>
    <w:rsid w:val="791B7F2A"/>
    <w:rsid w:val="79734EB6"/>
    <w:rsid w:val="797835D8"/>
    <w:rsid w:val="79F7640B"/>
    <w:rsid w:val="7A7F7799"/>
    <w:rsid w:val="7A89611A"/>
    <w:rsid w:val="7AA77B2E"/>
    <w:rsid w:val="7AB92A26"/>
    <w:rsid w:val="7B17755D"/>
    <w:rsid w:val="7B1E51FC"/>
    <w:rsid w:val="7B281919"/>
    <w:rsid w:val="7B2E2138"/>
    <w:rsid w:val="7B3E6593"/>
    <w:rsid w:val="7B642817"/>
    <w:rsid w:val="7B752478"/>
    <w:rsid w:val="7B773A93"/>
    <w:rsid w:val="7B9B3D25"/>
    <w:rsid w:val="7BD341A0"/>
    <w:rsid w:val="7BFE6EA6"/>
    <w:rsid w:val="7C164B28"/>
    <w:rsid w:val="7CC51F6A"/>
    <w:rsid w:val="7CC66E6E"/>
    <w:rsid w:val="7D783272"/>
    <w:rsid w:val="7DFC111D"/>
    <w:rsid w:val="7E937E6E"/>
    <w:rsid w:val="7EA90992"/>
    <w:rsid w:val="7EB52B56"/>
    <w:rsid w:val="7EFC3AF9"/>
    <w:rsid w:val="7F132BF7"/>
    <w:rsid w:val="7F157A67"/>
    <w:rsid w:val="7F471F5F"/>
    <w:rsid w:val="7FD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57645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50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F0511"/>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5A13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Subtitle"/>
    <w:basedOn w:val="a"/>
    <w:next w:val="a"/>
    <w:qFormat/>
    <w:pPr>
      <w:spacing w:before="240" w:after="60" w:line="312" w:lineRule="auto"/>
      <w:jc w:val="center"/>
      <w:outlineLvl w:val="1"/>
    </w:pPr>
    <w:rPr>
      <w:rFonts w:ascii="Cambria" w:hAnsi="Cambria" w:cs="Times New Roman"/>
      <w:b/>
      <w:bCs/>
      <w:kern w:val="28"/>
      <w:sz w:val="32"/>
      <w:szCs w:val="32"/>
    </w:rPr>
  </w:style>
  <w:style w:type="character" w:styleId="a7">
    <w:name w:val="annotation reference"/>
    <w:qFormat/>
    <w:rPr>
      <w:sz w:val="21"/>
      <w:szCs w:val="21"/>
    </w:rPr>
  </w:style>
  <w:style w:type="paragraph" w:styleId="a8">
    <w:name w:val="List Paragraph"/>
    <w:aliases w:val="编号,列出段落12,列出段落4,List Paragraph,正文段落1,符号列表,列出段落3"/>
    <w:basedOn w:val="a"/>
    <w:qFormat/>
    <w:rsid w:val="00752E55"/>
    <w:pPr>
      <w:ind w:firstLineChars="200" w:firstLine="420"/>
    </w:pPr>
    <w:rPr>
      <w:szCs w:val="22"/>
    </w:rPr>
  </w:style>
  <w:style w:type="paragraph" w:styleId="a9">
    <w:name w:val="Normal Indent"/>
    <w:aliases w:val="ALT+Z,表正文,正文非缩进,特点,水上软件,段1,正文不缩进,特点 Char,特点正文,PI,正文文字首行缩进,特点标题,特点 Char Char,四号,Normal Indent Char,表正文 Char,正文非缩进 Char Char,标题4 Char,正文缩进 Char1,正文缩进 Char Char,缩进,正文双线,表,正文(首行缩进两字),正文(首行缩进两字)1,正文缩进 Char,上海中望标准正文（首行缩进两字）,正文（首行缩进两字） Char,标题四,pp,正文编"/>
    <w:basedOn w:val="a"/>
    <w:link w:val="Char2"/>
    <w:rsid w:val="006E6DFA"/>
    <w:pPr>
      <w:autoSpaceDE w:val="0"/>
      <w:autoSpaceDN w:val="0"/>
      <w:adjustRightInd w:val="0"/>
      <w:ind w:firstLine="420"/>
      <w:jc w:val="left"/>
    </w:pPr>
    <w:rPr>
      <w:rFonts w:ascii="宋体" w:eastAsia="宋体" w:hAnsi="Times New Roman" w:cs="Times New Roman"/>
      <w:kern w:val="0"/>
      <w:sz w:val="24"/>
      <w:szCs w:val="20"/>
    </w:rPr>
  </w:style>
  <w:style w:type="character" w:customStyle="1" w:styleId="Char2">
    <w:name w:val="正文缩进 Char2"/>
    <w:aliases w:val="ALT+Z Char,表正文 Char1,正文非缩进 Char,特点 Char1,水上软件 Char,段1 Char,正文不缩进 Char,特点 Char Char1,特点正文 Char,PI Char,正文文字首行缩进 Char,特点标题 Char,特点 Char Char Char,四号 Char,Normal Indent Char Char,表正文 Char Char,正文非缩进 Char Char Char,标题4 Char Char,正文缩进 Char1 Char"/>
    <w:link w:val="a9"/>
    <w:rsid w:val="006E6DFA"/>
    <w:rPr>
      <w:rFonts w:ascii="宋体"/>
      <w:sz w:val="24"/>
    </w:rPr>
  </w:style>
  <w:style w:type="character" w:customStyle="1" w:styleId="1Char">
    <w:name w:val="标题 1 Char"/>
    <w:basedOn w:val="a0"/>
    <w:link w:val="1"/>
    <w:rsid w:val="0057645C"/>
    <w:rPr>
      <w:rFonts w:asciiTheme="minorHAnsi" w:eastAsiaTheme="minorEastAsia" w:hAnsiTheme="minorHAnsi" w:cstheme="minorBidi"/>
      <w:b/>
      <w:bCs/>
      <w:kern w:val="44"/>
      <w:sz w:val="44"/>
      <w:szCs w:val="44"/>
    </w:rPr>
  </w:style>
  <w:style w:type="character" w:customStyle="1" w:styleId="2Char">
    <w:name w:val="标题 2 Char"/>
    <w:basedOn w:val="a0"/>
    <w:link w:val="2"/>
    <w:rsid w:val="00750484"/>
    <w:rPr>
      <w:rFonts w:asciiTheme="majorHAnsi" w:eastAsiaTheme="majorEastAsia" w:hAnsiTheme="majorHAnsi" w:cstheme="majorBidi"/>
      <w:b/>
      <w:bCs/>
      <w:kern w:val="2"/>
      <w:sz w:val="32"/>
      <w:szCs w:val="32"/>
    </w:rPr>
  </w:style>
  <w:style w:type="character" w:customStyle="1" w:styleId="3Char">
    <w:name w:val="标题 3 Char"/>
    <w:basedOn w:val="a0"/>
    <w:link w:val="3"/>
    <w:rsid w:val="004F0511"/>
    <w:rPr>
      <w:rFonts w:asciiTheme="minorHAnsi" w:eastAsiaTheme="minorEastAsia" w:hAnsiTheme="minorHAnsi" w:cstheme="minorBidi"/>
      <w:b/>
      <w:bCs/>
      <w:kern w:val="2"/>
      <w:sz w:val="32"/>
      <w:szCs w:val="32"/>
    </w:rPr>
  </w:style>
  <w:style w:type="character" w:customStyle="1" w:styleId="4Char">
    <w:name w:val="标题 4 Char"/>
    <w:basedOn w:val="a0"/>
    <w:link w:val="4"/>
    <w:rsid w:val="005A1391"/>
    <w:rPr>
      <w:rFonts w:asciiTheme="majorHAnsi" w:eastAsiaTheme="majorEastAsia" w:hAnsiTheme="majorHAnsi" w:cstheme="majorBidi"/>
      <w:b/>
      <w:bCs/>
      <w:kern w:val="2"/>
      <w:sz w:val="28"/>
      <w:szCs w:val="28"/>
    </w:rPr>
  </w:style>
  <w:style w:type="paragraph" w:styleId="aa">
    <w:name w:val="Balloon Text"/>
    <w:basedOn w:val="a"/>
    <w:link w:val="Char"/>
    <w:rsid w:val="008B2BF1"/>
    <w:rPr>
      <w:sz w:val="18"/>
      <w:szCs w:val="18"/>
    </w:rPr>
  </w:style>
  <w:style w:type="character" w:customStyle="1" w:styleId="Char">
    <w:name w:val="批注框文本 Char"/>
    <w:basedOn w:val="a0"/>
    <w:link w:val="aa"/>
    <w:rsid w:val="008B2BF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57645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504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F0511"/>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5A13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Subtitle"/>
    <w:basedOn w:val="a"/>
    <w:next w:val="a"/>
    <w:qFormat/>
    <w:pPr>
      <w:spacing w:before="240" w:after="60" w:line="312" w:lineRule="auto"/>
      <w:jc w:val="center"/>
      <w:outlineLvl w:val="1"/>
    </w:pPr>
    <w:rPr>
      <w:rFonts w:ascii="Cambria" w:hAnsi="Cambria" w:cs="Times New Roman"/>
      <w:b/>
      <w:bCs/>
      <w:kern w:val="28"/>
      <w:sz w:val="32"/>
      <w:szCs w:val="32"/>
    </w:rPr>
  </w:style>
  <w:style w:type="character" w:styleId="a7">
    <w:name w:val="annotation reference"/>
    <w:qFormat/>
    <w:rPr>
      <w:sz w:val="21"/>
      <w:szCs w:val="21"/>
    </w:rPr>
  </w:style>
  <w:style w:type="paragraph" w:styleId="a8">
    <w:name w:val="List Paragraph"/>
    <w:aliases w:val="编号,列出段落12,列出段落4,List Paragraph,正文段落1,符号列表,列出段落3"/>
    <w:basedOn w:val="a"/>
    <w:qFormat/>
    <w:rsid w:val="00752E55"/>
    <w:pPr>
      <w:ind w:firstLineChars="200" w:firstLine="420"/>
    </w:pPr>
    <w:rPr>
      <w:szCs w:val="22"/>
    </w:rPr>
  </w:style>
  <w:style w:type="paragraph" w:styleId="a9">
    <w:name w:val="Normal Indent"/>
    <w:aliases w:val="ALT+Z,表正文,正文非缩进,特点,水上软件,段1,正文不缩进,特点 Char,特点正文,PI,正文文字首行缩进,特点标题,特点 Char Char,四号,Normal Indent Char,表正文 Char,正文非缩进 Char Char,标题4 Char,正文缩进 Char1,正文缩进 Char Char,缩进,正文双线,表,正文(首行缩进两字),正文(首行缩进两字)1,正文缩进 Char,上海中望标准正文（首行缩进两字）,正文（首行缩进两字） Char,标题四,pp,正文编"/>
    <w:basedOn w:val="a"/>
    <w:link w:val="Char2"/>
    <w:rsid w:val="006E6DFA"/>
    <w:pPr>
      <w:autoSpaceDE w:val="0"/>
      <w:autoSpaceDN w:val="0"/>
      <w:adjustRightInd w:val="0"/>
      <w:ind w:firstLine="420"/>
      <w:jc w:val="left"/>
    </w:pPr>
    <w:rPr>
      <w:rFonts w:ascii="宋体" w:eastAsia="宋体" w:hAnsi="Times New Roman" w:cs="Times New Roman"/>
      <w:kern w:val="0"/>
      <w:sz w:val="24"/>
      <w:szCs w:val="20"/>
    </w:rPr>
  </w:style>
  <w:style w:type="character" w:customStyle="1" w:styleId="Char2">
    <w:name w:val="正文缩进 Char2"/>
    <w:aliases w:val="ALT+Z Char,表正文 Char1,正文非缩进 Char,特点 Char1,水上软件 Char,段1 Char,正文不缩进 Char,特点 Char Char1,特点正文 Char,PI Char,正文文字首行缩进 Char,特点标题 Char,特点 Char Char Char,四号 Char,Normal Indent Char Char,表正文 Char Char,正文非缩进 Char Char Char,标题4 Char Char,正文缩进 Char1 Char"/>
    <w:link w:val="a9"/>
    <w:rsid w:val="006E6DFA"/>
    <w:rPr>
      <w:rFonts w:ascii="宋体"/>
      <w:sz w:val="24"/>
    </w:rPr>
  </w:style>
  <w:style w:type="character" w:customStyle="1" w:styleId="1Char">
    <w:name w:val="标题 1 Char"/>
    <w:basedOn w:val="a0"/>
    <w:link w:val="1"/>
    <w:rsid w:val="0057645C"/>
    <w:rPr>
      <w:rFonts w:asciiTheme="minorHAnsi" w:eastAsiaTheme="minorEastAsia" w:hAnsiTheme="minorHAnsi" w:cstheme="minorBidi"/>
      <w:b/>
      <w:bCs/>
      <w:kern w:val="44"/>
      <w:sz w:val="44"/>
      <w:szCs w:val="44"/>
    </w:rPr>
  </w:style>
  <w:style w:type="character" w:customStyle="1" w:styleId="2Char">
    <w:name w:val="标题 2 Char"/>
    <w:basedOn w:val="a0"/>
    <w:link w:val="2"/>
    <w:rsid w:val="00750484"/>
    <w:rPr>
      <w:rFonts w:asciiTheme="majorHAnsi" w:eastAsiaTheme="majorEastAsia" w:hAnsiTheme="majorHAnsi" w:cstheme="majorBidi"/>
      <w:b/>
      <w:bCs/>
      <w:kern w:val="2"/>
      <w:sz w:val="32"/>
      <w:szCs w:val="32"/>
    </w:rPr>
  </w:style>
  <w:style w:type="character" w:customStyle="1" w:styleId="3Char">
    <w:name w:val="标题 3 Char"/>
    <w:basedOn w:val="a0"/>
    <w:link w:val="3"/>
    <w:rsid w:val="004F0511"/>
    <w:rPr>
      <w:rFonts w:asciiTheme="minorHAnsi" w:eastAsiaTheme="minorEastAsia" w:hAnsiTheme="minorHAnsi" w:cstheme="minorBidi"/>
      <w:b/>
      <w:bCs/>
      <w:kern w:val="2"/>
      <w:sz w:val="32"/>
      <w:szCs w:val="32"/>
    </w:rPr>
  </w:style>
  <w:style w:type="character" w:customStyle="1" w:styleId="4Char">
    <w:name w:val="标题 4 Char"/>
    <w:basedOn w:val="a0"/>
    <w:link w:val="4"/>
    <w:rsid w:val="005A1391"/>
    <w:rPr>
      <w:rFonts w:asciiTheme="majorHAnsi" w:eastAsiaTheme="majorEastAsia" w:hAnsiTheme="majorHAnsi" w:cstheme="majorBidi"/>
      <w:b/>
      <w:bCs/>
      <w:kern w:val="2"/>
      <w:sz w:val="28"/>
      <w:szCs w:val="28"/>
    </w:rPr>
  </w:style>
  <w:style w:type="paragraph" w:styleId="aa">
    <w:name w:val="Balloon Text"/>
    <w:basedOn w:val="a"/>
    <w:link w:val="Char"/>
    <w:rsid w:val="008B2BF1"/>
    <w:rPr>
      <w:sz w:val="18"/>
      <w:szCs w:val="18"/>
    </w:rPr>
  </w:style>
  <w:style w:type="character" w:customStyle="1" w:styleId="Char">
    <w:name w:val="批注框文本 Char"/>
    <w:basedOn w:val="a0"/>
    <w:link w:val="aa"/>
    <w:rsid w:val="008B2BF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8ED79-08A8-4E41-AEDE-4568AA64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7122</Words>
  <Characters>917</Characters>
  <Application>Microsoft Office Word</Application>
  <DocSecurity>0</DocSecurity>
  <Lines>7</Lines>
  <Paragraphs>16</Paragraphs>
  <ScaleCrop>false</ScaleCrop>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Lyp</cp:lastModifiedBy>
  <cp:revision>2</cp:revision>
  <dcterms:created xsi:type="dcterms:W3CDTF">2017-04-21T02:48:00Z</dcterms:created>
  <dcterms:modified xsi:type="dcterms:W3CDTF">2017-04-21T02:48:00Z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