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2"/>
        </w:rPr>
        <w:t>瀚海数据集团</w:t>
        <w:br/>
        <w:t>2021年度产品技术手册</w:t>
      </w:r>
    </w:p>
    <w:p/>
    <w:p>
      <w:pPr>
        <w:jc w:val="center"/>
      </w:pPr>
      <w:r>
        <w:rPr>
          <w:sz w:val="28"/>
        </w:rPr>
        <w:t>行业领域：大数据与AI分析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技术架构</w:t>
      </w:r>
    </w:p>
    <w:p>
      <w:r>
        <w:t>3. 核心功能</w:t>
      </w:r>
    </w:p>
    <w:p>
      <w:r>
        <w:t>4. 性能指标</w:t>
      </w:r>
    </w:p>
    <w:p>
      <w:r>
        <w:t>5. 部署方案</w:t>
      </w:r>
    </w:p>
    <w:p>
      <w:r>
        <w:t>6. 安全体系</w:t>
      </w:r>
    </w:p>
    <w:p>
      <w:r>
        <w:t>7. API接口</w:t>
      </w:r>
    </w:p>
    <w:p>
      <w:r>
        <w:t>8. 运维管理</w:t>
      </w:r>
    </w:p>
    <w:p>
      <w:r>
        <w:t>9. 案例分析</w:t>
      </w:r>
    </w:p>
    <w:p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本手册详细介绍了瀚海数据集团在大数据与AI分析领域的核心产品体系。公司自成立以来，始终坚持以技术创新为驱动，为客户提供高品质的解决方案。截至2021年，公司已服务超过490家企业客户，产品覆盖西南, 华南, 东北等主要区域市场。</w:t>
      </w:r>
    </w:p>
    <w:p>
      <w:pPr>
        <w:pStyle w:val="Heading1"/>
      </w:pPr>
      <w:r>
        <w:t>2. 技术架构</w:t>
      </w:r>
    </w:p>
    <w:p>
      <w:r>
        <w:t>系统采用微服务架构设计，基于Kubernetes容器编排平台，支持弹性伸缩和高可用部署。核心技术栈包括：Spring Cloud微服务框架、Apache Kafka消息队列、Redis缓存集群、PostgreSQL关系数据库、Elasticsearch搜索引擎。</w:t>
      </w:r>
    </w:p>
    <w:p>
      <w:pPr>
        <w:pStyle w:val="Heading2"/>
      </w:pPr>
      <w:r>
        <w:t>2.1 架构分层</w:t>
      </w:r>
    </w:p>
    <w:p>
      <w:pPr>
        <w:pStyle w:val="ListBullet"/>
      </w:pPr>
      <w:r>
        <w:t>接入层：Nginx反向代理、API Gateway、负载均衡、WAF防火墙</w:t>
      </w:r>
    </w:p>
    <w:p>
      <w:pPr>
        <w:pStyle w:val="ListBullet"/>
      </w:pPr>
      <w:r>
        <w:t>应用层：业务微服务集群、工作流引擎、规则引擎、消息中心</w:t>
      </w:r>
    </w:p>
    <w:p>
      <w:pPr>
        <w:pStyle w:val="ListBullet"/>
      </w:pPr>
      <w:r>
        <w:t>数据层：分布式数据库、对象存储、数据仓库、实时计算引擎</w:t>
      </w:r>
    </w:p>
    <w:p>
      <w:pPr>
        <w:pStyle w:val="ListBullet"/>
      </w:pPr>
      <w:r>
        <w:t>基础设施层：Kubernetes集群、服务网格、监控告警、日志收集</w:t>
      </w:r>
    </w:p>
    <w:p>
      <w:pPr>
        <w:pStyle w:val="Heading1"/>
      </w:pPr>
      <w:r>
        <w:t>3. 核心功能</w:t>
      </w:r>
    </w:p>
    <w:p>
      <w:r>
        <w:t>以下是产品核心功能模块的详细说明：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</w:tr>
      <w:tr>
        <w:tc>
          <w:tcPr>
            <w:tcW w:type="dxa" w:w="2160"/>
          </w:tcPr>
          <w:p>
            <w:r>
              <w:t>实时数据采集</w:t>
            </w:r>
          </w:p>
        </w:tc>
        <w:tc>
          <w:tcPr>
            <w:tcW w:type="dxa" w:w="2160"/>
          </w:tcPr>
          <w:p>
            <w:r>
              <w:t>支持Modbus/OPC-UA/MQTT等协议</w:t>
            </w:r>
          </w:p>
        </w:tc>
        <w:tc>
          <w:tcPr>
            <w:tcW w:type="dxa" w:w="2160"/>
          </w:tcPr>
          <w:p>
            <w:r>
              <w:t>工业物联网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智能告警引擎</w:t>
            </w:r>
          </w:p>
        </w:tc>
        <w:tc>
          <w:tcPr>
            <w:tcW w:type="dxa" w:w="2160"/>
          </w:tcPr>
          <w:p>
            <w:r>
              <w:t>基于规则+ML的多级告警</w:t>
            </w:r>
          </w:p>
        </w:tc>
        <w:tc>
          <w:tcPr>
            <w:tcW w:type="dxa" w:w="2160"/>
          </w:tcPr>
          <w:p>
            <w:r>
              <w:t>运维监控</w:t>
            </w:r>
          </w:p>
        </w:tc>
        <w:tc>
          <w:tcPr>
            <w:tcW w:type="dxa" w:w="2160"/>
          </w:tcPr>
          <w:p>
            <w:r>
              <w:t>V2.5+</w:t>
            </w:r>
          </w:p>
        </w:tc>
      </w:tr>
      <w:tr>
        <w:tc>
          <w:tcPr>
            <w:tcW w:type="dxa" w:w="2160"/>
          </w:tcPr>
          <w:p>
            <w:r>
              <w:t>可视化大屏</w:t>
            </w:r>
          </w:p>
        </w:tc>
        <w:tc>
          <w:tcPr>
            <w:tcW w:type="dxa" w:w="2160"/>
          </w:tcPr>
          <w:p>
            <w:r>
              <w:t>拖拽式图表配置，实时刷新</w:t>
            </w:r>
          </w:p>
        </w:tc>
        <w:tc>
          <w:tcPr>
            <w:tcW w:type="dxa" w:w="2160"/>
          </w:tcPr>
          <w:p>
            <w:r>
              <w:t>指挥中心</w:t>
            </w:r>
          </w:p>
        </w:tc>
        <w:tc>
          <w:tcPr>
            <w:tcW w:type="dxa" w:w="2160"/>
          </w:tcPr>
          <w:p>
            <w:r>
              <w:t>V3.2+</w:t>
            </w:r>
          </w:p>
        </w:tc>
      </w:tr>
      <w:tr>
        <w:tc>
          <w:tcPr>
            <w:tcW w:type="dxa" w:w="2160"/>
          </w:tcPr>
          <w:p>
            <w:r>
              <w:t>数据分析平台</w:t>
            </w:r>
          </w:p>
        </w:tc>
        <w:tc>
          <w:tcPr>
            <w:tcW w:type="dxa" w:w="2160"/>
          </w:tcPr>
          <w:p>
            <w:r>
              <w:t>SQL查询+Python脚本分析</w:t>
            </w:r>
          </w:p>
        </w:tc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全生命周期管理，远程配置</w:t>
            </w:r>
          </w:p>
        </w:tc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V2.0+</w:t>
            </w:r>
          </w:p>
        </w:tc>
      </w:tr>
      <w:tr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RBAC+ABAC混合权限模型</w:t>
            </w:r>
          </w:p>
        </w:tc>
        <w:tc>
          <w:tcPr>
            <w:tcW w:type="dxa" w:w="2160"/>
          </w:tcPr>
          <w:p>
            <w:r>
              <w:t>安全管理</w:t>
            </w:r>
          </w:p>
        </w:tc>
        <w:tc>
          <w:tcPr>
            <w:tcW w:type="dxa" w:w="2160"/>
          </w:tcPr>
          <w:p>
            <w:r>
              <w:t>V1.0+</w:t>
            </w:r>
          </w:p>
        </w:tc>
      </w:tr>
      <w:tr>
        <w:tc>
          <w:tcPr>
            <w:tcW w:type="dxa" w:w="2160"/>
          </w:tcPr>
          <w:p>
            <w:r>
              <w:t>报表中心</w:t>
            </w:r>
          </w:p>
        </w:tc>
        <w:tc>
          <w:tcPr>
            <w:tcW w:type="dxa" w:w="2160"/>
          </w:tcPr>
          <w:p>
            <w:r>
              <w:t>自定义报表模板，定时推送</w:t>
            </w:r>
          </w:p>
        </w:tc>
        <w:tc>
          <w:tcPr>
            <w:tcW w:type="dxa" w:w="2160"/>
          </w:tcPr>
          <w:p>
            <w:r>
              <w:t>业务分析</w:t>
            </w:r>
          </w:p>
        </w:tc>
        <w:tc>
          <w:tcPr>
            <w:tcW w:type="dxa" w:w="2160"/>
          </w:tcPr>
          <w:p>
            <w:r>
              <w:t>V2.8+</w:t>
            </w:r>
          </w:p>
        </w:tc>
      </w:tr>
      <w:tr>
        <w:tc>
          <w:tcPr>
            <w:tcW w:type="dxa" w:w="2160"/>
          </w:tcPr>
          <w:p>
            <w:r>
              <w:t>开放API</w:t>
            </w:r>
          </w:p>
        </w:tc>
        <w:tc>
          <w:tcPr>
            <w:tcW w:type="dxa" w:w="2160"/>
          </w:tcPr>
          <w:p>
            <w:r>
              <w:t>RESTful/GraphQL/gRPC接口</w:t>
            </w:r>
          </w:p>
        </w:tc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</w:tbl>
    <w:p>
      <w:pPr>
        <w:pStyle w:val="Heading1"/>
      </w:pPr>
      <w:r>
        <w:t>4. 性能指标</w:t>
      </w:r>
    </w:p>
    <w:p>
      <w:pPr>
        <w:pStyle w:val="ListBullet"/>
      </w:pPr>
      <w:r>
        <w:t>并发连接数：48780+</w:t>
      </w:r>
    </w:p>
    <w:p>
      <w:pPr>
        <w:pStyle w:val="ListBullet"/>
      </w:pPr>
      <w:r>
        <w:t>数据吞吐量：816MB/s</w:t>
      </w:r>
    </w:p>
    <w:p>
      <w:pPr>
        <w:pStyle w:val="ListBullet"/>
      </w:pPr>
      <w:r>
        <w:t>平均响应时间：&lt; 47ms</w:t>
      </w:r>
    </w:p>
    <w:p>
      <w:pPr>
        <w:pStyle w:val="ListBullet"/>
      </w:pPr>
      <w:r>
        <w:t>系统可用性：99.99%</w:t>
      </w:r>
    </w:p>
    <w:p>
      <w:pPr>
        <w:pStyle w:val="ListBullet"/>
      </w:pPr>
      <w:r>
        <w:t>数据准确率：99.11%</w:t>
      </w:r>
    </w:p>
    <w:p>
      <w:pPr>
        <w:pStyle w:val="ListBullet"/>
      </w:pPr>
      <w:r>
        <w:t>单节点设备接入：7484+</w:t>
      </w:r>
    </w:p>
    <w:p>
      <w:pPr>
        <w:pStyle w:val="Heading1"/>
      </w:pPr>
      <w:r>
        <w:t>5. 部署方案</w:t>
      </w:r>
    </w:p>
    <w:p>
      <w:r>
        <w:t>支持以下三种部署模式：</w:t>
      </w:r>
    </w:p>
    <w:p>
      <w:pPr>
        <w:pStyle w:val="Heading2"/>
      </w:pPr>
      <w:r>
        <w:t>私有化部署</w:t>
      </w:r>
    </w:p>
    <w:p>
      <w:r>
        <w:t>适用于对数据安全要求高的企业，部署在客户自有数据中心</w:t>
      </w:r>
    </w:p>
    <w:p>
      <w:pPr>
        <w:pStyle w:val="Heading2"/>
      </w:pPr>
      <w:r>
        <w:t>云托管部署</w:t>
      </w:r>
    </w:p>
    <w:p>
      <w:r>
        <w:t>部署在阿里云/华为云/腾讯云，由我方负责运维</w:t>
      </w:r>
    </w:p>
    <w:p>
      <w:pPr>
        <w:pStyle w:val="Heading2"/>
      </w:pPr>
      <w:r>
        <w:t>混合云部署</w:t>
      </w:r>
    </w:p>
    <w:p>
      <w:r>
        <w:t>核心数据本地存储，计算资源弹性使用公有云</w:t>
      </w:r>
    </w:p>
    <w:p>
      <w:pPr>
        <w:pStyle w:val="Heading1"/>
      </w:pPr>
      <w:r>
        <w:t>6. 安全体系</w:t>
      </w:r>
    </w:p>
    <w:p>
      <w:r>
        <w:t>系统通过ISO 27001信息安全管理体系认证，具备完善的安全防护能力：</w:t>
        <w:br/>
        <w:t xml:space="preserve">  - 传输安全：全链路TLS 1.3加密</w:t>
        <w:br/>
        <w:t xml:space="preserve">  - 存储安全：AES-256数据加密</w:t>
        <w:br/>
        <w:t xml:space="preserve">  - 访问控制：多因素认证 + 细粒度权限</w:t>
        <w:br/>
        <w:t xml:space="preserve">  - 审计日志：全操作记录，不可篡改</w:t>
        <w:br/>
        <w:t xml:space="preserve">  - 漏洞管理：定期渗透测试 + 安全扫描</w:t>
      </w:r>
    </w:p>
    <w:p>
      <w:pPr>
        <w:pStyle w:val="Heading1"/>
      </w:pPr>
      <w:r>
        <w:t>7. API接口</w:t>
      </w:r>
    </w:p>
    <w:p>
      <w:r>
        <w:t>系统提供丰富的RESTful API接口，支持JSON/Protobuf格式：</w:t>
      </w:r>
    </w:p>
    <w:p>
      <w:pPr>
        <w:pStyle w:val="ListBullet"/>
      </w:pPr>
      <w:r>
        <w:t>GET /api/v1/devices - 获取设备列表</w:t>
      </w:r>
    </w:p>
    <w:p>
      <w:pPr>
        <w:pStyle w:val="ListBullet"/>
      </w:pPr>
      <w:r>
        <w:t>POST /api/v1/devices - 注册新设备</w:t>
      </w:r>
    </w:p>
    <w:p>
      <w:pPr>
        <w:pStyle w:val="ListBullet"/>
      </w:pPr>
      <w:r>
        <w:t>GET /api/v1/data/query - 查询历史数据</w:t>
      </w:r>
    </w:p>
    <w:p>
      <w:pPr>
        <w:pStyle w:val="ListBullet"/>
      </w:pPr>
      <w:r>
        <w:t>POST /api/v1/alarm/subscribe - 订阅告警通知</w:t>
      </w:r>
    </w:p>
    <w:p>
      <w:pPr>
        <w:pStyle w:val="ListBullet"/>
      </w:pPr>
      <w:r>
        <w:t>GET /api/v1/report/generate - 生成分析报告</w:t>
      </w:r>
    </w:p>
    <w:p>
      <w:pPr>
        <w:pStyle w:val="Heading1"/>
      </w:pPr>
      <w:r>
        <w:t>8. 运维管理</w:t>
      </w:r>
    </w:p>
    <w:p>
      <w:r>
        <w:t>提供全方位的运维管理工具：</w:t>
        <w:br/>
        <w:t xml:space="preserve">  - 监控面板：Grafana + Prometheus 实时监控</w:t>
        <w:br/>
        <w:t xml:space="preserve">  - 日志管理：ELK Stack 集中日志分析</w:t>
        <w:br/>
        <w:t xml:space="preserve">  - 备份恢复：自动备份策略，支持异地容灾</w:t>
        <w:br/>
        <w:t xml:space="preserve">  - 版本升级：灰度发布，支持热更新和回滚</w:t>
      </w:r>
    </w:p>
    <w:p>
      <w:pPr>
        <w:pStyle w:val="Heading1"/>
      </w:pPr>
      <w:r>
        <w:t>9. 案例分析</w:t>
      </w:r>
    </w:p>
    <w:p>
      <w:pPr>
        <w:pStyle w:val="Heading2"/>
      </w:pPr>
      <w:r>
        <w:t>9.1 XX市水务集团</w:t>
      </w:r>
    </w:p>
    <w:p>
      <w:r>
        <w:t>XX市水务集团于2020年引入我司产品，部署80个监测节点，覆盖3个业务场景。上线后：</w:t>
        <w:br/>
        <w:t xml:space="preserve">  - 运维效率提升66%</w:t>
        <w:br/>
        <w:t xml:space="preserve">  - 故障响应时间缩短至14分钟</w:t>
        <w:br/>
        <w:t xml:space="preserve">  - 年度节省成本约401万元</w:t>
      </w:r>
    </w:p>
    <w:p>
      <w:pPr>
        <w:pStyle w:val="Heading2"/>
      </w:pPr>
      <w:r>
        <w:t>9.2 XX省电力公司</w:t>
      </w:r>
    </w:p>
    <w:p>
      <w:r>
        <w:t>XX省电力公司于2020年引入我司产品，部署200个监测节点，覆盖4个业务场景。上线后：</w:t>
        <w:br/>
        <w:t xml:space="preserve">  - 运维效率提升68%</w:t>
        <w:br/>
        <w:t xml:space="preserve">  - 故障响应时间缩短至12分钟</w:t>
        <w:br/>
        <w:t xml:space="preserve">  - 年度节省成本约304万元</w:t>
      </w:r>
    </w:p>
    <w:p>
      <w:pPr>
        <w:pStyle w:val="Heading2"/>
      </w:pPr>
      <w:r>
        <w:t>9.3 XX精密制造</w:t>
      </w:r>
    </w:p>
    <w:p>
      <w:r>
        <w:t>XX精密制造于2020年引入我司产品，部署83个监测节点，覆盖10个业务场景。上线后：</w:t>
        <w:br/>
        <w:t xml:space="preserve">  - 运维效率提升68%</w:t>
        <w:br/>
        <w:t xml:space="preserve">  - 故障响应时间缩短至13分钟</w:t>
        <w:br/>
        <w:t xml:space="preserve">  - 年度节省成本约230万元</w:t>
      </w:r>
    </w:p>
    <w:p>
      <w:pPr>
        <w:pStyle w:val="Heading1"/>
      </w:pPr>
      <w:r>
        <w:t>10. 版本历史</w:t>
      </w:r>
    </w:p>
    <w:p>
      <w:r>
        <w:t>V1.0（2017年）：新增AI分析引擎</w:t>
      </w:r>
    </w:p>
    <w:p>
      <w:r>
        <w:t>V2.0（2018年）：新增AI分析引擎</w:t>
      </w:r>
    </w:p>
    <w:p>
      <w:r>
        <w:t>V3.0（2019年）：国际化多语言支持</w:t>
      </w:r>
    </w:p>
    <w:p>
      <w:r>
        <w:t>V4.0（2020年）：性能大幅优化</w:t>
      </w:r>
    </w:p>
    <w:p>
      <w:r>
        <w:t>V5.0（2021年）：新增AI分析引擎</w:t>
      </w:r>
    </w:p>
    <w:p>
      <w:r>
        <w:br w:type="page"/>
      </w:r>
    </w:p>
    <w:p>
      <w:pPr>
        <w:pStyle w:val="Heading1"/>
      </w:pPr>
      <w:r>
        <w:t>联系我们</w:t>
      </w:r>
    </w:p>
    <w:p>
      <w:r>
        <w:t>公司名称：瀚海数据集团</w:t>
      </w:r>
    </w:p>
    <w:p>
      <w:r>
        <w:t>地址：深圳市南山区科技园南区高新中三道4号</w:t>
      </w:r>
    </w:p>
    <w:p>
      <w:r>
        <w:t>电话：0755-1645-6061</w:t>
      </w:r>
    </w:p>
    <w:p>
      <w:r>
        <w:t>邮箱：info@瀚海数据.com</w:t>
      </w:r>
    </w:p>
    <w:p>
      <w:r>
        <w:t>官网：https://www.example-02.com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