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F1TENTH 自动驾驶项目</w:t>
        <w:br/>
        <w:t>技术说明：原理、公式与实现</w:t>
      </w:r>
    </w:p>
    <w:p>
      <w:r>
        <w:t>Project Overview · Perception · Planning · Control · Deployment</w:t>
      </w:r>
    </w:p>
    <w:p>
      <w:r>
        <w:rPr>
          <w:color w:val="64748B"/>
          <w:sz w:val="17"/>
        </w:rPr>
        <w:t>版本日期：2026 年 10 月 26 日。依据已核对代码与历史实车记录整理；不是本次新运行的实验报告。</w:t>
      </w:r>
    </w:p>
    <w:p>
      <w:pPr>
        <w:pStyle w:val="Heading2"/>
      </w:pPr>
      <w:r>
        <w:t>1  项目概述</w:t>
      </w:r>
    </w:p>
    <w:p>
      <w:r>
        <w:t>本项目基于 F1TENTH 阿克曼转向无人车，建立从环境定位、LiDAR 障碍感知、局部轨迹规划到车辆纵横向控制的完整闭环。系统以预先建立的地图和参考路线为基础：无障碍时沿参考路线行驶，出现障碍时在可通行空间内规划局部绕行轨迹，随后回归参考路线并在终点停车。</w:t>
      </w:r>
    </w:p>
    <w:p>
      <w:r>
        <w:t>实车采用 Jetson Xavier NX、二维 LiDAR、VESC 电机控制器及转向舵机。控制主干为 C++ Frenet 局部规划与动态 MPC。后续仿真扩展增加移动目标跟踪、赛道辅助预测、超车行为决策、Spline/SQP 路径优化和带时间信息的碰撞检查。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版本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已支持的功能与边界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实车 v8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已完成固定路线跟踪、两处静态障碍绕行和终点停车；不等于动态超车实车验收。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动态超车仿真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扩展目标 KF、运动预测、超车与回归、同刻车身检查；仍需验证不同位置与扰动工况。</w:t>
            </w:r>
          </w:p>
        </w:tc>
      </w:tr>
    </w:tbl>
    <w:p>
      <w:pPr>
        <w:pStyle w:val="Heading2"/>
      </w:pPr>
      <w:r>
        <w:t>整体数据流</w:t>
      </w:r>
    </w:p>
    <w:p>
      <w:r>
        <w:t>实车：地图＋LiDAR＋轮速里程计 → 粒子滤波定位 → 障碍检测 → Frenet 局部规划 → 动态 MPC → 安全指令链 → VESC／舵机。</w:t>
      </w:r>
    </w:p>
    <w:p>
      <w:r>
        <w:t>仿真扩展：LiDAR 聚类 → 目标 KF → 赛道辅助预测 → 行为状态机 → Spline/SQP 与时间参数化 → 碰撞及控制可行性检查 → 动态 MPC。</w:t>
      </w:r>
    </w:p>
    <w:p>
      <w:pPr>
        <w:pStyle w:val="Heading2"/>
      </w:pPr>
      <w:r>
        <w:t>三个基本概念</w:t>
      </w:r>
    </w:p>
    <w:p>
      <w:r>
        <w:t>路径描述“经过哪里”；轨迹进一步描述“什么时间到达、速度是多少”；控制计算实际执行器指令，使车辆跟踪轨迹。定位、目标跟踪和自车预测模型分别服务不同任务，不能混为一个 EKF 或一个 MPC。</w:t>
      </w:r>
    </w:p>
    <w:p>
      <w:r>
        <w:rPr>
          <w:color w:val="64748B"/>
          <w:sz w:val="17"/>
        </w:rPr>
        <w:t>阅读顺序：定位与感知 → 跟踪预测 → Frenet/Spline → 超车决策 → MPC → 部署与证据。本文不包含面试问答。来源索引见末页。</w:t>
      </w:r>
    </w:p>
    <w:p>
      <w:pPr>
        <w:pStyle w:val="Heading1"/>
        <w:pageBreakBefore/>
      </w:pPr>
      <w:r>
        <w:t>2  SLAM、定位与坐标变换</w:t>
      </w:r>
    </w:p>
    <w:p>
      <w:r>
        <w:rPr>
          <w:color w:val="64748B"/>
          <w:sz w:val="17"/>
        </w:rPr>
        <w:t>[原理＋项目实现] 来源：S1、S5。原始建图软件尚未确认；运行时定位为粒子滤波。</w:t>
      </w:r>
    </w:p>
    <w:p>
      <w:pPr>
        <w:pStyle w:val="Heading2"/>
      </w:pPr>
      <w:r>
        <w:t>2.1 建图与定位的区别</w:t>
      </w:r>
    </w:p>
    <w:p>
      <w:r>
        <w:t>SLAM 在未知环境中联合估计机器人轨迹与环境地图，其概率表达为：</w:t>
      </w:r>
    </w:p>
    <w:p>
      <w:pPr>
        <w:spacing w:after="140"/>
        <w:ind w:left="142"/>
      </w:pPr>
      <m:oMath>
        <m:r>
          <w:rPr>
            <w:rFonts w:ascii="Cambria Math" w:hAnsi="Cambria Math"/>
          </w:rPr>
          <m:t>p(X₀:ₜ, M | Z₁:ₜ, U₁:ₜ)</m:t>
        </m:r>
      </m:oMath>
    </w:p>
    <w:p>
      <w:r>
        <w:t>X 是历史位姿，M 是地图，Z 是传感器观测，U 是运动输入。典型 LiDAR SLAM 包含扫描匹配、回环检测和后端优化；这些是背景原理，不代表已确认当前地图采用某个具体软件。实车运行时加载已有地图，主要解决“我在地图哪里”。</w:t>
      </w:r>
    </w:p>
    <w:p>
      <w:pPr>
        <w:pStyle w:val="Heading2"/>
      </w:pPr>
      <w:r>
        <w:t>2.2 粒子滤波定位</w:t>
      </w:r>
    </w:p>
    <w:p>
      <w:pPr>
        <w:spacing w:after="140"/>
        <w:ind w:left="142"/>
      </w:pPr>
      <m:oMath>
        <m:r>
          <w:rPr>
            <w:rFonts w:ascii="Cambria Math" w:hAnsi="Cambria Math"/>
          </w:rPr>
          <m:t>𝒳ₜ = {(xₜ⁽ⁱ⁾, wₜ⁽ⁱ⁾)}ᵢ₌₁ᴺ,     xₜ⁽ⁱ⁾ = [pₓ, pᵧ, ψ]ᵀ</m:t>
        </m:r>
      </m:oMath>
    </w:p>
    <w:p>
      <w:r>
        <w:t>每个粒子代表一个可能位姿。首先根据轮速里程计与运动噪声传播粒子，再比较真实扫描与地图预测扫描，更新权重，最后重采样。</w:t>
      </w:r>
    </w:p>
    <w:p>
      <w:pPr>
        <w:spacing w:after="140"/>
        <w:ind w:left="142"/>
      </w:pPr>
      <m:oMath>
        <m:r>
          <w:rPr>
            <w:rFonts w:ascii="Cambria Math" w:hAnsi="Cambria Math"/>
          </w:rPr>
          <m:t>xₜ⁽ⁱ⁾ ∼ p(xₜ | xₜ₋₁⁽ⁱ⁾, uₜ)</m:t>
        </m:r>
      </m:oMath>
    </w:p>
    <w:p>
      <w:pPr>
        <w:spacing w:after="140"/>
        <w:ind w:left="142"/>
      </w:pPr>
      <m:oMath>
        <m:r>
          <w:rPr>
            <w:rFonts w:ascii="Cambria Math" w:hAnsi="Cambria Math"/>
          </w:rPr>
          <m:t>wₜ⁽ⁱ⁾ ∝ wₜ₋₁⁽ⁱ⁾ · p(zₜ | xₜ⁽ⁱ⁾, M)</m:t>
        </m:r>
      </m:oMath>
    </w:p>
    <w:p>
      <w:r>
        <w:t>当前配置约 1000 个粒子，使用 GPU 加速地图射线查询。此处 GPU 服务于定位，不表示 MPC 使用 GPU 求解。粒子滤波输出仍是估计值，不能直接当作独立实验真值。</w:t>
      </w:r>
    </w:p>
    <w:p>
      <w:pPr>
        <w:pStyle w:val="Heading2"/>
      </w:pPr>
      <w:r>
        <w:t>2.3 坐标变换与时间对齐</w:t>
      </w:r>
    </w:p>
    <w:p>
      <w:pPr>
        <w:spacing w:after="140"/>
        <w:ind w:left="142"/>
      </w:pPr>
      <m:oMath>
        <m:r>
          <w:rPr>
            <w:rFonts w:ascii="Cambria Math" w:hAnsi="Cambria Math"/>
          </w:rPr>
          <m:t>pᴬ = R(θ)pᴮ + t,     R(θ) = [[cosθ, −sinθ], [sinθ, cosθ]]</m:t>
        </m:r>
      </m:oMath>
    </w:p>
    <w:p>
      <w:pPr>
        <w:spacing w:after="140"/>
        <w:ind w:left="142"/>
      </w:pPr>
      <m:oMath>
        <m:r>
          <w:rPr>
            <w:rFonts w:ascii="Cambria Math" w:hAnsi="Cambria Math"/>
          </w:rPr>
          <m:t>pᵐᵃᵖ = Tᵐᵃᵖ_base · Tᵇᵃˢᵉ_laser · pˡᵃˢᵉʳ</m:t>
        </m:r>
      </m:oMath>
    </w:p>
    <w:p>
      <w:r>
        <w:t>地图、车体和 LiDAR 坐标必须通过外参连接。当前 LiDAR 前向偏移配置约 0.27 m。扫描还应使用采集时刻对应的车辆位姿，否则运动过程中会把时间误差转化为障碍位置误差。</w:t>
      </w:r>
    </w:p>
    <w:p>
      <w:pPr>
        <w:pStyle w:val="Heading1"/>
        <w:pageBreakBefore/>
      </w:pPr>
      <w:r>
        <w:t>3  LiDAR 感知与目标 Kalman 跟踪</w:t>
      </w:r>
    </w:p>
    <w:p>
      <w:r>
        <w:rPr>
          <w:color w:val="64748B"/>
          <w:sz w:val="17"/>
        </w:rPr>
        <w:t>[实车感知＋仿真目标跟踪] 来源：S2、S6。实车簇关联不等同于仿真目标 KF。</w:t>
      </w:r>
    </w:p>
    <w:p>
      <w:pPr>
        <w:pStyle w:val="Heading2"/>
      </w:pPr>
      <w:r>
        <w:t>3.1 点转换、背景过滤与聚类</w:t>
      </w:r>
    </w:p>
    <w:p>
      <w:pPr>
        <w:spacing w:after="140"/>
        <w:ind w:left="142"/>
      </w:pPr>
      <m:oMath>
        <m:r>
          <w:rPr>
            <w:rFonts w:ascii="Cambria Math" w:hAnsi="Cambria Math"/>
          </w:rPr>
          <m:t>xᵢ = rᵢ cosθᵢ,     yᵢ = rᵢ sinθᵢ</m:t>
        </m:r>
      </m:oMath>
    </w:p>
    <w:p>
      <w:r>
        <w:t>过滤无效测距和超范围点，再根据地图剔除已知墙体附近的点。剩余点表示地图无法解释的占据物，不一定正在运动。实车使用扫描顺序邻接聚类，通过相邻点距离、束索引间隔、点数和簇尺寸筛选障碍；不是直接调用 DBSCAN。</w:t>
      </w:r>
    </w:p>
    <w:p>
      <w:pPr>
        <w:spacing w:after="140"/>
        <w:ind w:left="142"/>
      </w:pPr>
      <m:oMath>
        <m:r>
          <w:rPr>
            <w:rFonts w:ascii="Cambria Math" w:hAnsi="Cambria Math"/>
          </w:rPr>
          <m:t>‖pᵢ₊₁ − pᵢ‖ &lt; d_cluster</m:t>
        </m:r>
      </m:oMath>
    </w:p>
    <w:p>
      <w:r>
        <w:t>跨帧关联把当前簇与已有目标对应，维持目标身份、确认次数与短时记忆。运动目标还需要速度估计与观测时间记录。</w:t>
      </w:r>
    </w:p>
    <w:p>
      <w:pPr>
        <w:pStyle w:val="Heading2"/>
      </w:pPr>
      <w:r>
        <w:t>3.2 当前仿真采用四维恒速 KF</w:t>
      </w:r>
    </w:p>
    <w:p>
      <w:pPr>
        <w:spacing w:after="140"/>
        <w:ind w:left="142"/>
      </w:pPr>
      <m:oMath>
        <m:r>
          <w:rPr>
            <w:rFonts w:ascii="Cambria Math" w:hAnsi="Cambria Math"/>
          </w:rPr>
          <m:t>xₖ = [pₓ, pᵧ, vₓ, vᵧ]ᵀ,     xₖ₊₁ = Fxₖ + wₖ,     zₖ = Hxₖ + νₖ</m:t>
        </m:r>
      </m:oMath>
    </w:p>
    <w:p>
      <w:pPr>
        <w:spacing w:after="140"/>
        <w:ind w:left="142"/>
      </w:pPr>
      <m:oMath>
        <m:r>
          <w:rPr>
            <w:rFonts w:ascii="Cambria Math" w:hAnsi="Cambria Math"/>
          </w:rPr>
          <m:t>F = [[1,0,Δt,0], [0,1,0,Δt], [0,0,1,0], [0,0,0,1]]</m:t>
        </m:r>
      </m:oMath>
    </w:p>
    <w:p>
      <w:pPr>
        <w:spacing w:after="140"/>
        <w:ind w:left="142"/>
      </w:pPr>
      <m:oMath>
        <m:r>
          <w:rPr>
            <w:rFonts w:ascii="Cambria Math" w:hAnsi="Cambria Math"/>
          </w:rPr>
          <m:t>H = [[1,0,0,0], [0,1,0,0]]</m:t>
        </m:r>
      </m:oMath>
    </w:p>
    <w:p>
      <w:r>
        <w:t>LiDAR 提供位置观测，滤波器利用连续观测推断速度，并维护协方差。Q 表示模型误差，R 表示测量噪声，P 表示状态估计误差协方差。</w:t>
      </w:r>
    </w:p>
    <w:p>
      <w:pPr>
        <w:spacing w:after="140"/>
        <w:ind w:left="142"/>
      </w:pPr>
      <m:oMath>
        <m:r>
          <w:rPr>
            <w:rFonts w:ascii="Cambria Math" w:hAnsi="Cambria Math"/>
          </w:rPr>
          <m:t>x̂⁻ₖ = Fx̂ₖ₋₁,     P⁻ₖ = FPₖ₋₁Fᵀ + Q</m:t>
        </m:r>
      </m:oMath>
    </w:p>
    <w:p>
      <w:pPr>
        <w:spacing w:after="140"/>
        <w:ind w:left="142"/>
      </w:pPr>
      <m:oMath>
        <m:r>
          <w:rPr>
            <w:rFonts w:ascii="Cambria Math" w:hAnsi="Cambria Math"/>
          </w:rPr>
          <m:t>Kₖ = P⁻ₖHᵀ(HP⁻ₖHᵀ + R)⁻¹</m:t>
        </m:r>
      </m:oMath>
    </w:p>
    <w:p>
      <w:pPr>
        <w:spacing w:after="140"/>
        <w:ind w:left="142"/>
      </w:pPr>
      <m:oMath>
        <m:r>
          <w:rPr>
            <w:rFonts w:ascii="Cambria Math" w:hAnsi="Cambria Math"/>
          </w:rPr>
          <m:t>x̂ₖ = x̂⁻ₖ + Kₖ(zₖ − Hx̂⁻ₖ),     Pₖ = (I − KₖH)P⁻ₖ</m:t>
        </m:r>
      </m:oMath>
    </w:p>
    <w:p>
      <w:pPr>
        <w:pStyle w:val="Heading2"/>
      </w:pPr>
      <w:r>
        <w:t>3.3 KF 与 EKF 的准确称呼</w:t>
      </w:r>
    </w:p>
    <w:p>
      <w:r>
        <w:t>EKF 对非线性状态方程 f 和观测方程 h 使用雅可比进行线性化。当前 tracker 文件名虽然包含 ekf，但上述状态与观测关系均为线性，因此核心是线性 KF。目标 KF 估计对手，自车 MPC 预测自己的受控运动，两者不需要采用相同模型。</w:t>
      </w:r>
    </w:p>
    <w:p>
      <w:pPr>
        <w:pStyle w:val="Heading1"/>
        <w:pageBreakBefore/>
      </w:pPr>
      <w:r>
        <w:t>4  运动预测与 Frenet 坐标</w:t>
      </w:r>
    </w:p>
    <w:p>
      <w:r>
        <w:rPr>
          <w:color w:val="64748B"/>
          <w:sz w:val="17"/>
        </w:rPr>
        <w:t>[原理＋仿真实现] 来源：S6、S7。赛道辅助预测是短时假设，不是对手意图的确定性判断。</w:t>
      </w:r>
    </w:p>
    <w:p>
      <w:pPr>
        <w:pStyle w:val="Heading2"/>
      </w:pPr>
      <w:r>
        <w:t>4.1 恒速与赛道辅助预测</w:t>
      </w:r>
    </w:p>
    <w:p>
      <w:pPr>
        <w:spacing w:after="140"/>
        <w:ind w:left="142"/>
      </w:pPr>
      <m:oMath>
        <m:r>
          <w:rPr>
            <w:rFonts w:ascii="Cambria Math" w:hAnsi="Cambria Math"/>
          </w:rPr>
          <m:t>p̂(t + τ) = p̂(t) + v̂(t)τ</m:t>
        </m:r>
      </m:oMath>
    </w:p>
    <w:p>
      <w:r>
        <w:t>Cartesian 恒速外推适合短时直线运动，但在弯道中可能预测到赛道外。赛道辅助预测先把目标投影到参考路线，再预测沿路线进度、速度和横向偏移，并在不符合路线假设时使用备用预测。预测误差随时间与观测中断增长，需要膨胀车身占据区域。</w:t>
      </w:r>
    </w:p>
    <w:p>
      <w:pPr>
        <w:spacing w:after="140"/>
        <w:ind w:left="142"/>
      </w:pPr>
      <m:oMath>
        <m:r>
          <w:rPr>
            <w:rFonts w:ascii="Cambria Math" w:hAnsi="Cambria Math"/>
          </w:rPr>
          <m:t>𝒪_pred(τ) = ℬ_vehicle(x̂(τ)) ⊕ ℰ(τ)</m:t>
        </m:r>
      </m:oMath>
    </w:p>
    <w:p>
      <w:r>
        <w:t>ℬ 是预测车身区域，ℰ 是误差裕量，⊕ 表示区域膨胀。当前工程裕量未经过完整概率校准，不能直接声称具有指定碰撞概率保证。</w:t>
      </w:r>
    </w:p>
    <w:p>
      <w:pPr>
        <w:pStyle w:val="Heading2"/>
      </w:pPr>
      <w:r>
        <w:t>4.2 s 与 d 分别是什么？</w:t>
      </w:r>
    </w:p>
    <w:p>
      <w:pPr>
        <w:spacing w:after="140"/>
        <w:ind w:left="142"/>
      </w:pPr>
      <m:oMath>
        <m:r>
          <w:rPr>
            <w:rFonts w:ascii="Cambria Math" w:hAnsi="Cambria Math"/>
          </w:rPr>
          <m:t>p(s,d) = r(s) + d n(s)</m:t>
        </m:r>
      </m:oMath>
    </w:p>
    <w:p>
      <w:r>
        <w:t>s 是沿参考路线的弧长进度；d 是相对路线的横向偏移，单位均为米。r(s) 为参考路线位置，n(s) 为当地左法向量。沿路线前进方向看，d &gt; 0 为左侧，d &lt; 0 为右侧，d = 0 在参考线上。</w:t>
      </w:r>
    </w:p>
    <w:p>
      <w:pPr>
        <w:spacing w:after="140"/>
        <w:ind w:left="142"/>
      </w:pPr>
      <m:oMath>
        <m:r>
          <w:rPr>
            <w:rFonts w:ascii="Cambria Math" w:hAnsi="Cambria Math"/>
          </w:rPr>
          <m:t>d = (p − pᵣ)ᵀ[−sinψᵣ, cosψᵣ]ᵀ</m:t>
        </m:r>
      </m:oMath>
    </w:p>
    <w:p>
      <w:r>
        <w:t>例如自车 dₑ = 0.8 m，对手 dₒ = 0.2 m，横向偏移差为 0.6 m。这不是车身净距，仍需考虑车宽、车长和朝向。弯道中的 d 相对当地路线定义，不是地图坐标 y。</w:t>
      </w:r>
    </w:p>
    <w:p>
      <w:pPr>
        <w:pStyle w:val="Heading2"/>
      </w:pPr>
      <w:r>
        <w:t>4.3 Frenet 运动关系与局部规划</w:t>
      </w:r>
    </w:p>
    <w:p>
      <w:pPr>
        <w:spacing w:after="140"/>
        <w:ind w:left="142"/>
      </w:pPr>
      <m:oMath>
        <m:r>
          <w:rPr>
            <w:rFonts w:ascii="Cambria Math" w:hAnsi="Cambria Math"/>
          </w:rPr>
          <m:t>eψ = ψ − ψᵣ,     ṡ = v cos(eψ)/(1 − κᵣd),     ḋ = v sin(eψ)</m:t>
        </m:r>
      </m:oMath>
    </w:p>
    <w:p>
      <w:r>
        <w:t>κᵣ 是参考路线曲率。公式要求路线投影明确、分母不接近零。实车在参考路线附近生成有限候选偏移路径，根据净距、曲率、偏移量和连续性选优；碰撞路径应剔除，不能只增加代价。Frenet 是坐标表示，不是控制算法。</w:t>
      </w:r>
    </w:p>
    <w:p>
      <w:pPr>
        <w:pStyle w:val="Heading1"/>
        <w:pageBreakBefore/>
      </w:pPr>
      <w:r>
        <w:t>5  Spline、速度规划与动态碰撞检查</w:t>
      </w:r>
    </w:p>
    <w:p>
      <w:r>
        <w:rPr>
          <w:color w:val="64748B"/>
          <w:sz w:val="17"/>
        </w:rPr>
        <w:t>[原理＋仿真实现] 来源：S7、S8。几何样条平滑不自动保证动态可执行。</w:t>
      </w:r>
    </w:p>
    <w:p>
      <w:pPr>
        <w:pStyle w:val="Heading2"/>
      </w:pPr>
      <w:r>
        <w:t>5.1 三次样条与 SQP</w:t>
      </w:r>
    </w:p>
    <w:p>
      <w:pPr>
        <w:spacing w:after="140"/>
        <w:ind w:left="142"/>
      </w:pPr>
      <m:oMath>
        <m:r>
          <w:rPr>
            <w:rFonts w:ascii="Cambria Math" w:hAnsi="Cambria Math"/>
          </w:rPr>
          <m:t>d(s) = aᵢ + bᵢξ + cᵢξ² + eᵢξ³,     ξ = s − sᵢ</m:t>
        </m:r>
      </m:oMath>
    </w:p>
    <w:p>
      <w:r>
        <w:t>优化一组横向节点 dᵢ，再用三次样条连接。段间保持 d、d′、d″ 连续，使位置、方向变化和平滑性连续。当前超车扩展选择性使用上游 Predictive Spliner 的 SQP 思路，通过 SLSQP 优化节点，以 CubicSpline 构造曲线；不是完整替换为上游系统。</w:t>
      </w:r>
    </w:p>
    <w:p>
      <w:r>
        <w:t>SQP 在当前解附近近似非线性目标和约束，求解局部二次规划，再迭代更新。当前主要服务 OVERTAKE 几何规划，其他行为仍保留 C++ 逻辑。曲率、边界和碰撞约束仍需检查。</w:t>
      </w:r>
    </w:p>
    <w:p>
      <w:pPr>
        <w:pStyle w:val="Heading2"/>
      </w:pPr>
      <w:r>
        <w:t>5.2 从几何路径到时间轨迹</w:t>
      </w:r>
    </w:p>
    <w:p>
      <w:pPr>
        <w:spacing w:after="140"/>
        <w:ind w:left="142"/>
      </w:pPr>
      <m:oMath>
        <m:r>
          <w:rPr>
            <w:rFonts w:ascii="Cambria Math" w:hAnsi="Cambria Math"/>
          </w:rPr>
          <m:t>𝒯(t) = {s(t), d(t), v(t), a(t)},     d(t) = d(s(t))</m:t>
        </m:r>
      </m:oMath>
    </w:p>
    <w:p>
      <w:pPr>
        <w:spacing w:after="140"/>
        <w:ind w:left="142"/>
      </w:pPr>
      <m:oMath>
        <m:r>
          <w:rPr>
            <w:rFonts w:ascii="Cambria Math" w:hAnsi="Cambria Math"/>
          </w:rPr>
          <m:t>ḋ = d′(s)ṡ,     d̈ = d″(s)ṡ² + d′(s)s̈</m:t>
        </m:r>
      </m:oMath>
    </w:p>
    <w:p>
      <w:r>
        <w:t>同一条横向路径，以不同速度通过时，横向加速度与转向要求不同，因此不能只规划空间偏移而忽略速度。</w:t>
      </w:r>
    </w:p>
    <w:p>
      <w:pPr>
        <w:spacing w:after="140"/>
        <w:ind w:left="142"/>
      </w:pPr>
      <m:oMath>
        <m:r>
          <w:rPr>
            <w:rFonts w:ascii="Cambria Math" w:hAnsi="Cambria Math"/>
          </w:rPr>
          <m:t>aᵧ ≈ v²κ,     v_max,κ = √(aᵧ,max / max(|κ|, ε))</m:t>
        </m:r>
      </m:oMath>
    </w:p>
    <w:p>
      <w:pPr>
        <w:spacing w:after="140"/>
        <w:ind w:left="142"/>
      </w:pPr>
      <m:oMath>
        <m:r>
          <w:rPr>
            <w:rFonts w:ascii="Cambria Math" w:hAnsi="Cambria Math"/>
          </w:rPr>
          <m:t>vᵢ₊₁² ≤ vᵢ² + 2a_maxΔs,     vᵢ² ≤ vᵢ₊₁² + 2b_maxΔs</m:t>
        </m:r>
      </m:oMath>
    </w:p>
    <w:p>
      <w:r>
        <w:t>曲率限速控制横向加速度；前向加速和后向制动检查保证速度可达。b_max &gt; 0 表示减速度幅值。允许加减速上限和实际速度规划规则不同：提高上限，不一定消除其他保守限速。</w:t>
      </w:r>
    </w:p>
    <w:p>
      <w:pPr>
        <w:pStyle w:val="Heading2"/>
      </w:pPr>
      <w:r>
        <w:t>5.3 动态碰撞要比较同一时刻</w:t>
      </w:r>
    </w:p>
    <w:p>
      <w:pPr>
        <w:spacing w:after="140"/>
        <w:ind w:left="142"/>
      </w:pPr>
      <m:oMath>
        <m:r>
          <w:rPr>
            <w:rFonts w:ascii="Cambria Math" w:hAnsi="Cambria Math"/>
          </w:rPr>
          <m:t>ℬₑ(tₖ) ∩ ℬₒ(tₖ) = ∅</m:t>
        </m:r>
      </m:oMath>
    </w:p>
    <w:p>
      <w:r>
        <w:t>比较自车与对手在同一未来时刻的车身占据区域，同时检查地图边界、预测误差和采样间隔。只比较中心点或只避开对手当前位置均不充分。当前离散检查和膨胀是工程措施，不是连续时间无碰撞证明。</w:t>
      </w:r>
    </w:p>
    <w:p>
      <w:pPr>
        <w:pStyle w:val="Heading1"/>
        <w:pageBreakBefore/>
      </w:pPr>
      <w:r>
        <w:t>6  超车状态机：何时开始、从哪边超？</w:t>
      </w:r>
    </w:p>
    <w:p>
      <w:r>
        <w:rPr>
          <w:color w:val="64748B"/>
          <w:sz w:val="17"/>
        </w:rPr>
        <w:t>[当前代码] 来源：S7 的 plan() 与 OvertakeObservationGate。以下是工程阈值，不是通用安全边界。</w:t>
      </w:r>
    </w:p>
    <w:p>
      <w:r>
        <w:t>状态机决定行为，规划器判断候选轨迹可行性，MPC 执行所选轨迹。它不是 MPC 自己决定超车，也不是神经网络分类。</w:t>
      </w:r>
    </w:p>
    <w:p>
      <w:pPr>
        <w:spacing w:after="140"/>
        <w:ind w:left="142"/>
      </w:pPr>
      <m:oMath>
        <m:r>
          <w:rPr>
            <w:rFonts w:ascii="Cambria Math" w:hAnsi="Cambria Math"/>
          </w:rPr>
          <m:t>CRUISE → FOLLOW / PREPARE → OVERTAKE → REJOIN → CRUISE</m:t>
        </m:r>
      </m:oMath>
    </w:p>
    <w:p>
      <w:pPr>
        <w:spacing w:after="140"/>
        <w:ind w:left="142"/>
      </w:pPr>
      <m:oMath>
        <m:r>
          <w:rPr>
            <w:rFonts w:ascii="Cambria Math" w:hAnsi="Cambria Math"/>
          </w:rPr>
          <m:t>g = sₒ − sₑ</m:t>
        </m:r>
      </m:oMath>
    </w:p>
    <w:p>
      <w:r>
        <w:t>g 是沿路线的有符号进度差，闭环路线处理起终点折返；正值表示对手在前，负值表示自车在前。它不是车身净距。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切换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当前主要条件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CRUISE → FOLLOW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目标观测有效且新鲜，−0.4 &lt; g &lt; 7.0 m；负容差并非超车完成标准。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FOLLOW → PREPARE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前车速度 v̂ₒ + 0.18 &lt; v_cruise，且 1.35 &lt; g &lt; 4.5 m。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PREPARE → OVERTAKE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准备 ≥ 0.40 s；启用 SQP 时通过稳定观测门槛；左右至少一条候选可行。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触发条件消失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准备期间速度优势消失或目标不在前方，退回 FOLLOW。</w:t>
            </w:r>
          </w:p>
        </w:tc>
      </w:tr>
    </w:tbl>
    <w:p>
      <w:pPr>
        <w:pStyle w:val="Heading2"/>
      </w:pPr>
      <w:r>
        <w:t>6.1 跟随速度与观测稳定门槛</w:t>
      </w:r>
    </w:p>
    <w:p>
      <w:pPr>
        <w:spacing w:after="140"/>
        <w:ind w:left="142"/>
      </w:pPr>
      <m:oMath>
        <m:r>
          <w:rPr>
            <w:rFonts w:ascii="Cambria Math" w:hAnsi="Cambria Math"/>
          </w:rPr>
          <m:t>v_cap = clip(v̂ₒ + 0.65(g − g_des), 0.70, v_cruise)</m:t>
        </m:r>
      </m:oMath>
    </w:p>
    <w:p>
      <w:r>
        <w:t>这是候选轨迹速度上限，不是直接覆盖 MPC 输出；紧急或不可行情况下仍可停车。高速度配置可增大期望间距，考虑接近速度与制动响应。</w:t>
      </w:r>
    </w:p>
    <w:p>
      <w:r>
        <w:t>当前 SQP 入口还要求至少 3 个不同时间戳观测、稳定持续约 0.60 s，并检查观测新鲜度及速度／方差跳变。0.40 s 准备时间与 0.60 s 稳定时间可重叠，不是固定相加。</w:t>
      </w:r>
    </w:p>
    <w:p>
      <w:pPr>
        <w:pStyle w:val="Heading2"/>
      </w:pPr>
      <w:r>
        <w:t>6.2 左右候选选择与侧向锁定</w:t>
      </w:r>
    </w:p>
    <w:p>
      <w:r>
        <w:t>分别生成左、右候选：仅一侧可行就选该侧；两侧可行则按安全余量等评分选优；两侧均不可行则继续准备／跟随。配置禁止的一侧直接排除。候选检查包括地图、预测车身、曲率以及适用的 MPC 可行性验证。</w:t>
      </w:r>
    </w:p>
    <w:p>
      <w:pPr>
        <w:spacing w:after="140"/>
        <w:ind w:left="142"/>
      </w:pPr>
      <m:oMath>
        <m:r>
          <w:rPr>
            <w:rFonts w:ascii="Cambria Math" w:hAnsi="Cambria Math"/>
          </w:rPr>
          <m:t>committed_side ∈ {−1, +1}</m:t>
        </m:r>
      </m:oMath>
    </w:p>
    <w:p>
      <w:r>
        <w:t>进入超车后锁定绕行侧，但继续调整与验证轨迹，避免每周期左右切换。发现慢车只是动机，找到可行轨迹才构成进入超车的许可。</w:t>
      </w:r>
    </w:p>
    <w:p>
      <w:pPr>
        <w:pStyle w:val="Heading1"/>
        <w:pageBreakBefore/>
      </w:pPr>
      <w:r>
        <w:t>7  超车执行、回归与异常恢复</w:t>
      </w:r>
    </w:p>
    <w:p>
      <w:r>
        <w:rPr>
          <w:color w:val="64748B"/>
          <w:sz w:val="17"/>
        </w:rPr>
        <w:t>[当前代码] 来源：S7。当前仍保留“建立横向分离后加速”的策略。</w:t>
      </w:r>
    </w:p>
    <w:p>
      <w:pPr>
        <w:pStyle w:val="Heading2"/>
      </w:pPr>
      <w:r>
        <w:t>7.1 超车期间的速度门槛</w:t>
      </w:r>
    </w:p>
    <w:p>
      <w:pPr>
        <w:spacing w:after="140"/>
        <w:ind w:left="142"/>
      </w:pPr>
      <m:oMath>
        <m:r>
          <w:rPr>
            <w:rFonts w:ascii="Cambria Math" w:hAnsi="Cambria Math"/>
          </w:rPr>
          <m:t>d_sep = committed_side · (dₑ − dₒ)</m:t>
        </m:r>
      </m:oMath>
    </w:p>
    <w:p>
      <w:pPr>
        <w:spacing w:after="140"/>
        <w:ind w:left="142"/>
      </w:pPr>
      <m:oMath>
        <m:r>
          <w:rPr>
            <w:rFonts w:ascii="Cambria Math" w:hAnsi="Cambria Math"/>
          </w:rPr>
          <m:t>d_sep &lt; 0.68 m ⇒ v_cap = min(v_cruise, max(0.70, v̂ₒ + 0.05))</m:t>
        </m:r>
      </m:oMath>
    </w:p>
    <w:p>
      <w:r>
        <w:t>相对横向分离不足时，速度限制在接近前车的水平；达到门槛后允许巡航速度上限。此为保守工程策略，不等于只要超过 0.68 m 就绝对安全，完整碰撞检查仍然执行。</w:t>
      </w:r>
    </w:p>
    <w:p>
      <w:r>
        <w:t>每周期重验证。正常速度候选失效时，先保持原绕行侧、尝试保守速度；仍不可行则进入 CANCEL。</w:t>
      </w:r>
    </w:p>
    <w:p>
      <w:pPr>
        <w:pStyle w:val="Heading2"/>
      </w:pPr>
      <w:r>
        <w:t>7.2 从 OVERTAKE 进入 REJOIN</w:t>
      </w:r>
    </w:p>
    <w:p>
      <w:pPr>
        <w:spacing w:after="140"/>
        <w:ind w:left="142"/>
      </w:pPr>
      <m:oMath>
        <m:r>
          <w:rPr>
            <w:rFonts w:ascii="Cambria Math" w:hAnsi="Cambria Math"/>
          </w:rPr>
          <m:t>g_return = (Lₑ + Lₒ)/2 + m_body</m:t>
        </m:r>
      </m:oMath>
    </w:p>
    <w:p>
      <w:pPr>
        <w:spacing w:after="140"/>
        <w:ind w:left="142"/>
      </w:pPr>
      <m:oMath>
        <m:r>
          <w:rPr>
            <w:rFonts w:ascii="Cambria Math" w:hAnsi="Cambria Math"/>
          </w:rPr>
          <m:t>g &lt; −g_return</m:t>
        </m:r>
      </m:oMath>
    </w:p>
    <w:p>
      <w:r>
        <w:t>Lₑ、Lₒ 为双方车长。满足该进度门槛后，只是允许生成回归候选；还需验证整条回归轨迹的时间对齐碰撞、地图边界、额外净距和适用的控制可行性。通过后才开始回归，否则维持绕行侧。</w:t>
      </w:r>
    </w:p>
    <w:p>
      <w:pPr>
        <w:pStyle w:val="Heading2"/>
      </w:pPr>
      <w:r>
        <w:t>7.3 正常超车完成条件</w:t>
      </w:r>
    </w:p>
    <w:p>
      <w:pPr>
        <w:spacing w:after="140"/>
        <w:ind w:left="142"/>
      </w:pPr>
      <m:oMath>
        <m:r>
          <w:rPr>
            <w:rFonts w:ascii="Cambria Math" w:hAnsi="Cambria Math"/>
          </w:rPr>
          <m:t>|dₑ| &lt; 0.10 m,     |wrap(ψₑ − ψ_ref)| &lt; 0.15 rad,     g &lt; −1.20 m</m:t>
        </m:r>
      </m:oMath>
    </w:p>
    <w:p>
      <w:r>
        <w:t>必须同时回到参考路线附近、航向对齐且领先足够距离，才增加完成计数并解除侧向锁定。仅并排或中心点超过不算完成。</w:t>
      </w:r>
    </w:p>
    <w:p>
      <w:pPr>
        <w:pStyle w:val="Heading2"/>
      </w:pPr>
      <w:r>
        <w:t>7.4 CANCEL 与 WAIT</w:t>
      </w:r>
    </w:p>
    <w:p>
      <w:r>
        <w:t>CANCEL：轨迹失效或特定条件下速度优势消失，放弃当前超车。保留绕行侧，通过减速建立间隔，再规划安全恢复；不能直接向参考线猛转。</w:t>
      </w:r>
    </w:p>
    <w:p>
      <w:r>
        <w:t>WAIT：在要求目标有效的配置下，目标观测过期，停止推进。恢复观测后，如果仍处于侧移途中，先执行取消／恢复；若已经对齐，再按目标位置决定跟随或巡航。成功超车并回归后，对手离开前向视野属于预期情况，不会仅因此停车。</w:t>
      </w:r>
    </w:p>
    <w:p>
      <w:pPr>
        <w:pStyle w:val="Heading1"/>
        <w:pageBreakBefore/>
      </w:pPr>
      <w:r>
        <w:t>8  动态 MPC：状态、输入与车辆模型</w:t>
      </w:r>
    </w:p>
    <w:p>
      <w:r>
        <w:rPr>
          <w:color w:val="64748B"/>
          <w:sz w:val="17"/>
        </w:rPr>
        <w:t>[实车 v8＋模型原理] 来源：S3。连续动力学公式用于解释，代码另有离散化与低速混合。</w:t>
      </w:r>
    </w:p>
    <w:p>
      <w:pPr>
        <w:pStyle w:val="Heading2"/>
      </w:pPr>
      <w:r>
        <w:t>8.1 滚动优化</w:t>
      </w:r>
    </w:p>
    <w:p>
      <w:pPr>
        <w:spacing w:after="140"/>
        <w:ind w:left="142"/>
      </w:pPr>
      <m:oMath>
        <m:r>
          <w:rPr>
            <w:rFonts w:ascii="Cambria Math" w:hAnsi="Cambria Math"/>
          </w:rPr>
          <m:t>min Σₖ₌₀ᴺ⁻¹ ℓ(xₖ,uₖ) + ℓ_f(xᴺ),     s.t. xₖ₊₁ = f(xₖ,uₖ)</m:t>
        </m:r>
      </m:oMath>
    </w:p>
    <w:p>
      <w:r>
        <w:t>每周期以最新状态重新预测和优化，只执行第一步控制，再滚动求解，以纠正扰动与模型偏差。</w:t>
      </w:r>
    </w:p>
    <w:p>
      <w:pPr>
        <w:spacing w:after="140"/>
        <w:ind w:left="142"/>
      </w:pPr>
      <m:oMath>
        <m:r>
          <w:rPr>
            <w:rFonts w:ascii="Cambria Math" w:hAnsi="Cambria Math"/>
          </w:rPr>
          <m:t>x = [pₓ,pᵧ,ψ,vₓ,vᵧ,r,a_prev,δ_prev,v_cmd,δ_act]ᵀ</m:t>
        </m:r>
      </m:oMath>
    </w:p>
    <w:p>
      <w:pPr>
        <w:spacing w:after="140"/>
        <w:ind w:left="142"/>
      </w:pPr>
      <m:oMath>
        <m:r>
          <w:rPr>
            <w:rFonts w:ascii="Cambria Math" w:hAnsi="Cambria Math"/>
          </w:rPr>
          <m:t>u = [a_cmd, δ_cmd]ᵀ</m:t>
        </m:r>
      </m:oMath>
    </w:p>
    <w:p>
      <w:r>
        <w:t>状态依次包含位置、航向、纵横向速度、横摆角速度、上一控制量以及速度指令和舵机响应状态。a_cmd 改变速度指令，δ_cmd 为转角指令；不是直接控制电流，也不是以转角速度作为输入。</w:t>
      </w:r>
    </w:p>
    <w:p>
      <w:pPr>
        <w:pStyle w:val="Heading2"/>
      </w:pPr>
      <w:r>
        <w:t>8.2 运动学与动力学</w:t>
      </w:r>
    </w:p>
    <w:p>
      <w:pPr>
        <w:spacing w:after="140"/>
        <w:ind w:left="142"/>
      </w:pPr>
      <m:oMath>
        <m:r>
          <w:rPr>
            <w:rFonts w:ascii="Cambria Math" w:hAnsi="Cambria Math"/>
          </w:rPr>
          <m:t>ṗₓ = v cosψ,     ṗᵧ = v sinψ,     ψ̇ = (v/L)tanδ</m:t>
        </m:r>
      </m:oMath>
    </w:p>
    <w:p>
      <w:r>
        <w:t>运动学自行车模型适用于低速、小侧滑。动力学模型进一步考虑侧向轮胎力、横向速度和横摆。小转角线性轮胎近似下：</w:t>
      </w:r>
    </w:p>
    <w:p>
      <w:pPr>
        <w:spacing w:after="140"/>
        <w:ind w:left="142"/>
      </w:pPr>
      <m:oMath>
        <m:r>
          <w:rPr>
            <w:rFonts w:ascii="Cambria Math" w:hAnsi="Cambria Math"/>
          </w:rPr>
          <m:t>m(v̇ᵧ + vₓr) = Fᵧf + Fᵧr,     I_z ṙ = l_f Fᵧf − l_r Fᵧr</m:t>
        </m:r>
      </m:oMath>
    </w:p>
    <w:p>
      <w:pPr>
        <w:spacing w:after="140"/>
        <w:ind w:left="142"/>
      </w:pPr>
      <m:oMath>
        <m:r>
          <w:rPr>
            <w:rFonts w:ascii="Cambria Math" w:hAnsi="Cambria Math"/>
          </w:rPr>
          <m:t>Fᵧf ≈ C_f[δ − (vᵧ + l_fr)/vₓ],     Fᵧr ≈ C_r[−(vᵧ − l_rr)/vₓ]</m:t>
        </m:r>
      </m:oMath>
    </w:p>
    <w:p>
      <w:r>
        <w:t>m 为质量，I_z 为横摆惯量，l_f/l_r 为质心到前后轴距离，C_f/C_r 为侧偏刚度。参数是模型配置，不应全部当作已独立测量的物理真值。</w:t>
      </w:r>
    </w:p>
    <w:p>
      <w:pPr>
        <w:pStyle w:val="Heading2"/>
      </w:pPr>
      <w:r>
        <w:t>8.3 低速数值处理</w:t>
      </w:r>
    </w:p>
    <w:p>
      <w:pPr>
        <w:spacing w:after="140"/>
        <w:ind w:left="142"/>
      </w:pPr>
      <m:oMath>
        <m:r>
          <w:rPr>
            <w:rFonts w:ascii="Cambria Math" w:hAnsi="Cambria Math"/>
          </w:rPr>
          <m:t>f ≈ (1 − λ(vₓ)) f_kinematic + λ(vₓ) f_dynamic</m:t>
        </m:r>
      </m:oMath>
    </w:p>
    <w:p>
      <w:r>
        <w:t>轮胎模型含 1/vₓ，接近零速时需要保护。当前实现使用安全速度下限与低速混合，低速以运动学响应为主，升速后增加动力学权重。该式概括设计思路，不是代码逐行表达。</w:t>
      </w:r>
    </w:p>
    <w:p>
      <w:pPr>
        <w:pStyle w:val="Heading1"/>
        <w:pageBreakBefore/>
      </w:pPr>
      <w:r>
        <w:t>9  执行器响应与 MPC 目标函数</w:t>
      </w:r>
    </w:p>
    <w:p>
      <w:r>
        <w:rPr>
          <w:color w:val="64748B"/>
          <w:sz w:val="17"/>
        </w:rPr>
        <w:t>[实车 v8] 来源：S3。执行器状态为模型状态，非实际转角传感器反馈。</w:t>
      </w:r>
    </w:p>
    <w:p>
      <w:pPr>
        <w:pStyle w:val="Heading2"/>
      </w:pPr>
      <w:r>
        <w:t>9.1 指令不等于瞬时响应</w:t>
      </w:r>
    </w:p>
    <w:p>
      <w:pPr>
        <w:spacing w:after="140"/>
        <w:ind w:left="142"/>
      </w:pPr>
      <m:oMath>
        <m:r>
          <w:rPr>
            <w:rFonts w:ascii="Cambria Math" w:hAnsi="Cambria Math"/>
          </w:rPr>
          <m:t>v_cmd,k+1 = v_cmd,k + a_cmd,k Δt</m:t>
        </m:r>
      </m:oMath>
    </w:p>
    <w:p>
      <w:pPr>
        <w:spacing w:after="140"/>
        <w:ind w:left="142"/>
      </w:pPr>
      <m:oMath>
        <m:r>
          <w:rPr>
            <w:rFonts w:ascii="Cambria Math" w:hAnsi="Cambria Math"/>
          </w:rPr>
          <m:t>vₖ₊₁ = vₖ + [Δt/(τᵥ + Δt)](v_cmd,k+1 − vₖ)</m:t>
        </m:r>
      </m:oMath>
    </w:p>
    <w:p>
      <w:pPr>
        <w:spacing w:after="140"/>
        <w:ind w:left="142"/>
      </w:pPr>
      <m:oMath>
        <m:r>
          <w:rPr>
            <w:rFonts w:ascii="Cambria Math" w:hAnsi="Cambria Math"/>
          </w:rPr>
          <m:t>δ_act,k+1 = δ_act,k + [Δt/(τδ + Δt)](δ_cmd,k − δ_act,k)</m:t>
        </m:r>
      </m:oMath>
    </w:p>
    <w:p>
      <w:r>
        <w:t>实车模型 τᵥ ≈ 0.15 s、τδ ≈ 0.20 s。电机和舵机逐渐响应，因此 a_cmd 不等于瞬时真实加速度。实车缺少直接转向位置反馈，servo 命令回显不是转角测量。</w:t>
      </w:r>
    </w:p>
    <w:p>
      <w:pPr>
        <w:pStyle w:val="Heading2"/>
      </w:pPr>
      <w:r>
        <w:t>9.2 跟踪误差</w:t>
      </w:r>
    </w:p>
    <w:p>
      <w:pPr>
        <w:spacing w:after="140"/>
        <w:ind w:left="142"/>
      </w:pPr>
      <m:oMath>
        <m:r>
          <w:rPr>
            <w:rFonts w:ascii="Cambria Math" w:hAnsi="Cambria Math"/>
          </w:rPr>
          <m:t>e_s = cosψᵣ(pₓ − pₓʳ) + sinψᵣ(pᵧ − pᵧʳ)</m:t>
        </m:r>
      </m:oMath>
    </w:p>
    <w:p>
      <w:pPr>
        <w:spacing w:after="140"/>
        <w:ind w:left="142"/>
      </w:pPr>
      <m:oMath>
        <m:r>
          <w:rPr>
            <w:rFonts w:ascii="Cambria Math" w:hAnsi="Cambria Math"/>
          </w:rPr>
          <m:t>e_y = −sinψᵣ(pₓ − pₓʳ) + cosψᵣ(pᵧ − pᵧʳ)</m:t>
        </m:r>
      </m:oMath>
    </w:p>
    <w:p>
      <w:pPr>
        <w:spacing w:after="140"/>
        <w:ind w:left="142"/>
      </w:pPr>
      <m:oMath>
        <m:r>
          <w:rPr>
            <w:rFonts w:ascii="Cambria Math" w:hAnsi="Cambria Math"/>
          </w:rPr>
          <m:t>eψ = wrap(ψ − ψᵣ),     eᵥ = vₓ − v_ref</m:t>
        </m:r>
      </m:oMath>
    </w:p>
    <w:p>
      <w:r>
        <w:t>e_s 是沿参考方向误差，e_y 是横向误差，eψ 是航向误差，eᵥ 是速度误差。</w:t>
      </w:r>
    </w:p>
    <w:p>
      <w:pPr>
        <w:pStyle w:val="Heading2"/>
      </w:pPr>
      <w:r>
        <w:t>9.3 代价函数</w:t>
      </w:r>
    </w:p>
    <w:p>
      <w:pPr>
        <w:spacing w:after="140"/>
        <w:ind w:left="142"/>
      </w:pPr>
      <m:oMath>
        <m:r>
          <w:rPr>
            <w:rFonts w:ascii="Cambria Math" w:hAnsi="Cambria Math"/>
          </w:rPr>
          <m:t>zₖ = [e_s,e_y,eψ,eᵥ,vᵧ,r,a,δ,a−a_prev,δ−δ_prev]ᵀ</m:t>
        </m:r>
      </m:oMath>
    </w:p>
    <w:p>
      <w:pPr>
        <w:spacing w:after="140"/>
        <w:ind w:left="142"/>
      </w:pPr>
      <m:oMath>
        <m:r>
          <w:rPr>
            <w:rFonts w:ascii="Cambria Math" w:hAnsi="Cambria Math"/>
          </w:rPr>
          <m:t>J = Σₖ₌₀ᴺ⁻¹ zₖᵀWzₖ + zᴺᵀW_f zᴺ</m:t>
        </m:r>
      </m:oMath>
    </w:p>
    <w:p>
      <w:r>
        <w:t>终端残差使用对应的状态误差项。路径、航向和速度误差保证跟踪；横向速度／横摆项约束运动状态；控制幅值避免过大动作；控制变化项抑制急加减速和转向摆动。</w:t>
      </w:r>
    </w:p>
    <w:p>
      <w:r>
        <w:t>当前阶段权重按上述十项顺序为 [3,160,140,18,1,0.5,0.3,1.2,2,180]。不同项量纲不同，不能仅凭权重大小判断谁“重要多少倍”；当前没有统一无量纲归一化。</w:t>
      </w:r>
    </w:p>
    <w:p>
      <w:pPr>
        <w:pStyle w:val="Heading1"/>
        <w:pageBreakBefore/>
      </w:pPr>
      <w:r>
        <w:t>10  MPC 约束、实时求解与时间一致性</w:t>
      </w:r>
    </w:p>
    <w:p>
      <w:r>
        <w:rPr>
          <w:color w:val="64748B"/>
          <w:sz w:val="17"/>
        </w:rPr>
        <w:t>[实车配置＋仿真边界] 来源：S3、S7、S8。限值属于具体版本，不能互相套用。</w:t>
      </w:r>
    </w:p>
    <w:p>
      <w:pPr>
        <w:pStyle w:val="Heading2"/>
      </w:pPr>
      <w:r>
        <w:t>10.1 输入、状态和运动约束</w:t>
      </w:r>
    </w:p>
    <w:p>
      <w:pPr>
        <w:spacing w:after="140"/>
        <w:ind w:left="142"/>
      </w:pPr>
      <m:oMath>
        <m:r>
          <w:rPr>
            <w:rFonts w:ascii="Cambria Math" w:hAnsi="Cambria Math"/>
          </w:rPr>
          <m:t>a_min ≤ a_cmd ≤ a_max,     |δ_cmd| ≤ δ_max</m:t>
        </m:r>
      </m:oMath>
    </w:p>
    <w:p>
      <w:pPr>
        <w:spacing w:after="140"/>
        <w:ind w:left="142"/>
      </w:pPr>
      <m:oMath>
        <m:r>
          <w:rPr>
            <w:rFonts w:ascii="Cambria Math" w:hAnsi="Cambria Math"/>
          </w:rPr>
          <m:t>|Δa| ≤ Δa_max,     |Δδ| ≤ Δδ_max,     |aᵧ| ≈ |vₓr| ≤ aᵧ,max</m:t>
        </m:r>
      </m:oMath>
    </w:p>
    <w:p>
      <w:r>
        <w:t>还包括速度、局部走廊、航向偏差等约束。硬约束限制可行解集合；大权重惩罚不等于硬约束。当前实车生成求解器不应被描述为已经具有完整 slack 软约束体系。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实车 v8 项目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配置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加速度指令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−0.8 至 +1.0 m/s²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转角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约 ±0.269 rad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运行速度上限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2.0 m/s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预测离散步长／步数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0.05 s / 24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预测时域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1.2 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控制／局部规划频率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约 20 Hz / 5 Hz</w:t>
            </w:r>
          </w:p>
        </w:tc>
      </w:tr>
    </w:tbl>
    <w:p>
      <w:pPr>
        <w:pStyle w:val="Heading2"/>
      </w:pPr>
      <w:r>
        <w:t>10.2 求解器</w:t>
      </w:r>
    </w:p>
    <w:p>
      <w:r>
        <w:t>使用 acados 的 SQP-RTI 与 HPIPM QP 求解器。对非线性问题进行局部线性化与二次近似后求解，并检查有限性、残差和状态。迭代间时间预算检查不等于可中断单次求解的硬实时保证。</w:t>
      </w:r>
    </w:p>
    <w:p>
      <w:pPr>
        <w:pStyle w:val="Heading2"/>
      </w:pPr>
      <w:r>
        <w:t>10.3 规划—控制一致性</w:t>
      </w:r>
    </w:p>
    <w:p>
      <w:pPr>
        <w:spacing w:after="140"/>
        <w:ind w:left="142"/>
      </w:pPr>
      <m:oMath>
        <m:r>
          <w:rPr>
            <w:rFonts w:ascii="Cambria Math" w:hAnsi="Cambria Math"/>
          </w:rPr>
          <m:t>规划检查使用的未来运动 ≈ MPC 预测和实际执行的未来运动</m:t>
        </m:r>
      </m:oMath>
    </w:p>
    <w:p>
      <w:r>
        <w:t>若规划器假设两秒内超越，但 MPC 因转向或加速限制三秒才到达，对手碰撞预测就失配。因此需要一致的时间参考、速度变化、执行器动态，以及对 MPC 预测轨迹的再次检查。当前扩展加强了这些接口，但不是严格统一的联合时空最优化。</w:t>
      </w:r>
    </w:p>
    <w:p>
      <w:r>
        <w:t>动态 MPC 中“动态”首先指车辆动力学，不自动表示含动态障碍预测。动态障碍约束也不能全部归功于 MPC：当前主要由外部轨迹预测与碰撞验证承担。</w:t>
      </w:r>
    </w:p>
    <w:p>
      <w:pPr>
        <w:pStyle w:val="Heading1"/>
        <w:pageBreakBefore/>
      </w:pPr>
      <w:r>
        <w:t>11  实车部署、硬件接口与安全链</w:t>
      </w:r>
    </w:p>
    <w:p>
      <w:r>
        <w:rPr>
          <w:color w:val="64748B"/>
          <w:sz w:val="17"/>
        </w:rPr>
        <w:t>[实车代码与既往只读核对] 来源：S4、S5。本文不启动驱动、不发送控制命令。</w:t>
      </w:r>
    </w:p>
    <w:p>
      <w:pPr>
        <w:pStyle w:val="Heading2"/>
      </w:pPr>
      <w:r>
        <w:t>11.1 运行部署</w:t>
      </w:r>
    </w:p>
    <w:p>
      <w:r>
        <w:t>Jetson 上运行 LiDAR 与 VESC 驱动、地图定位、状态桥接、C++ 局部规划／MPC 和独立安全节点。ROS 2 负责传输状态、扫描和控制消息，C++ 核心执行规划控制，脚本负责环境与会话管理。</w:t>
      </w:r>
    </w:p>
    <w:p>
      <w:r>
        <w:t>实车启动包装指向 v8 的 launch.sh 与 vehicle_session.py。当前运行仍引用旧 workspace 的驱动与配置，不是仅克隆新仓库就完全自包含；部署前必须核对依赖、模型配置、坐标系和命令所有权。</w:t>
      </w:r>
    </w:p>
    <w:p>
      <w:pPr>
        <w:pStyle w:val="Heading2"/>
      </w:pPr>
      <w:r>
        <w:t>11.2 状态来源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量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来源与注意事项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位置、航向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粒子滤波定位估计，不是外部真值。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纵向速度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VESC ERPM 换算，受轮径、传动、滑移影响。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横向速度／横摆状态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含模型估计；不能一概称为 IMU 测量。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转向状态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模型估计；没有直接实际转角反馈。</w:t>
            </w:r>
          </w:p>
        </w:tc>
      </w:tr>
    </w:tbl>
    <w:p>
      <w:pPr>
        <w:pStyle w:val="Heading2"/>
      </w:pPr>
      <w:r>
        <w:t>11.3 执行器映射</w:t>
      </w:r>
    </w:p>
    <w:p>
      <w:pPr>
        <w:spacing w:after="140"/>
        <w:ind w:left="142"/>
      </w:pPr>
      <m:oMath>
        <m:r>
          <w:rPr>
            <w:rFonts w:ascii="Cambria Math" w:hAnsi="Cambria Math"/>
          </w:rPr>
          <m:t>ERPM = kᵥ v_cmd + bᵥ,     kᵥ = 7500,     bᵥ = 0</m:t>
        </m:r>
      </m:oMath>
    </w:p>
    <w:p>
      <w:pPr>
        <w:spacing w:after="140"/>
        <w:ind w:left="142"/>
      </w:pPr>
      <m:oMath>
        <m:r>
          <w:rPr>
            <w:rFonts w:ascii="Cambria Math" w:hAnsi="Cambria Math"/>
          </w:rPr>
          <m:t>u_servo = kδ δ_cmd + bδ,     kδ = −1.2135,     bδ = 0.4304</m:t>
        </m:r>
      </m:oMath>
    </w:p>
    <w:p>
      <w:r>
        <w:t>以上来自此前核对的实车运行配置；不同仓库通用配置可能不同，不能直接跨车复制。MPC 优化的加速度指令最终通过速度状态映射到电机目标。</w:t>
      </w:r>
    </w:p>
    <w:p>
      <w:pPr>
        <w:pStyle w:val="Heading2"/>
      </w:pPr>
      <w:r>
        <w:t>11.4 指令安全与停车</w:t>
      </w:r>
    </w:p>
    <w:p>
      <w:r>
        <w:t>nominal 指令 → final guard → 运行时间窗／许可 → 下游执行器 guard → VESC／舵机。检查有限值、幅值、deadman、数据新鲜度和超时；末端也必须阻止继续重复旧指令。</w:t>
      </w:r>
    </w:p>
    <w:p>
      <w:pPr>
        <w:spacing w:after="140"/>
        <w:ind w:left="142"/>
      </w:pPr>
      <m:oMath>
        <m:r>
          <w:rPr>
            <w:rFonts w:ascii="Cambria Math" w:hAnsi="Cambria Math"/>
          </w:rPr>
          <m:t>t_now − t_message &lt; T_timeout</m:t>
        </m:r>
      </m:oMath>
    </w:p>
    <w:p>
      <w:r>
        <w:t>零电流／零目标不是瞬间静止。实车包含提前减速、最低可运行速度处理、终点停车锁存和静止确认。先做日志与接口验证、shadow 输出检查、架空与低速闭环，再扩大场景。具体运行前仍需现场安全确认，历史通过不等于当前硬件已就绪。</w:t>
      </w:r>
    </w:p>
    <w:p>
      <w:pPr>
        <w:pStyle w:val="Heading1"/>
        <w:pageBreakBefore/>
      </w:pPr>
      <w:r>
        <w:t>12  已验证成果、边界与证据索引</w:t>
      </w:r>
    </w:p>
    <w:p>
      <w:r>
        <w:rPr>
          <w:color w:val="64748B"/>
          <w:sz w:val="17"/>
        </w:rPr>
        <w:t>[历史结果] 来源：S9。以下为既有实车试验，不是本次重新测试。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指标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历史实车 v8 记录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路线与任务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约 44.73 m，两处静态障碍绕行及终点停车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完成时间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约 27.98 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相对局部路径横向 RMS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约 3.43 cm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横向误差 P95 / 最大值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约 7.60 cm / 9.87 cm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最大控制器计算耗时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约 28.36 ms；不是纯 MPC 时间或 WCET 证明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终态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确认静止，最终 ERPM = 0，VESC fault = 0</w:t>
            </w:r>
          </w:p>
        </w:tc>
      </w:tr>
    </w:tbl>
    <w:p>
      <w:r>
        <w:t>操作者反馈两处没有碰撞、基本不摆动、终点自然停稳。误差基于车载定位，与移动的局部绕行路径比较；不是外部真值，也不是始终相对固定中心线。一次实车成功不能证明广泛场景成功率。</w:t>
      </w:r>
    </w:p>
    <w:p>
      <w:r>
        <w:t>仿真使用独立的车辆模型配置。对手真值只用于对手自身控制和独立评分，不应进入自车目标跟踪、规划或 MPC；但自车 Gym odom 仍是理想化仿真状态，因此不能声称整个系统完全不使用真值。动态超车尚不能算作实车已验收。</w:t>
      </w:r>
    </w:p>
    <w:p>
      <w:pPr>
        <w:pStyle w:val="Heading2"/>
      </w:pPr>
      <w:r>
        <w:t>源码与记录索引</w:t>
      </w:r>
    </w:p>
    <w:p>
      <w:r>
        <w:rPr>
          <w:color w:val="64748B"/>
          <w:sz w:val="17"/>
        </w:rPr>
        <w:t>下列路径均相对 /data/projects/F1-Tenth-Duke/f1tenth-takeover。S4 的实际硬件映射另依据此前同日 SSH 只读核对；本次未再次连接实车。</w:t>
      </w:r>
    </w:p>
    <w:p>
      <w:r>
        <w:rPr>
          <w:color w:val="64748B"/>
          <w:sz w:val="17"/>
        </w:rPr>
        <w:t>S1  README.md；docs/STATUS.md；real_vehicle/maps/；real_vehicle/routes/</w:t>
      </w:r>
    </w:p>
    <w:p>
      <w:r>
        <w:rPr>
          <w:color w:val="64748B"/>
          <w:sz w:val="17"/>
        </w:rPr>
        <w:t>S2  real_vehicle/candidate_cpp_gpu_20260909/ground_fitzpatrick_joint_20260927_v8/src/cpp_frenet/perception.hpp、core.hpp</w:t>
      </w:r>
    </w:p>
    <w:p>
      <w:r>
        <w:rPr>
          <w:color w:val="64748B"/>
          <w:sz w:val="17"/>
        </w:rPr>
        <w:t>S3  同一 v8 目录：generate_joint_solver.py；src/cpp_frenet/joint_control.hpp</w:t>
      </w:r>
    </w:p>
    <w:p>
      <w:r>
        <w:rPr>
          <w:color w:val="64748B"/>
          <w:sz w:val="17"/>
        </w:rPr>
        <w:t>S4  同一 v8 目录：stand_follow.py；vehicle_session.py；real_vehicle/fitzpatrick_avoidance_dynamic_mpc.sh</w:t>
      </w:r>
    </w:p>
    <w:p>
      <w:r>
        <w:rPr>
          <w:color w:val="64748B"/>
          <w:sz w:val="17"/>
        </w:rPr>
        <w:t>S5  real_vehicle/candidate_cpp_gpu_20260909/config/pf_gpu_offline.yaml；real_vehicle/baseline_pf_pp_20260908/src/particle_filter/particle_filter/particle_filter.py</w:t>
      </w:r>
    </w:p>
    <w:p>
      <w:r>
        <w:rPr>
          <w:color w:val="64748B"/>
          <w:sz w:val="17"/>
        </w:rPr>
        <w:t>S6  Code/sim_ws/src/f1tenth_mpc-main/mpc/scripts/opponent_ekf_tracker.py</w:t>
      </w:r>
    </w:p>
    <w:p>
      <w:r>
        <w:rPr>
          <w:color w:val="64748B"/>
          <w:sz w:val="17"/>
        </w:rPr>
        <w:t>S7  Code/sim_ws/src/takeover_sim/include/takeover_sim/dynamic_overtaking.hpp</w:t>
      </w:r>
    </w:p>
    <w:p>
      <w:r>
        <w:rPr>
          <w:color w:val="64748B"/>
          <w:sz w:val="17"/>
        </w:rPr>
        <w:t>S8  Code/sim_ws/tools/upstream_sqp_worker.py</w:t>
      </w:r>
    </w:p>
    <w:p>
      <w:r>
        <w:rPr>
          <w:color w:val="64748B"/>
          <w:sz w:val="17"/>
        </w:rPr>
        <w:t>S9  results/fitzpatrick_v8_20260927/analysis_summary.json；result.json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2026-10-26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F1TENTH  |  项目技术说明 · 原理与实现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80"/>
    </w:pPr>
    <w:rPr>
      <w:rFonts w:ascii="Calibri" w:hAnsi="Calibri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 w:eastAsia="Noto Sans CJK SC"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64" w:lineRule="auto"/>
    </w:pPr>
    <w:rPr>
      <w:rFonts w:ascii="Calibri" w:hAnsi="Calibri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64" w:lineRule="auto" w:after="80"/>
      <w:contextualSpacing/>
    </w:pPr>
    <w:rPr>
      <w:rFonts w:ascii="Calibri" w:hAnsi="Calibri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