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412F" w14:textId="77777777" w:rsidR="00E36169" w:rsidRDefault="00890A10">
      <w:r>
        <w:rPr>
          <w:rFonts w:hint="eastAsia"/>
        </w:rPr>
        <w:t>在所有wind“偏股混合类公募基金”分类下的基金中，选择</w:t>
      </w:r>
      <w:r w:rsidR="00B71CFF">
        <w:rPr>
          <w:rFonts w:hint="eastAsia"/>
        </w:rPr>
        <w:t>数据未缺失的基金。</w:t>
      </w:r>
    </w:p>
    <w:p w14:paraId="026F9CBE" w14:textId="77777777" w:rsidR="00805893" w:rsidRDefault="00F770B3" w:rsidP="008A1812">
      <w:r>
        <w:rPr>
          <w:rFonts w:hint="eastAsia"/>
        </w:rPr>
        <w:t>首先寻找</w:t>
      </w:r>
      <w:r w:rsidR="008A1812">
        <w:rPr>
          <w:rFonts w:hint="eastAsia"/>
        </w:rPr>
        <w:t>最近一期季报中所有偏股混合类公募基金整体调仓方向最具“先见之明”的基金</w:t>
      </w:r>
      <w:r>
        <w:rPr>
          <w:rFonts w:hint="eastAsia"/>
        </w:rPr>
        <w:t>，</w:t>
      </w:r>
      <w:r w:rsidR="005E28A3">
        <w:rPr>
          <w:rFonts w:hint="eastAsia"/>
        </w:rPr>
        <w:t>即设定变量Crowd，指定为</w:t>
      </w:r>
      <w:r w:rsidR="00805893">
        <w:rPr>
          <w:rFonts w:hint="eastAsia"/>
        </w:rPr>
        <w:t>该</w:t>
      </w:r>
      <w:r w:rsidR="005E28A3">
        <w:rPr>
          <w:rFonts w:hint="eastAsia"/>
        </w:rPr>
        <w:t>所有偏股混合基金行业调整的“总体方向”</w:t>
      </w:r>
      <w:r w:rsidR="00805893">
        <w:rPr>
          <w:rFonts w:hint="eastAsia"/>
        </w:rPr>
        <w:t>中，某些基金在此“总体方向”形成前一个季度即以该建仓趋势已完成建仓的企业，Crowd评分最高。</w:t>
      </w:r>
      <w:r w:rsidR="00D83711">
        <w:rPr>
          <w:rFonts w:hint="eastAsia"/>
        </w:rPr>
        <w:t>绘制</w:t>
      </w:r>
      <w:r w:rsidR="00805893">
        <w:rPr>
          <w:rFonts w:hint="eastAsia"/>
        </w:rPr>
        <w:t>该Crowd单因子策略的</w:t>
      </w:r>
      <w:r w:rsidR="00AE53F4">
        <w:rPr>
          <w:rFonts w:hint="eastAsia"/>
        </w:rPr>
        <w:t>模拟仓的净值</w:t>
      </w:r>
      <w:r w:rsidR="00805893">
        <w:rPr>
          <w:rFonts w:hint="eastAsia"/>
        </w:rPr>
        <w:t>曲线。</w:t>
      </w:r>
    </w:p>
    <w:p w14:paraId="0EDCD176" w14:textId="77777777" w:rsidR="00890A10" w:rsidRDefault="00AE53F4">
      <w:r>
        <w:rPr>
          <w:rFonts w:hint="eastAsia"/>
        </w:rPr>
        <w:t>设定模拟仓每次仅买卖一只标的，每次以季度级别进行</w:t>
      </w:r>
      <w:r w:rsidR="00890A10">
        <w:rPr>
          <w:rFonts w:hint="eastAsia"/>
        </w:rPr>
        <w:t>调仓，调仓依据为</w:t>
      </w:r>
      <w:r w:rsidR="008A1812" w:rsidRPr="008A1812">
        <w:rPr>
          <w:rFonts w:hint="eastAsia"/>
          <w:i/>
        </w:rPr>
        <w:t>Crowd</w:t>
      </w:r>
      <w:r w:rsidR="008A1812" w:rsidRPr="008A1812">
        <w:rPr>
          <w:rFonts w:hint="eastAsia"/>
        </w:rPr>
        <w:t>指标</w:t>
      </w:r>
      <w:r>
        <w:rPr>
          <w:rFonts w:hint="eastAsia"/>
        </w:rPr>
        <w:t>大小，仅选择最优的一只标的。</w:t>
      </w:r>
    </w:p>
    <w:p w14:paraId="485C4455" w14:textId="77777777" w:rsidR="009B0317" w:rsidRDefault="009B0317">
      <w:r>
        <w:rPr>
          <w:rFonts w:hint="eastAsia"/>
        </w:rPr>
        <w:t>净值曲线如下：</w:t>
      </w:r>
    </w:p>
    <w:p w14:paraId="16B63EA8" w14:textId="77777777" w:rsidR="009B0317" w:rsidRDefault="009B0317"/>
    <w:p w14:paraId="688E7B56" w14:textId="77777777" w:rsidR="009B0317" w:rsidRDefault="009B0317">
      <w:pPr>
        <w:rPr>
          <w:i/>
        </w:rPr>
      </w:pPr>
      <w:r w:rsidRPr="009B0317">
        <w:rPr>
          <w:i/>
          <w:noProof/>
        </w:rPr>
        <w:drawing>
          <wp:inline distT="0" distB="0" distL="0" distR="0" wp14:anchorId="75467CB1" wp14:editId="2C2A77FB">
            <wp:extent cx="5274310" cy="3955733"/>
            <wp:effectExtent l="0" t="0" r="2540" b="6985"/>
            <wp:docPr id="1" name="图片 1" descr="D:\desktop\crowd\forwx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crowd\forwx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2D69" w14:textId="77777777" w:rsidR="009B0317" w:rsidRDefault="009B0317">
      <w:r>
        <w:rPr>
          <w:rFonts w:hint="eastAsia"/>
        </w:rPr>
        <w:t>数据来源：净值及持仓均来自于市场公开数据</w:t>
      </w:r>
    </w:p>
    <w:p w14:paraId="09E0FB5A" w14:textId="77777777" w:rsidR="009B0317" w:rsidRDefault="009B0317"/>
    <w:p w14:paraId="171755E2" w14:textId="77777777" w:rsidR="009B0317" w:rsidRPr="009B0317" w:rsidRDefault="009B0317">
      <w:r>
        <w:rPr>
          <w:rFonts w:hint="eastAsia"/>
        </w:rPr>
        <w:t>总结：该策略较为简单易懂，未来有</w:t>
      </w:r>
      <w:r w:rsidR="00706050">
        <w:rPr>
          <w:rFonts w:hint="eastAsia"/>
        </w:rPr>
        <w:t>三</w:t>
      </w:r>
      <w:r>
        <w:rPr>
          <w:rFonts w:hint="eastAsia"/>
        </w:rPr>
        <w:t>个改进方向，一是将季报发布的迟滞考虑进去（一般为3</w:t>
      </w:r>
      <w:r>
        <w:t>0</w:t>
      </w:r>
      <w:r>
        <w:rPr>
          <w:rFonts w:hint="eastAsia"/>
        </w:rPr>
        <w:t>天左右），二是模拟仓股票池为1</w:t>
      </w:r>
      <w:r>
        <w:t>0</w:t>
      </w:r>
      <w:r>
        <w:rPr>
          <w:rFonts w:hint="eastAsia"/>
        </w:rPr>
        <w:t>只标的，三是可以对Crowd因子进行IC</w:t>
      </w:r>
      <w:r>
        <w:t xml:space="preserve"> </w:t>
      </w:r>
      <w:r>
        <w:rPr>
          <w:rFonts w:hint="eastAsia"/>
        </w:rPr>
        <w:t>IR分析并展示。这些改进方向将在后续探讨和展示。</w:t>
      </w:r>
    </w:p>
    <w:sectPr w:rsidR="009B0317" w:rsidRPr="009B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EB1"/>
    <w:rsid w:val="005C4E7E"/>
    <w:rsid w:val="005E28A3"/>
    <w:rsid w:val="00706050"/>
    <w:rsid w:val="00805893"/>
    <w:rsid w:val="0088544A"/>
    <w:rsid w:val="00890A10"/>
    <w:rsid w:val="008A1812"/>
    <w:rsid w:val="009B0317"/>
    <w:rsid w:val="00A34EB1"/>
    <w:rsid w:val="00AE53F4"/>
    <w:rsid w:val="00B71CFF"/>
    <w:rsid w:val="00D83711"/>
    <w:rsid w:val="00DA7B80"/>
    <w:rsid w:val="00E36169"/>
    <w:rsid w:val="00F7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623C"/>
  <w15:chartTrackingRefBased/>
  <w15:docId w15:val="{6F9FE459-7FA2-447A-8EEE-027ACF26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yangxy</dc:creator>
  <cp:keywords/>
  <dc:description/>
  <cp:lastModifiedBy>Administrator</cp:lastModifiedBy>
  <cp:revision>15</cp:revision>
  <dcterms:created xsi:type="dcterms:W3CDTF">2023-03-09T07:06:00Z</dcterms:created>
  <dcterms:modified xsi:type="dcterms:W3CDTF">2024-04-08T13:05:00Z</dcterms:modified>
</cp:coreProperties>
</file>