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bookmarkStart w:id="21" w:name="面向光伏功率预测的stl-双域timesnet模型"/>
      <w:bookmarkEnd w:id="21"/>
      <w:r>
        <w:t xml:space="preserve">面向光伏功率预测的STL-双域TimesNet模型</w:t>
      </w:r>
    </w:p>
    <w:p>
      <w:pPr>
        <w:pStyle w:val="Heading2"/>
      </w:pPr>
      <w:bookmarkStart w:id="22" w:name="摘要"/>
      <w:bookmarkEnd w:id="22"/>
      <w:r>
        <w:t xml:space="preserve">摘要</w:t>
      </w:r>
    </w:p>
    <w:p>
      <w:pPr>
        <w:pStyle w:val="FirstParagraph"/>
      </w:pPr>
      <w:r>
        <w:t xml:space="preserve">长期光伏功率预测是可再生能源并网调度的关键支撑技术。光伏序列具有显著的非平稳性、多重周期性以及跨周期的长滞后依赖，给现有预测模型带来严峻挑战。本文提出STL-双域TimesNet模型，其三个模块分别作用于周期建模流程的三个阶段：输入端采用STL分解将序列拆分为趋势、季节与残差三分量并分别嵌入，使量级与频率差异极大的成分获得独立表示；周期检测阶段并行运行FFT与DCT两路检测——FFT以复指数为基、隐含周期延拓假设，在非整数周期处产生频谱泄漏；DCT以实余弦为基、采用偶对称延拓，泄漏更小，能够检出前者淹没或偏移的周期。两路各取Top-K周期并各自完成二维折叠与卷积，再由门控融合，其周期集合并集比任一单变换更完整。跨周期聚合阶段引入与二维卷积分支并行的自相关注意力：卷积分支的跨周期跨度受卷积核大小限制，自相关分支在原始时间轴上通过自相关谱选择Top-K延迟，实现跨任意长滞后的全局聚合。三个模块分别作用于输入分解、周期检测与跨周期聚合，功能上互不重叠。本文在Solar-DKA与Solar-Site1两个真实光伏数据集上开展实验，并给出FFT-DCT周期检测互补性的分析框架。本文为方法稿，实验结果待补充。</w:t>
      </w:r>
    </w:p>
    <w:p>
      <w:pPr>
        <w:pStyle w:val="BodyText"/>
      </w:pPr>
      <w:r>
        <w:rPr>
          <w:b/>
        </w:rPr>
        <w:t xml:space="preserve">关键词</w:t>
      </w:r>
      <w:r>
        <w:t xml:space="preserve">：光伏功率预测；STL分解；离散余弦变换；自相关注意力；长期时间序列预测</w:t>
      </w:r>
    </w:p>
    <w:p>
      <w:pPr>
        <w:pStyle w:val="Heading2"/>
      </w:pPr>
      <w:bookmarkStart w:id="23" w:name="引言"/>
      <w:bookmarkEnd w:id="23"/>
      <w:r>
        <w:t xml:space="preserve">1 引言</w:t>
      </w:r>
    </w:p>
    <w:p>
      <w:pPr>
        <w:pStyle w:val="Heading3"/>
      </w:pPr>
      <w:bookmarkStart w:id="24" w:name="研究背景与挑战"/>
      <w:bookmarkEnd w:id="24"/>
      <w:r>
        <w:t xml:space="preserve">1.1 研究背景与挑战</w:t>
      </w:r>
    </w:p>
    <w:p>
      <w:pPr>
        <w:pStyle w:val="FirstParagraph"/>
      </w:pPr>
      <w:r>
        <w:t xml:space="preserve">太阳能发电具有天然的间歇性与波动性，其出力受地理位置、季节变化、昼夜交替与气象条件等多重因素影响，呈现高度复杂的时间序列特性。发电功率在夜间恒为零、白昼随太阳辐照强度连续变化，并叠加云层遮挡、沙尘等随机扰动，使得序列同时具有强规律性与强噪声。预测精度不足将迫使电网运营商增加备用容量以应对供需失衡，而过度保守的预测又会造成弃光浪费。因此提升光伏预测精度、尤其是长跨度预测精度，对降低电力系统运营成本、提高可再生能源消纳比例具有重要意义。</w:t>
      </w:r>
    </w:p>
    <w:p>
      <w:pPr>
        <w:pStyle w:val="BodyText"/>
      </w:pPr>
      <w:r>
        <w:t xml:space="preserve">现有方法在该任务上仍面临三方面挑战。第一，</w:t>
      </w:r>
      <w:r>
        <w:rPr>
          <w:b/>
        </w:rPr>
        <w:t xml:space="preserve">非平稳性</w:t>
      </w:r>
      <w:r>
        <w:t xml:space="preserve">：光伏序列的均值、方差与季节强度随时间推移发生变化，假设数据同分布的模型难以捕捉这种动态演化。第二，</w:t>
      </w:r>
      <w:r>
        <w:rPr>
          <w:b/>
        </w:rPr>
        <w:t xml:space="preserve">周期检测</w:t>
      </w:r>
      <w:r>
        <w:t xml:space="preserve">：光伏数据同时包含日、周、年等多重周期，且受非整数周期与趋势叠加影响，单一变换的周期检测容易发生频谱泄漏与漏检；一旦检测到的周期偏离真实周期，依据其进行的二维折叠就会产生错误的相位对齐，直接损害后续建模质量。第三，</w:t>
      </w:r>
      <w:r>
        <w:rPr>
          <w:b/>
        </w:rPr>
        <w:t xml:space="preserve">长程依赖</w:t>
      </w:r>
      <w:r>
        <w:t xml:space="preserve">：准确的长跨度预测要求模型从较长历史窗口中提取有效信息，而循环网络在长序列上面临梯度消失与并行化困难的双重瓶颈。</w:t>
      </w:r>
    </w:p>
    <w:p>
      <w:pPr>
        <w:pStyle w:val="Heading3"/>
      </w:pPr>
      <w:bookmarkStart w:id="25" w:name="相关工作"/>
      <w:bookmarkEnd w:id="25"/>
      <w:r>
        <w:t xml:space="preserve">1.2 相关工作</w:t>
      </w:r>
    </w:p>
    <w:p>
      <w:pPr>
        <w:pStyle w:val="FirstParagraph"/>
      </w:pPr>
      <w:r>
        <w:rPr>
          <w:b/>
        </w:rPr>
        <w:t xml:space="preserve">深度学习时序预测</w:t>
      </w:r>
      <w:r>
        <w:t xml:space="preserve">。LSTM、GRU等循环网络通过门控机制缓解梯度消失，在早期时序预测中占主导地位，但顺序计算的本质限制了并行效率，且对长程依赖的建模仍不充分。Transformer的自注意力机制实现了任意位置间的直接信息交互，Informer以稀疏注意力将复杂度降至O(L log L)，Autoformer引入自相关注意力与序列级分解，FEDformer在频域中计算注意力以进一步增强长序列处理能力，PatchTST将序列切分为重叠片段作为输入token并取得良好效果。然而这类方法在设计时普遍将序列视为普通数据，未显式利用时间序列固有的周期结构。</w:t>
      </w:r>
    </w:p>
    <w:p>
      <w:pPr>
        <w:pStyle w:val="BodyText"/>
      </w:pPr>
      <w:r>
        <w:rPr>
          <w:b/>
        </w:rPr>
        <w:t xml:space="preserve">周期建模与频域方法</w:t>
      </w:r>
      <w:r>
        <w:t xml:space="preserve">。FFT被广泛用于识别主导周期并指导模型选择窗口与分解策略，FEDformer、FiLM、FreTS、FITS等工作均在频域或频率增强的表示上建模，频域方法已相当成熟，并已有综述对其进行系统梳理。TimesNet将一维序列沿周期方向折叠为二维张量后做二维卷积，是周期建模的代表性工作，在多个基准上表现优异。然而其周期检测仅依赖FFT，且跨周期聚合依赖逐层堆叠的局部卷积，聚合跨度受核大小限制。另一方面，Zeng等以DLinear等线性基线质疑了复杂模型的必要性，FilterNet进一步论证简单滤波器在多个场景下的有效性——这意味着任何频域或注意力模块的增益都必须在与简单强基线的对比下才能确立，仅凭"引入某个变换"不足以构成新颖性。</w:t>
      </w:r>
    </w:p>
    <w:p>
      <w:pPr>
        <w:pStyle w:val="BodyText"/>
      </w:pPr>
      <w:r>
        <w:rPr>
          <w:b/>
        </w:rPr>
        <w:t xml:space="preserve">信号分解与自相关机制</w:t>
      </w:r>
      <w:r>
        <w:t xml:space="preserve">。STL通过局部加权回归将序列分解为趋势、季节与残差三个可加分量，对异常值鲁棒且允许季节强度随时间变化，但需要对每条序列单独迭代求解，无法批量并行且不可微分。Autoformer、FEDformer等把分解模块嵌入网络结构，通常只进行单周期、单一尺度的分解。自相关机制由Autoformer首次提出，通过计算序列与滞后版本的相关性来建模周期依赖，但通常与该模型的编码器-解码器结构紧密耦合；后续研究亦指出Autoformer的增益主要来自序列分解与逐序列注意力，自相关本身并非关键因素。本文的做法是把自相关注意力解耦后与TimesNet的卷积分支并行组合，其互补性建立在两条分支的结构差异上。</w:t>
      </w:r>
    </w:p>
    <w:p>
      <w:pPr>
        <w:pStyle w:val="BodyText"/>
      </w:pPr>
      <w:r>
        <w:rPr>
          <w:b/>
        </w:rPr>
        <w:t xml:space="preserve">研究空白</w:t>
      </w:r>
      <w:r>
        <w:t xml:space="preserve">。综合来看，现有工作在周期建模链路上留有若干未被同时处理的问题：其一，周期检测多依赖单一变换，未讨论泄漏对折叠形状的影响，也少有工作利用不同变换的延拓方式差异来互补；其二，分解模块与周期检测模块的关系经常被混同——把趋势分离与周期识别放在同一个组件里处理，导致两类误差相互耦合；其三，跨周期聚合多依赖卷积核堆叠或全局注意力，缺少介于两者之间、开销可控且具有明确长滞后语义的机制。本文的方法设计正是围绕这三点展开，并刻意让三个模块作用于流程的不同阶段，以便在消融实验中分别量化各自的贡献。</w:t>
      </w:r>
    </w:p>
    <w:p>
      <w:pPr>
        <w:pStyle w:val="Heading3"/>
      </w:pPr>
      <w:bookmarkStart w:id="26" w:name="本文贡献"/>
      <w:bookmarkEnd w:id="26"/>
      <w:r>
        <w:t xml:space="preserve">1.3 本文贡献</w:t>
      </w:r>
    </w:p>
    <w:p>
      <w:pPr>
        <w:pStyle w:val="FirstParagraph"/>
      </w:pPr>
      <w:r>
        <w:t xml:space="preserve">本文提出STL-双域TimesNet。三个模块分别作用于周期建模流程的</w:t>
      </w:r>
      <w:r>
        <w:rPr>
          <w:b/>
        </w:rPr>
        <w:t xml:space="preserve">三个不同阶段</w:t>
      </w:r>
      <w:r>
        <w:t xml:space="preserve">，功能上互不重叠，形成"分解→检测→聚合"的流水线式结合：</w:t>
      </w:r>
    </w:p>
    <w:p>
      <w:pPr>
        <w:pStyle w:val="Compact"/>
        <w:numPr>
          <w:numId w:val="1001"/>
          <w:ilvl w:val="0"/>
        </w:numPr>
      </w:pPr>
      <w:r>
        <w:rPr>
          <w:b/>
        </w:rPr>
        <w:t xml:space="preserve">输入分解阶段</w:t>
      </w:r>
      <w:r>
        <w:t xml:space="preserve">：引入STL风格的序列分解，将序列拆为趋势、季节与残差三分量，并各以</w:t>
      </w:r>
      <w:r>
        <w:rPr>
          <w:b/>
        </w:rPr>
        <w:t xml:space="preserve">独立参数</w:t>
      </w:r>
      <w:r>
        <w:t xml:space="preserve">的嵌入网络表示。动机在于：光伏序列中三类成分的量级与频率差异极大（趋势缓慢、季节强周期、残差高频），用同一套参数拟合会相互干扰。为保证端到端可训练与计算效率，采用向量化可微实现替代逐序列LOESS，使分解可批量并行且梯度可回传。</w:t>
      </w:r>
    </w:p>
    <w:p>
      <w:pPr>
        <w:pStyle w:val="Compact"/>
        <w:numPr>
          <w:numId w:val="1001"/>
          <w:ilvl w:val="0"/>
        </w:numPr>
      </w:pPr>
      <w:r>
        <w:rPr>
          <w:b/>
        </w:rPr>
        <w:t xml:space="preserve">周期检测阶段</w:t>
      </w:r>
      <w:r>
        <w:t xml:space="preserve">：设计FFT-DCT双路并行检测。FFT以复指数为基、隐含周期延拓假设，在非整数周期处产生频谱泄漏；DCT以实余弦为基、采用偶对称延拓，泄漏更小，能检出FFT淹没或偏移的周期。两路各取Top-K周期、各自折叠卷积后由门控自适应融合，其周期集合并集比任一单变换更完整。需说明的是，频域方法已有大量先期工作，本文的增量在于将FFT与DCT作为互补的</w:t>
      </w:r>
      <w:r>
        <w:rPr>
          <w:b/>
        </w:rPr>
        <w:t xml:space="preserve">周期检测</w:t>
      </w:r>
      <w:r>
        <w:t xml:space="preserve">通路并分析其差异，而非首次引入DCT。</w:t>
      </w:r>
    </w:p>
    <w:p>
      <w:pPr>
        <w:pStyle w:val="Compact"/>
        <w:numPr>
          <w:numId w:val="1001"/>
          <w:ilvl w:val="0"/>
        </w:numPr>
      </w:pPr>
      <w:r>
        <w:rPr>
          <w:b/>
        </w:rPr>
        <w:t xml:space="preserve">跨周期聚合阶段</w:t>
      </w:r>
      <w:r>
        <w:t xml:space="preserve">：将自相关注意力与TimesNet的二维卷积分支</w:t>
      </w:r>
      <w:r>
        <w:rPr>
          <w:b/>
        </w:rPr>
        <w:t xml:space="preserve">并行</w:t>
      </w:r>
      <w:r>
        <w:t xml:space="preserve">组合。二维卷积在折叠张量上做局部聚合，跨周期跨度约为±⌊K/2⌋个周期，长滞后只能逐层间接传递；自相关分支在原始时间轴上通过自相关谱选取Top-K延迟，可覆盖任意长度的滞后。卷积分支负责周期内的局部形状，自相关分支负责跨周期的长滞后关联。</w:t>
      </w:r>
    </w:p>
    <w:p>
      <w:pPr>
        <w:pStyle w:val="Heading2"/>
      </w:pPr>
      <w:bookmarkStart w:id="27" w:name="预备知识"/>
      <w:bookmarkEnd w:id="27"/>
      <w:r>
        <w:t xml:space="preserve">2 预备知识</w:t>
      </w:r>
    </w:p>
    <w:p>
      <w:pPr>
        <w:pStyle w:val="Heading3"/>
      </w:pPr>
      <w:bookmarkStart w:id="28" w:name="周期建模与二维折叠"/>
      <w:bookmarkEnd w:id="28"/>
      <w:r>
        <w:t xml:space="preserve">2.1 周期建模与二维折叠</w:t>
      </w:r>
    </w:p>
    <w:p>
      <w:pPr>
        <w:pStyle w:val="FirstParagraph"/>
      </w:pPr>
      <w:r>
        <w:t xml:space="preserve">给定长度为T的序列x∈ℝ</w:t>
      </w:r>
      <w:r>
        <w:rPr>
          <w:vertAlign w:val="superscript"/>
        </w:rPr>
        <w:t xml:space="preserve">T，TimesNet将周期为p的序列折叠为二维张量X∈ℝ</w:t>
      </w:r>
      <w:r>
        <w:t xml:space="preserve">(⌈T/p⌉×p)，其中每一行是一个完整周期，每一列是跨周期的同相位位置。二维卷积在该张量上做局部聚合，核长为K时跨周期跨度约为±⌊K/2⌋个周期。需要指出，该折叠表示</w:t>
      </w:r>
      <w:r>
        <w:rPr>
          <w:b/>
        </w:rPr>
        <w:t xml:space="preserve">本身已编码跨周期结构</w:t>
      </w:r>
      <w:r>
        <w:t xml:space="preserve">——列方向即跨周期，卷积核跨行即在做跨周期聚合；其局限在于聚合跨度受核大小限制、长滞后只能逐层间接传递，而非完全不具备跨周期建模能力。</w:t>
      </w:r>
    </w:p>
    <w:p>
      <w:pPr>
        <w:pStyle w:val="BodyText"/>
      </w:pPr>
      <w:r>
        <w:t xml:space="preserve">周期p由频谱峰值确定。对序列做FFT得到幅值谱后，取幅值最高的K个频率（剔除直流分量），其倒数即为检测到的周期：</w:t>
      </w:r>
    </w:p>
    <w:p>
      <w:pPr>
        <w:pStyle w:val="BodyText"/>
      </w:pPr>
      <m:oMathPara>
        <m:oMathParaPr>
          <m:jc m:val="center"/>
        </m:oMathParaPr>
        <m:oMath>
          <m:r>
            <m:t>p</m:t>
          </m:r>
          <m:r>
            <m:t>=</m:t>
          </m:r>
          <m:r>
            <m:t>T</m:t>
          </m:r>
          <m:r>
            <m:t>/</m:t>
          </m:r>
          <m:r>
            <m:rPr>
              <m:sty m:val="p"/>
            </m:rPr>
            <m:t>arg</m:t>
          </m:r>
          <m:sSub>
            <m:e>
              <m:r>
                <m:t>⊤</m:t>
              </m:r>
            </m:e>
            <m:sub>
              <m:r>
                <m:t>K</m:t>
              </m:r>
            </m:sub>
          </m:sSub>
          <m:r>
            <m:t>(</m:t>
          </m:r>
          <m:r>
            <m:rPr>
              <m:sty m:val="p"/>
            </m:rPr>
            <m:t>Amp</m:t>
          </m:r>
          <m:r>
            <m:t>[</m:t>
          </m:r>
          <m:r>
            <m:t>1</m:t>
          </m:r>
          <m:r>
            <m:t>:</m:t>
          </m:r>
          <m:r>
            <m:t>]</m:t>
          </m:r>
          <m:r>
            <m:t>)</m:t>
          </m:r>
        </m:oMath>
      </m:oMathPara>
    </w:p>
    <w:p>
      <w:pPr>
        <w:pStyle w:val="FirstParagraph"/>
      </w:pPr>
      <w:r>
        <w:t xml:space="preserve">该式的准确性直接决定折叠形状，因而是周期类模型的关键环节：周期估计偏差会导致同相位位置错位，卷积提取的"周期内模式"随之失真。</w:t>
      </w:r>
    </w:p>
    <w:p>
      <w:pPr>
        <w:pStyle w:val="BodyText"/>
      </w:pPr>
      <w:r>
        <w:t xml:space="preserve">值得注意的是，实际序列往往同时存在多个周期，因此TimesNet并不只取单一周期，而是取幅值最高的K个频率对应的K个周期，分别折叠、分别卷积，再以各频率幅值经softmax归一化后作为权重加权求和：</w:t>
      </w:r>
    </w:p>
    <w:p>
      <w:pPr>
        <w:pStyle w:val="BodyText"/>
      </w:pPr>
      <m:oMathPara>
        <m:oMathParaPr>
          <m:jc m:val="center"/>
        </m:oMathParaPr>
        <m:oMath>
          <m:r>
            <m:rPr>
              <m:sty m:val="p"/>
            </m:rPr>
            <m:t>out</m:t>
          </m:r>
          <m:r>
            <m:t>=</m:t>
          </m:r>
          <m:nary>
            <m:naryPr>
              <m:chr m:val="∑"/>
              <m:limLoc m:val="undOvr"/>
              <m:subHide m:val="0"/>
              <m:supHide m:val="0"/>
            </m:naryPr>
            <m:sub>
              <m:r>
                <m:t>i</m:t>
              </m:r>
              <m:r>
                <m:t>=</m:t>
              </m:r>
              <m:r>
                <m:t>1</m:t>
              </m:r>
            </m:sub>
            <m:sup>
              <m:r>
                <m:t>K</m:t>
              </m:r>
            </m:sup>
            <m:e>
              <m:sSub>
                <m:e>
                  <m:r>
                    <m:t>w</m:t>
                  </m:r>
                </m:e>
                <m:sub>
                  <m:r>
                    <m:t>i</m:t>
                  </m:r>
                </m:sub>
              </m:sSub>
            </m:e>
          </m:nary>
          <m:r>
            <m:t>⋅</m:t>
          </m:r>
          <m:r>
            <m:rPr>
              <m:sty m:val="p"/>
            </m:rPr>
            <m:t>Conv2D</m:t>
          </m:r>
          <m:r>
            <m:t>(</m:t>
          </m:r>
          <m:r>
            <m:rPr>
              <m:sty m:val="p"/>
            </m:rPr>
            <m:t>Fold</m:t>
          </m:r>
          <m:r>
            <m:t>(</m:t>
          </m:r>
          <m:r>
            <m:t>x</m:t>
          </m:r>
          <m:r>
            <m:t>,</m:t>
          </m:r>
          <m:sSub>
            <m:e>
              <m:r>
                <m:t>p</m:t>
              </m:r>
            </m:e>
            <m:sub>
              <m:r>
                <m:t>i</m:t>
              </m:r>
            </m:sub>
          </m:sSub>
          <m:r>
            <m:t>)</m:t>
          </m:r>
          <m:r>
            <m:t>)</m:t>
          </m:r>
          <m:r>
            <m:t>,</m:t>
          </m:r>
          <m:r>
            <m:t> </m:t>
          </m:r>
          <m:sSub>
            <m:e>
              <m:r>
                <m:t>w</m:t>
              </m:r>
            </m:e>
            <m:sub>
              <m:r>
                <m:t>i</m:t>
              </m:r>
            </m:sub>
          </m:sSub>
          <m:r>
            <m:t>=</m:t>
          </m:r>
          <m:f>
            <m:fPr>
              <m:type m:val="bar"/>
            </m:fPr>
            <m:num>
              <m:r>
                <m:rPr>
                  <m:sty m:val="p"/>
                </m:rPr>
                <m:t>Amp</m:t>
              </m:r>
              <m:r>
                <m:t>[</m:t>
              </m:r>
              <m:sSub>
                <m:e>
                  <m:r>
                    <m:t>f</m:t>
                  </m:r>
                </m:e>
                <m:sub>
                  <m:r>
                    <m:t>i</m:t>
                  </m:r>
                </m:sub>
              </m:sSub>
              <m:r>
                <m:t>]</m:t>
              </m:r>
            </m:num>
            <m:den>
              <m:nary>
                <m:naryPr>
                  <m:chr m:val="∑"/>
                  <m:limLoc m:val="undOvr"/>
                  <m:subHide m:val="0"/>
                  <m:supHide m:val="0"/>
                </m:naryPr>
                <m:sub>
                  <m:r>
                    <m:t>j</m:t>
                  </m:r>
                  <m:r>
                    <m:t>=</m:t>
                  </m:r>
                  <m:r>
                    <m:t>1</m:t>
                  </m:r>
                </m:sub>
                <m:sup>
                  <m:r>
                    <m:t>K</m:t>
                  </m:r>
                </m:sup>
                <m:e>
                  <m:r>
                    <m:rPr>
                      <m:sty m:val="p"/>
                    </m:rPr>
                    <m:t>Amp</m:t>
                  </m:r>
                </m:e>
              </m:nary>
              <m:r>
                <m:t>[</m:t>
              </m:r>
              <m:sSub>
                <m:e>
                  <m:r>
                    <m:t>f</m:t>
                  </m:r>
                </m:e>
                <m:sub>
                  <m:r>
                    <m:t>j</m:t>
                  </m:r>
                </m:sub>
              </m:sSub>
              <m:r>
                <m:t>]</m:t>
              </m:r>
            </m:den>
          </m:f>
        </m:oMath>
      </m:oMathPara>
    </w:p>
    <w:p>
      <w:pPr>
        <w:pStyle w:val="FirstParagraph"/>
      </w:pPr>
      <w:r>
        <w:t xml:space="preserve">这一机制意味着：若某个真实周期未被检测到（漏检），其对应的折叠与卷积结果便不会出现在输出中，模型无法自行补回；若检测到的周期偏离真实值（错位），该路折叠会破坏相位对齐，其加权贡献反而可能引入噪声。因此周期检测的召回率与准确率直接决定了多周期聚合的效果上限，这也是本文3.3节改进检测环节的出发点。</w:t>
      </w:r>
    </w:p>
    <w:p>
      <w:pPr>
        <w:pStyle w:val="Heading3"/>
      </w:pPr>
      <w:bookmarkStart w:id="29" w:name="stl序列分解"/>
      <w:bookmarkEnd w:id="29"/>
      <w:r>
        <w:t xml:space="preserve">2.2 STL序列分解</w:t>
      </w:r>
    </w:p>
    <w:p>
      <w:pPr>
        <w:pStyle w:val="FirstParagraph"/>
      </w:pPr>
      <w:r>
        <w:t xml:space="preserve">STL将序列分解为三个可加分量：</w:t>
      </w:r>
    </w:p>
    <w:p>
      <w:pPr>
        <w:pStyle w:val="BodyText"/>
      </w:pPr>
      <m:oMathPara>
        <m:oMathParaPr>
          <m:jc m:val="center"/>
        </m:oMathParaPr>
        <m:oMath>
          <m:sSub>
            <m:e>
              <m:r>
                <m:t>x</m:t>
              </m:r>
            </m:e>
            <m:sub>
              <m:r>
                <m:t>t</m:t>
              </m:r>
            </m:sub>
          </m:sSub>
          <m:r>
            <m:t>=</m:t>
          </m:r>
          <m:sSub>
            <m:e>
              <m:r>
                <m:rPr>
                  <m:sty m:val="p"/>
                </m:rPr>
                <m:t>Trend</m:t>
              </m:r>
            </m:e>
            <m:sub>
              <m:r>
                <m:t>t</m:t>
              </m:r>
            </m:sub>
          </m:sSub>
          <m:r>
            <m:t>+</m:t>
          </m:r>
          <m:sSub>
            <m:e>
              <m:r>
                <m:rPr>
                  <m:sty m:val="p"/>
                </m:rPr>
                <m:t>Seasonal</m:t>
              </m:r>
            </m:e>
            <m:sub>
              <m:r>
                <m:t>t</m:t>
              </m:r>
            </m:sub>
          </m:sSub>
          <m:r>
            <m:t>+</m:t>
          </m:r>
          <m:sSub>
            <m:e>
              <m:r>
                <m:rPr>
                  <m:sty m:val="p"/>
                </m:rPr>
                <m:t>Residual</m:t>
              </m:r>
            </m:e>
            <m:sub>
              <m:r>
                <m:t>t</m:t>
              </m:r>
            </m:sub>
          </m:sSub>
        </m:oMath>
      </m:oMathPara>
    </w:p>
    <w:p>
      <w:pPr>
        <w:pStyle w:val="FirstParagraph"/>
      </w:pPr>
      <w:r>
        <w:t xml:space="preserve">经典STL以局部加权回归（LOESS）估计趋势与季节项，其优势在于对异常值不敏感、允许季节强度随时间变化，且计算过程可解释。但其迭代求解需逐序列进行，无法批量并行，也不可微分，直接嵌入端到端训练会带来显著开销。本文采用其向量化可微近似：趋势项由中心移动平均估计（序列两端复制填充以消除边界偏差），季节项由去趋势序列在周期内的逐相位跨周期平均估计，残差为三者之差；并采用两遍估计（先去趋势求季节项，再对去季节序列重估趋势）以降低分量间的相关性，对应经典STL的内循环思想。</w:t>
      </w:r>
    </w:p>
    <w:p>
      <w:pPr>
        <w:pStyle w:val="BodyText"/>
      </w:pPr>
      <w:r>
        <w:t xml:space="preserve">分解周期p以</w:t>
      </w:r>
      <w:r>
        <w:rPr>
          <w:b/>
        </w:rPr>
        <w:t xml:space="preserve">步数</w:t>
      </w:r>
      <w:r>
        <w:t xml:space="preserve">为单位，需与采样间隔匹配，且必须满足</w:t>
      </w:r>
      <w:r>
        <w:t xml:space="preserve"> </w:t>
      </w:r>
      <w:r>
        <w:rPr>
          <w:b/>
        </w:rPr>
        <w:t xml:space="preserve">T≥2p</w:t>
      </w:r>
      <w:r>
        <w:t xml:space="preserve">：季节项依托跨周期平均，至少需要两个完整周期才有意义，否则季节项退化为零、分解模块失效。这一约束对高频采样的数据具有实际影响，将在4.1节结合实验设置具体说明。</w:t>
      </w:r>
    </w:p>
    <w:p>
      <w:pPr>
        <w:pStyle w:val="Heading3"/>
      </w:pPr>
      <w:bookmarkStart w:id="30" w:name="自相关注意力"/>
      <w:bookmarkEnd w:id="30"/>
      <w:r>
        <w:t xml:space="preserve">2.3 自相关注意力</w:t>
      </w:r>
    </w:p>
    <w:p>
      <w:pPr>
        <w:pStyle w:val="FirstParagraph"/>
      </w:pPr>
      <w:r>
        <w:t xml:space="preserve">自相关注意力通过计算序列与其滞后版本的相关性来建模周期依赖。给定Q=K=V=X，互相关谱为：</w:t>
      </w:r>
    </w:p>
    <w:p>
      <w:pPr>
        <w:pStyle w:val="BodyText"/>
      </w:pPr>
      <m:oMathPara>
        <m:oMathParaPr>
          <m:jc m:val="center"/>
        </m:oMathParaPr>
        <m:oMath>
          <m:r>
            <m:rPr>
              <m:sty m:val="p"/>
            </m:rPr>
            <m:t>corr</m:t>
          </m:r>
          <m:r>
            <m:t>[</m:t>
          </m:r>
          <m:r>
            <m:t>τ</m:t>
          </m:r>
          <m:r>
            <m:t>]</m:t>
          </m:r>
          <m:r>
            <m:t>=</m:t>
          </m:r>
          <m:f>
            <m:fPr>
              <m:type m:val="bar"/>
            </m:fPr>
            <m:num>
              <m:r>
                <m:t>1</m:t>
              </m:r>
            </m:num>
            <m:den>
              <m:r>
                <m:t>T</m:t>
              </m:r>
            </m:den>
          </m:f>
          <m:nary>
            <m:naryPr>
              <m:chr m:val="∑"/>
              <m:limLoc m:val="undOvr"/>
              <m:subHide m:val="0"/>
              <m:supHide m:val="0"/>
            </m:naryPr>
            <m:sub>
              <m:r>
                <m:t>t</m:t>
              </m:r>
              <m:r>
                <m:t>=</m:t>
              </m:r>
              <m:r>
                <m:t>1</m:t>
              </m:r>
            </m:sub>
            <m:sup>
              <m:r>
                <m:t>T</m:t>
              </m:r>
            </m:sup>
            <m:e>
              <m:r>
                <m:t>Q</m:t>
              </m:r>
            </m:e>
          </m:nary>
          <m:r>
            <m:t>[</m:t>
          </m:r>
          <m:r>
            <m:t>t</m:t>
          </m:r>
          <m:r>
            <m:t>]</m:t>
          </m:r>
          <m:r>
            <m:t>⋅</m:t>
          </m:r>
          <m:r>
            <m:t>K</m:t>
          </m:r>
          <m:r>
            <m:t>[</m:t>
          </m:r>
          <m:r>
            <m:t>t</m:t>
          </m:r>
          <m:r>
            <m:t>−</m:t>
          </m:r>
          <m:r>
            <m:t>τ</m:t>
          </m:r>
          <m:r>
            <m:t>]</m:t>
          </m:r>
        </m:oMath>
      </m:oMathPara>
    </w:p>
    <w:p>
      <w:pPr>
        <w:pStyle w:val="FirstParagraph"/>
      </w:pPr>
      <w:r>
        <w:t xml:space="preserve">该式在实现中用FFT加速，即corr = IFFT(FFT(Q)·conj(FFT(K)))，复杂度为O(T log T)。随后选取相关强度最高的Top-K个延迟τ_k，按权重w_k=softmax(corr[τ_k])对历史信息加权聚合：</w:t>
      </w:r>
    </w:p>
    <w:p>
      <w:pPr>
        <w:pStyle w:val="BodyText"/>
      </w:pPr>
      <m:oMathPara>
        <m:oMathParaPr>
          <m:jc m:val="center"/>
        </m:oMathParaPr>
        <m:oMath>
          <m:r>
            <m:rPr>
              <m:sty m:val="p"/>
            </m:rPr>
            <m:t>attn</m:t>
          </m:r>
          <m:r>
            <m:t>[</m:t>
          </m:r>
          <m:r>
            <m:t>t</m:t>
          </m:r>
          <m:r>
            <m:t>]</m:t>
          </m:r>
          <m:r>
            <m:t>=</m:t>
          </m:r>
          <m:nary>
            <m:naryPr>
              <m:chr m:val="∑"/>
              <m:limLoc m:val="undOvr"/>
              <m:subHide m:val="0"/>
              <m:supHide m:val="0"/>
            </m:naryPr>
            <m:sub>
              <m:r>
                <m:t>k</m:t>
              </m:r>
              <m:r>
                <m:t>=</m:t>
              </m:r>
              <m:r>
                <m:t>1</m:t>
              </m:r>
            </m:sub>
            <m:sup>
              <m:r>
                <m:t>K</m:t>
              </m:r>
            </m:sup>
            <m:e>
              <m:sSub>
                <m:e>
                  <m:r>
                    <m:t>w</m:t>
                  </m:r>
                </m:e>
                <m:sub>
                  <m:r>
                    <m:t>k</m:t>
                  </m:r>
                </m:sub>
              </m:sSub>
            </m:e>
          </m:nary>
          <m:r>
            <m:t>⋅</m:t>
          </m:r>
          <m:r>
            <m:t>V</m:t>
          </m:r>
          <m:r>
            <m:t>[</m:t>
          </m:r>
          <m:r>
            <m:t>t</m:t>
          </m:r>
          <m:r>
            <m:t>−</m:t>
          </m:r>
          <m:sSub>
            <m:e>
              <m:r>
                <m:t>τ</m:t>
              </m:r>
            </m:e>
            <m:sub>
              <m:r>
                <m:t>k</m:t>
              </m:r>
            </m:sub>
          </m:sSub>
          <m:r>
            <m:t>]</m:t>
          </m:r>
        </m:oMath>
      </m:oMathPara>
    </w:p>
    <w:p>
      <w:pPr>
        <w:pStyle w:val="FirstParagraph"/>
      </w:pPr>
      <w:r>
        <w:t xml:space="preserve">与标准注意力不同，该机制直接在Value上搬运历史信息，不需要构造Query-Key相似度矩阵，因而天然适配"同周期同相位"的时间依赖。其代价是延迟的选取依赖自相关谱的质量，而自相关谱本身受序列非平稳性的影响。</w:t>
      </w:r>
    </w:p>
    <w:p>
      <w:pPr>
        <w:pStyle w:val="Heading2"/>
      </w:pPr>
      <w:bookmarkStart w:id="31" w:name="方法"/>
      <w:bookmarkEnd w:id="31"/>
      <w:r>
        <w:t xml:space="preserve">3 方法</w:t>
      </w:r>
    </w:p>
    <w:p>
      <w:pPr>
        <w:pStyle w:val="Heading3"/>
      </w:pPr>
      <w:bookmarkStart w:id="32" w:name="整体框架"/>
      <w:bookmarkEnd w:id="32"/>
      <w:r>
        <w:t xml:space="preserve">3.1 整体框架</w:t>
      </w:r>
    </w:p>
    <w:p>
      <w:pPr>
        <w:pStyle w:val="FirstParagraph"/>
      </w:pPr>
      <w:r>
        <w:t xml:space="preserve">模型遵循编码器-预测器范式，数据流为"分解→检测→聚合"：</w:t>
      </w:r>
    </w:p>
    <w:p>
      <w:pPr>
        <w:pStyle w:val="SourceCode"/>
      </w:pPr>
      <w:r>
        <w:rPr>
          <w:rStyle w:val="VerbatimChar"/>
        </w:rPr>
        <w:t xml:space="preserve">输入 x_{1:T} → STL分解(趋势/季节/残差) → 三分量独立嵌入并相加</w:t>
      </w:r>
      <w:r>
        <w:br w:type="textWrapping"/>
      </w:r>
      <w:r>
        <w:rPr>
          <w:rStyle w:val="VerbatimChar"/>
        </w:rPr>
        <w:t xml:space="preserve">    → DualDomainTimesBlock × N (N=2) → 预测头 → ŷ_{T+1:T+H}</w:t>
      </w:r>
    </w:p>
    <w:p>
      <w:pPr>
        <w:pStyle w:val="FirstParagraph"/>
      </w:pPr>
      <w:r>
        <w:t xml:space="preserve">主干由N个DualDomainTimesBlock堆叠而成（N默认为2）。每个块内部包含两个</w:t>
      </w:r>
      <w:r>
        <w:rPr>
          <w:b/>
        </w:rPr>
        <w:t xml:space="preserve">并行分支</w:t>
      </w:r>
      <w:r>
        <w:t xml:space="preserve">：双域周期卷积分支与自相关注意力分支。两分支输出经自适应门控加权融合后与输入残差相加，再经LayerNorm。需要明确，两个分支在每一层都并行存在，而非"前层卷积、后层注意力"的串行堆叠；门控权重由训练自动学习，使模型能在每个位置上自适应地决定更依赖哪条通路。</w:t>
      </w:r>
    </w:p>
    <w:p>
      <w:pPr>
        <w:pStyle w:val="BodyText"/>
      </w:pPr>
      <w:r>
        <w:t xml:space="preserve">三个阶段的职责划分是本文设计的核心。分解阶段让不同性质的成分获得各自的表示参数，属于</w:t>
      </w:r>
      <w:r>
        <w:rPr>
          <w:b/>
        </w:rPr>
        <w:t xml:space="preserve">表示层面</w:t>
      </w:r>
      <w:r>
        <w:t xml:space="preserve">的处理；检测阶段给出尽可能完整的周期集合，属于</w:t>
      </w:r>
      <w:r>
        <w:rPr>
          <w:b/>
        </w:rPr>
        <w:t xml:space="preserve">结构层面</w:t>
      </w:r>
      <w:r>
        <w:t xml:space="preserve">的处理；聚合阶段兼顾周期内的局部形状与跨周期的长滞后，属于</w:t>
      </w:r>
      <w:r>
        <w:rPr>
          <w:b/>
        </w:rPr>
        <w:t xml:space="preserve">信息传递层面</w:t>
      </w:r>
      <w:r>
        <w:t xml:space="preserve">的处理。三者分别回答"用什么表示""按什么结构折叠""如何在时间上传递信息"三个问题，因此不会互相替代：检测得再准也无法弥补表示上的相互干扰，表示得再好也无法补回未被检测到的周期。这种按阶段划分的设计也便于通过独立开关逐一验证各模块的贡献。</w:t>
      </w:r>
    </w:p>
    <w:p>
      <w:pPr>
        <w:pStyle w:val="Heading3"/>
      </w:pPr>
      <w:bookmarkStart w:id="33" w:name="stl分解与三分量嵌入"/>
      <w:bookmarkEnd w:id="33"/>
      <w:r>
        <w:t xml:space="preserve">3.2 STL分解与三分量嵌入</w:t>
      </w:r>
    </w:p>
    <w:p>
      <w:pPr>
        <w:pStyle w:val="FirstParagraph"/>
      </w:pPr>
      <w:r>
        <w:t xml:space="preserve">给定批量输入x∈ℝ^(B×T×C)，对批量内所有(样本,变量)对并行执行分解：</w:t>
      </w:r>
    </w:p>
    <w:p>
      <w:pPr>
        <w:pStyle w:val="BodyText"/>
      </w:pPr>
      <m:oMathPara>
        <m:oMathParaPr>
          <m:jc m:val="center"/>
        </m:oMathParaPr>
        <m:oMath>
          <m:r>
            <m:t>[</m:t>
          </m:r>
          <m:r>
            <m:rPr>
              <m:sty m:val="p"/>
            </m:rPr>
            <m:t>trend</m:t>
          </m:r>
          <m:r>
            <m:t>,</m:t>
          </m:r>
          <m:r>
            <m:rPr>
              <m:sty m:val="p"/>
            </m:rPr>
            <m:t>seasonal</m:t>
          </m:r>
          <m:r>
            <m:t>,</m:t>
          </m:r>
          <m:r>
            <m:rPr>
              <m:sty m:val="p"/>
            </m:rPr>
            <m:t>residual</m:t>
          </m:r>
          <m:r>
            <m:t>]</m:t>
          </m:r>
          <m:r>
            <m:t>=</m:t>
          </m:r>
          <m:r>
            <m:rPr>
              <m:sty m:val="p"/>
            </m:rPr>
            <m:t>STL</m:t>
          </m:r>
          <m:r>
            <m:t>(</m:t>
          </m:r>
          <m:r>
            <m:t>x</m:t>
          </m:r>
          <m:r>
            <m:t>,</m:t>
          </m:r>
          <m:r>
            <m:t> </m:t>
          </m:r>
          <m:r>
            <m:rPr>
              <m:sty m:val="p"/>
            </m:rPr>
            <m:t>period</m:t>
          </m:r>
          <m:r>
            <m:t>=</m:t>
          </m:r>
          <m:r>
            <m:t>p</m:t>
          </m:r>
          <m:r>
            <m:t>)</m:t>
          </m:r>
        </m:oMath>
      </m:oMathPara>
    </w:p>
    <w:p>
      <w:pPr>
        <w:pStyle w:val="FirstParagraph"/>
      </w:pPr>
      <w:r>
        <w:t xml:space="preserve">三个分量各经</w:t>
      </w:r>
      <w:r>
        <w:rPr>
          <w:b/>
        </w:rPr>
        <w:t xml:space="preserve">独立参数</w:t>
      </w:r>
      <w:r>
        <w:t xml:space="preserve">的嵌入网络映射到同一隐空间后相加：</w:t>
      </w:r>
    </w:p>
    <w:p>
      <w:pPr>
        <w:pStyle w:val="BodyText"/>
      </w:pPr>
      <m:oMathPara>
        <m:oMathParaPr>
          <m:jc m:val="center"/>
        </m:oMathParaPr>
        <m:oMath>
          <m:r>
            <m:t>E</m:t>
          </m:r>
          <m:r>
            <m:t>=</m:t>
          </m:r>
          <m:sSub>
            <m:e>
              <m:r>
                <m:t>E</m:t>
              </m:r>
            </m:e>
            <m:sub>
              <m:r>
                <m:rPr>
                  <m:sty m:val="p"/>
                </m:rPr>
                <m:t>trend</m:t>
              </m:r>
            </m:sub>
          </m:sSub>
          <m:r>
            <m:t>+</m:t>
          </m:r>
          <m:sSub>
            <m:e>
              <m:r>
                <m:t>E</m:t>
              </m:r>
            </m:e>
            <m:sub>
              <m:r>
                <m:rPr>
                  <m:sty m:val="p"/>
                </m:rPr>
                <m:t>seasonal</m:t>
              </m:r>
            </m:sub>
          </m:sSub>
          <m:r>
            <m:t>+</m:t>
          </m:r>
          <m:sSub>
            <m:e>
              <m:r>
                <m:t>E</m:t>
              </m:r>
            </m:e>
            <m:sub>
              <m:r>
                <m:rPr>
                  <m:sty m:val="p"/>
                </m:rPr>
                <m:t>residual</m:t>
              </m:r>
            </m:sub>
          </m:sSub>
        </m:oMath>
      </m:oMathPara>
    </w:p>
    <w:p>
      <w:pPr>
        <w:pStyle w:val="FirstParagraph"/>
      </w:pPr>
      <w:r>
        <w:t xml:space="preserve">独立参数使模型能针对不同分量的特性差异化建模：趋势分量平滑缓慢、适合提取长期变化，季节分量含精确周期模式、适合二维折叠，残差分量以高频波动为主、需要更强的正则化。需要说明，三个分量在嵌入后是直接相加的，并未使用可学习权重，因此"差异化处理"完全来自各嵌入网络的独立参数。</w:t>
      </w:r>
    </w:p>
    <w:p>
      <w:pPr>
        <w:pStyle w:val="BodyText"/>
      </w:pPr>
      <w:r>
        <w:t xml:space="preserve">在效率方面，若直接调用逐序列LOESS实现，每前向需对B×C个序列各做一次拟合，在CPU上会产生数十秒的单步开销而成为训练瓶颈。本文的向量化实现将该开销降至毫秒级（实测B=32、T=96、C=10时约0.03秒），且全程可微、可在GPU上批量执行。</w:t>
      </w:r>
    </w:p>
    <w:p>
      <w:pPr>
        <w:pStyle w:val="Heading3"/>
      </w:pPr>
      <w:bookmarkStart w:id="34" w:name="fft-dct双域周期检测"/>
      <w:bookmarkEnd w:id="34"/>
      <w:r>
        <w:t xml:space="preserve">3.3 FFT-DCT双域周期检测</w:t>
      </w:r>
    </w:p>
    <w:p>
      <w:pPr>
        <w:pStyle w:val="FirstParagraph"/>
      </w:pPr>
      <w:r>
        <w:rPr>
          <w:b/>
        </w:rPr>
        <w:t xml:space="preserve">FFT的局限</w:t>
      </w:r>
      <w:r>
        <w:t xml:space="preserve">。长度T的序列，其FFT定义为：</w:t>
      </w:r>
    </w:p>
    <w:p>
      <w:pPr>
        <w:pStyle w:val="BodyText"/>
      </w:pPr>
      <m:oMathPara>
        <m:oMathParaPr>
          <m:jc m:val="center"/>
        </m:oMathParaPr>
        <m:oMath>
          <m:groupChr>
            <m:groupChrPr>
              <m:chr m:val="^"/>
              <m:pos m:val="top"/>
              <m:vertJc m:val="bot"/>
            </m:groupChrPr>
            <m:e>
              <m:r>
                <m:t>x</m:t>
              </m:r>
            </m:e>
          </m:groupChr>
          <m:r>
            <m:t>[</m:t>
          </m:r>
          <m:r>
            <m:t>k</m:t>
          </m:r>
          <m:r>
            <m:t>]</m:t>
          </m:r>
          <m:r>
            <m:t>=</m:t>
          </m:r>
          <m:nary>
            <m:naryPr>
              <m:chr m:val="∑"/>
              <m:limLoc m:val="undOvr"/>
              <m:subHide m:val="0"/>
              <m:supHide m:val="0"/>
            </m:naryPr>
            <m:sub>
              <m:r>
                <m:t>t</m:t>
              </m:r>
              <m:r>
                <m:t>=</m:t>
              </m:r>
              <m:r>
                <m:t>0</m:t>
              </m:r>
            </m:sub>
            <m:sup>
              <m:r>
                <m:t>T</m:t>
              </m:r>
              <m:r>
                <m:t>−</m:t>
              </m:r>
              <m:r>
                <m:t>1</m:t>
              </m:r>
            </m:sup>
            <m:e>
              <m:r>
                <m:t>x</m:t>
              </m:r>
            </m:e>
          </m:nary>
          <m:r>
            <m:t>[</m:t>
          </m:r>
          <m:r>
            <m:t>t</m:t>
          </m:r>
          <m:r>
            <m:t>]</m:t>
          </m:r>
          <m:r>
            <m:t>⋅</m:t>
          </m:r>
          <m:sSup>
            <m:e>
              <m:r>
                <m:t>e</m:t>
              </m:r>
            </m:e>
            <m:sup>
              <m:r>
                <m:t>−</m:t>
              </m:r>
              <m:r>
                <m:t>2</m:t>
              </m:r>
              <m:r>
                <m:t>π</m:t>
              </m:r>
              <m:r>
                <m:t>i</m:t>
              </m:r>
              <m:r>
                <m:t>k</m:t>
              </m:r>
              <m:r>
                <m:t>t</m:t>
              </m:r>
              <m:r>
                <m:t>/</m:t>
              </m:r>
              <m:r>
                <m:t>T</m:t>
              </m:r>
            </m:sup>
          </m:sSup>
        </m:oMath>
      </m:oMathPara>
    </w:p>
    <w:p>
      <w:pPr>
        <w:pStyle w:val="FirstParagraph"/>
      </w:pPr>
      <w:r>
        <w:t xml:space="preserve">FFT隐含"信号是周期延拓"的假设：当真实周期不能整除T（非整数周期）或信号首尾不连续时，能量会从真实频率向相邻频点扩散，即</w:t>
      </w:r>
      <w:r>
        <w:rPr>
          <w:b/>
        </w:rPr>
        <w:t xml:space="preserve">频谱泄漏</w:t>
      </w:r>
      <w:r>
        <w:t xml:space="preserve">。泄漏会使非主导周期被淹没，或使谱峰位置发生偏移，从而得到偏离真实的周期估计。光伏序列的主导周期常不整除窗口长度（如年周期、非整日的多日周期），正是泄漏最容易发生的场景。</w:t>
      </w:r>
    </w:p>
    <w:p>
      <w:pPr>
        <w:pStyle w:val="BodyText"/>
      </w:pPr>
      <w:r>
        <w:rPr>
          <w:b/>
        </w:rPr>
        <w:t xml:space="preserve">DCT的性质</w:t>
      </w:r>
      <w:r>
        <w:t xml:space="preserve">。DCT-II以实余弦函数为基：</w:t>
      </w:r>
    </w:p>
    <w:p>
      <w:pPr>
        <w:pStyle w:val="BodyText"/>
      </w:pPr>
      <m:oMathPara>
        <m:oMathParaPr>
          <m:jc m:val="center"/>
        </m:oMathParaPr>
        <m:oMath>
          <m:groupChr>
            <m:groupChrPr>
              <m:chr m:val="^"/>
              <m:pos m:val="top"/>
              <m:vertJc m:val="bot"/>
            </m:groupChrPr>
            <m:e>
              <m:r>
                <m:t>x</m:t>
              </m:r>
            </m:e>
          </m:groupChr>
          <m:r>
            <m:t>[</m:t>
          </m:r>
          <m:r>
            <m:t>k</m:t>
          </m:r>
          <m:r>
            <m:t>]</m:t>
          </m:r>
          <m:r>
            <m:t>=</m:t>
          </m:r>
          <m:nary>
            <m:naryPr>
              <m:chr m:val="∑"/>
              <m:limLoc m:val="undOvr"/>
              <m:subHide m:val="0"/>
              <m:supHide m:val="0"/>
            </m:naryPr>
            <m:sub>
              <m:r>
                <m:t>t</m:t>
              </m:r>
              <m:r>
                <m:t>=</m:t>
              </m:r>
              <m:r>
                <m:t>0</m:t>
              </m:r>
            </m:sub>
            <m:sup>
              <m:r>
                <m:t>T</m:t>
              </m:r>
              <m:r>
                <m:t>−</m:t>
              </m:r>
              <m:r>
                <m:t>1</m:t>
              </m:r>
            </m:sup>
            <m:e>
              <m:r>
                <m:t>x</m:t>
              </m:r>
            </m:e>
          </m:nary>
          <m:r>
            <m:t>[</m:t>
          </m:r>
          <m:r>
            <m:t>t</m:t>
          </m:r>
          <m:r>
            <m:t>]</m:t>
          </m:r>
          <m:r>
            <m:t>⋅</m:t>
          </m:r>
          <m:r>
            <m:rPr>
              <m:sty m:val="p"/>
            </m:rPr>
            <m:t>cos</m:t>
          </m:r>
          <m:d>
            <m:dPr>
              <m:begChr m:val="("/>
              <m:endChr m:val=")"/>
              <m:grow/>
            </m:dPr>
            <m:e>
              <m:f>
                <m:fPr>
                  <m:type m:val="bar"/>
                </m:fPr>
                <m:num>
                  <m:r>
                    <m:t>π</m:t>
                  </m:r>
                  <m:r>
                    <m:t>k</m:t>
                  </m:r>
                  <m:r>
                    <m:t>(</m:t>
                  </m:r>
                  <m:r>
                    <m:t>t</m:t>
                  </m:r>
                  <m:r>
                    <m:t>+</m:t>
                  </m:r>
                  <m:r>
                    <m:t>0.5</m:t>
                  </m:r>
                  <m:r>
                    <m:t>)</m:t>
                  </m:r>
                </m:num>
                <m:den>
                  <m:r>
                    <m:t>T</m:t>
                  </m:r>
                </m:den>
              </m:f>
            </m:e>
          </m:d>
        </m:oMath>
      </m:oMathPara>
    </w:p>
    <w:p>
      <w:pPr>
        <w:pStyle w:val="FirstParagraph"/>
      </w:pPr>
      <w:r>
        <w:t xml:space="preserve">它等价于对信号做</w:t>
      </w:r>
      <w:r>
        <w:rPr>
          <w:b/>
        </w:rPr>
        <w:t xml:space="preserve">偶对称延拓</w:t>
      </w:r>
      <w:r>
        <w:t xml:space="preserve">（在边界处镜像），因此不存在FFT那样首尾强行拼接引入的不连续，在含非整数周期时频谱更集中、泄漏更小，能够检出FFT因泄漏而淹没或偏移的部分周期。需要明确：</w:t>
      </w:r>
      <w:r>
        <w:rPr>
          <w:b/>
        </w:rPr>
        <w:t xml:space="preserve">DCT在本文中用于周期检测，不承担趋势分离的职责</w:t>
      </w:r>
      <w:r>
        <w:t xml:space="preserve">——趋势由3.2节的分解模块显式提取，两者作用阶段不同、不构成功能重叠。</w:t>
      </w:r>
    </w:p>
    <w:p>
      <w:pPr>
        <w:pStyle w:val="BodyText"/>
      </w:pPr>
      <w:r>
        <w:rPr>
          <w:b/>
        </w:rPr>
        <w:t xml:space="preserve">为何两路都使用幅值谱</w:t>
      </w:r>
      <w:r>
        <w:t xml:space="preserve">。两路检测均在幅值谱上取Top-K峰位，而非在DCT系数域直接建模可学习变换。这样做是为了让两条通路在流程上完全对称——都以"频谱峰值→周期→二维折叠"的方式工作，从而把差异严格限制在</w:t>
      </w:r>
      <w:r>
        <w:rPr>
          <w:b/>
        </w:rPr>
        <w:t xml:space="preserve">基底与延拓方式</w:t>
      </w:r>
      <w:r>
        <w:t xml:space="preserve">上，使双域互补的效果可归因于变换本身，而不会与后续处理的其他差异混淆。这也是本文不采用"在频域直接做可学习滤波"这类方案的原因：后者的增益来自可学习的频域算子，与本命题要检验的泄漏差异是两回事，混在一起会使结论无法归因。</w:t>
      </w:r>
    </w:p>
    <w:p>
      <w:pPr>
        <w:pStyle w:val="BodyText"/>
      </w:pPr>
      <w:r>
        <w:rPr>
          <w:b/>
        </w:rPr>
        <w:t xml:space="preserve">命题1（周期检测互补性）</w:t>
      </w:r>
      <w:r>
        <w:t xml:space="preserve">：设 x(t)=Trend(t)+Σ_k A_k sin(ω_k t)+ε(t)，其中Trend为低阶多项式趋势项，Σ_k A_k sin(ω_k t)为K个周期分量，ε为白噪声。则：（1）当周期不能整除窗口长度时，FFT频谱发生泄漏，其Top-K峰位与真实周期集合之间存在系统性偏差；（2）DCT因采用偶对称延拓，在同一情形下泄漏更小，其Top-K峰位偏差小于FFT；（3）因此两者检测到的周期集合不完全重合，其</w:t>
      </w:r>
      <w:r>
        <w:rPr>
          <w:b/>
        </w:rPr>
        <w:t xml:space="preserve">并集</w:t>
      </w:r>
      <w:r>
        <w:t xml:space="preserve">比任一单变换更接近真实周期集合。第（3）点正是双路架构所依赖的性质：两路各用各的周期集合、各自折叠卷积，由门控融合决定每个位置更采信哪一路。</w:t>
      </w:r>
    </w:p>
    <w:p>
      <w:pPr>
        <w:pStyle w:val="BodyText"/>
      </w:pPr>
      <w:r>
        <w:rPr>
          <w:b/>
        </w:rPr>
        <w:t xml:space="preserve">检测与融合流程</w:t>
      </w:r>
      <w:r>
        <w:t xml:space="preserve">。对输入x∈ℝ^(B×T×C)分别计算两路频谱并取Top-K峰位，得到各自的周期集合：</w:t>
      </w:r>
    </w:p>
    <w:p>
      <w:pPr>
        <w:pStyle w:val="BodyText"/>
      </w:pPr>
      <m:oMathPara>
        <m:oMathParaPr>
          <m:jc m:val="center"/>
        </m:oMathParaPr>
        <m:oMath>
          <m:r>
            <m:rPr>
              <m:sty m:val="p"/>
            </m:rPr>
            <m:t>FFT_periods</m:t>
          </m:r>
          <m:r>
            <m:t>=</m:t>
          </m:r>
          <m:r>
            <m:t>T</m:t>
          </m:r>
          <m:r>
            <m:t>/</m:t>
          </m:r>
          <m:r>
            <m:rPr>
              <m:sty m:val="p"/>
            </m:rPr>
            <m:t>arg</m:t>
          </m:r>
          <m:sSub>
            <m:e>
              <m:r>
                <m:t>⊤</m:t>
              </m:r>
            </m:e>
            <m:sub>
              <m:r>
                <m:t>K</m:t>
              </m:r>
            </m:sub>
          </m:sSub>
          <m:r>
            <m:t>(</m:t>
          </m:r>
          <m:r>
            <m:rPr>
              <m:sty m:val="p"/>
            </m:rPr>
            <m:t>FFT_amp</m:t>
          </m:r>
          <m:r>
            <m:t>[</m:t>
          </m:r>
          <m:r>
            <m:t>1</m:t>
          </m:r>
          <m:r>
            <m:t>:</m:t>
          </m:r>
          <m:r>
            <m:t>]</m:t>
          </m:r>
          <m:r>
            <m:t>)</m:t>
          </m:r>
          <m:r>
            <m:t>,</m:t>
          </m:r>
          <m:r>
            <m:t> </m:t>
          </m:r>
          <m:r>
            <m:rPr>
              <m:sty m:val="p"/>
            </m:rPr>
            <m:t>DCT_periods</m:t>
          </m:r>
          <m:r>
            <m:t>=</m:t>
          </m:r>
          <m:r>
            <m:t>T</m:t>
          </m:r>
          <m:r>
            <m:t>/</m:t>
          </m:r>
          <m:r>
            <m:rPr>
              <m:sty m:val="p"/>
            </m:rPr>
            <m:t>arg</m:t>
          </m:r>
          <m:sSub>
            <m:e>
              <m:r>
                <m:t>⊤</m:t>
              </m:r>
            </m:e>
            <m:sub>
              <m:r>
                <m:t>K</m:t>
              </m:r>
            </m:sub>
          </m:sSub>
          <m:r>
            <m:t>(</m:t>
          </m:r>
          <m:r>
            <m:rPr>
              <m:sty m:val="p"/>
            </m:rPr>
            <m:t>DCT_amp</m:t>
          </m:r>
          <m:r>
            <m:t>[</m:t>
          </m:r>
          <m:r>
            <m:t>1</m:t>
          </m:r>
          <m:r>
            <m:t>:</m:t>
          </m:r>
          <m:r>
            <m:t>]</m:t>
          </m:r>
          <m:r>
            <m:t>)</m:t>
          </m:r>
        </m:oMath>
      </m:oMathPara>
    </w:p>
    <w:p>
      <w:pPr>
        <w:pStyle w:val="FirstParagraph"/>
      </w:pPr>
      <w:r>
        <w:t xml:space="preserve">每个周期的权重由其对应频域幅值归一化得到。随后对每个检测到的周期p，将序列沿时间维折叠为⌈L/p⌉×p的二维张量（L为对齐后的时间长度，不足一个周期时末尾补零至p的整数倍），经Inception块提取特征。Inception块包含6个并行二维卷积分支（核大小为1、3、5、7、9、11），以捕获不同尺度的周期内模式，比单一卷积核更灵活。FFT路径与DCT路径结构相同，但</w:t>
      </w:r>
      <w:r>
        <w:rPr>
          <w:b/>
        </w:rPr>
        <w:t xml:space="preserve">使用各自检测到的周期集合，且参数不共享</w:t>
      </w:r>
      <w:r>
        <w:t xml:space="preserve">。两路输出由两层MLP生成的门控加权融合：</w:t>
      </w:r>
    </w:p>
    <w:p>
      <w:pPr>
        <w:pStyle w:val="BodyText"/>
      </w:pPr>
      <m:oMathPara>
        <m:oMathParaPr>
          <m:jc m:val="center"/>
        </m:oMathParaPr>
        <m:oMath>
          <m:r>
            <m:rPr>
              <m:sty m:val="b"/>
            </m:rPr>
            <m:t>g</m:t>
          </m:r>
          <m:r>
            <m:t>=</m:t>
          </m:r>
          <m:r>
            <m:rPr>
              <m:sty m:val="p"/>
            </m:rPr>
            <m:t>softmax</m:t>
          </m:r>
          <m:r>
            <m:t>(</m:t>
          </m:r>
          <m:sSub>
            <m:e>
              <m:r>
                <m:rPr>
                  <m:sty m:val="b"/>
                </m:rPr>
                <m:t>W</m:t>
              </m:r>
            </m:e>
            <m:sub>
              <m:r>
                <m:t>2</m:t>
              </m:r>
            </m:sub>
          </m:sSub>
          <m:r>
            <m:rPr>
              <m:sty m:val="p"/>
            </m:rPr>
            <m:t>tanh</m:t>
          </m:r>
          <m:r>
            <m:t>(</m:t>
          </m:r>
          <m:sSub>
            <m:e>
              <m:r>
                <m:rPr>
                  <m:sty m:val="b"/>
                </m:rPr>
                <m:t>W</m:t>
              </m:r>
            </m:e>
            <m:sub>
              <m:r>
                <m:t>1</m:t>
              </m:r>
            </m:sub>
          </m:sSub>
          <m:r>
            <m:t>[</m:t>
          </m:r>
          <m:r>
            <m:rPr>
              <m:sty m:val="p"/>
            </m:rPr>
            <m:t>FFT_out</m:t>
          </m:r>
          <m:r>
            <m:t>;</m:t>
          </m:r>
          <m:r>
            <m:rPr>
              <m:sty m:val="p"/>
            </m:rPr>
            <m:t>DCT_out</m:t>
          </m:r>
          <m:r>
            <m:t>]</m:t>
          </m:r>
          <m:r>
            <m:t>+</m:t>
          </m:r>
          <m:sSub>
            <m:e>
              <m:r>
                <m:rPr>
                  <m:sty m:val="b"/>
                </m:rPr>
                <m:t>b</m:t>
              </m:r>
            </m:e>
            <m:sub>
              <m:r>
                <m:t>1</m:t>
              </m:r>
            </m:sub>
          </m:sSub>
          <m:r>
            <m:t>)</m:t>
          </m:r>
          <m:r>
            <m:t>+</m:t>
          </m:r>
          <m:sSub>
            <m:e>
              <m:r>
                <m:rPr>
                  <m:sty m:val="b"/>
                </m:rPr>
                <m:t>b</m:t>
              </m:r>
            </m:e>
            <m:sub>
              <m:r>
                <m:t>2</m:t>
              </m:r>
            </m:sub>
          </m:sSub>
          <m:r>
            <m:t>)</m:t>
          </m:r>
        </m:oMath>
      </m:oMathPara>
    </w:p>
    <w:p>
      <w:pPr>
        <w:pStyle w:val="FirstParagraph"/>
      </w:pPr>
      <m:oMathPara>
        <m:oMathParaPr>
          <m:jc m:val="center"/>
        </m:oMathParaPr>
        <m:oMath>
          <m:r>
            <m:rPr>
              <m:sty m:val="p"/>
            </m:rPr>
            <m:t>output</m:t>
          </m:r>
          <m:r>
            <m:t>=</m:t>
          </m:r>
          <m:r>
            <m:rPr>
              <m:sty m:val="b"/>
            </m:rPr>
            <m:t>g</m:t>
          </m:r>
          <m:r>
            <m:t>[</m:t>
          </m:r>
          <m:r>
            <m:t>0</m:t>
          </m:r>
          <m:r>
            <m:t>]</m:t>
          </m:r>
          <m:r>
            <m:t>⋅</m:t>
          </m:r>
          <m:r>
            <m:rPr>
              <m:sty m:val="p"/>
            </m:rPr>
            <m:t>FFT_out</m:t>
          </m:r>
          <m:r>
            <m:t>+</m:t>
          </m:r>
          <m:r>
            <m:rPr>
              <m:sty m:val="b"/>
            </m:rPr>
            <m:t>g</m:t>
          </m:r>
          <m:r>
            <m:t>[</m:t>
          </m:r>
          <m:r>
            <m:t>1</m:t>
          </m:r>
          <m:r>
            <m:t>]</m:t>
          </m:r>
          <m:r>
            <m:t>⋅</m:t>
          </m:r>
          <m:r>
            <m:rPr>
              <m:sty m:val="p"/>
            </m:rPr>
            <m:t>DCT_out</m:t>
          </m:r>
        </m:oMath>
      </m:oMathPara>
    </w:p>
    <w:p>
      <w:pPr>
        <w:pStyle w:val="Heading3"/>
      </w:pPr>
      <w:bookmarkStart w:id="35" w:name="双域times块与并行自相关分支"/>
      <w:bookmarkEnd w:id="35"/>
      <w:r>
        <w:t xml:space="preserve">3.4 双域Times块与并行自相关分支</w:t>
      </w:r>
    </w:p>
    <w:p>
      <w:pPr>
        <w:pStyle w:val="FirstParagraph"/>
      </w:pPr>
      <w:r>
        <w:t xml:space="preserve">DualDomainTimesBlock的第二个分支是自相关注意力。它与卷积分支</w:t>
      </w:r>
      <w:r>
        <w:rPr>
          <w:b/>
        </w:rPr>
        <w:t xml:space="preserve">并行</w:t>
      </w:r>
      <w:r>
        <w:t xml:space="preserve">，而非叠加在卷积输出之上：两分支各自处理同一输入，输出经门控融合后与输入残差相加并归一化：</w:t>
      </w:r>
    </w:p>
    <w:p>
      <w:pPr>
        <w:pStyle w:val="BodyText"/>
      </w:pPr>
      <m:oMathPara>
        <m:oMathParaPr>
          <m:jc m:val="center"/>
        </m:oMathParaPr>
        <m:oMath>
          <m:r>
            <m:t>H</m:t>
          </m:r>
          <m:r>
            <m:t>=</m:t>
          </m:r>
          <m:r>
            <m:rPr>
              <m:sty m:val="p"/>
            </m:rPr>
            <m:t>LayerNorm</m:t>
          </m:r>
          <m:r>
            <m:t>(</m:t>
          </m:r>
          <m:r>
            <m:t>x</m:t>
          </m:r>
          <m:r>
            <m:t>+</m:t>
          </m:r>
          <m:r>
            <m:rPr>
              <m:sty m:val="b"/>
            </m:rPr>
            <m:t>g</m:t>
          </m:r>
          <m:r>
            <m:t>⋅</m:t>
          </m:r>
          <m:r>
            <m:rPr>
              <m:sty m:val="p"/>
            </m:rPr>
            <m:t>CNN</m:t>
          </m:r>
          <m:r>
            <m:t>(</m:t>
          </m:r>
          <m:r>
            <m:t>x</m:t>
          </m:r>
          <m:r>
            <m:t>)</m:t>
          </m:r>
          <m:r>
            <m:t>+</m:t>
          </m:r>
          <m:r>
            <m:t>(</m:t>
          </m:r>
          <m:r>
            <m:rPr>
              <m:sty m:val="b"/>
            </m:rPr>
            <m:t>1</m:t>
          </m:r>
          <m:r>
            <m:t>−</m:t>
          </m:r>
          <m:r>
            <m:rPr>
              <m:sty m:val="b"/>
            </m:rPr>
            <m:t>g</m:t>
          </m:r>
          <m:r>
            <m:t>)</m:t>
          </m:r>
          <m:r>
            <m:t>⋅</m:t>
          </m:r>
          <m:r>
            <m:rPr>
              <m:sty m:val="p"/>
            </m:rPr>
            <m:t>Attn</m:t>
          </m:r>
          <m:r>
            <m:t>(</m:t>
          </m:r>
          <m:r>
            <m:t>x</m:t>
          </m:r>
          <m:r>
            <m:t>)</m:t>
          </m:r>
          <m:r>
            <m:t>)</m:t>
          </m:r>
        </m:oMath>
      </m:oMathPara>
    </w:p>
    <w:p>
      <w:pPr>
        <w:pStyle w:val="FirstParagraph"/>
      </w:pPr>
      <w:r>
        <w:t xml:space="preserve">其中g为自适应门控权重。自相关分支的计算分为三步：先以Q=K=V=X计算互相关谱（FFT加速），再选取相关强度最高的Top-K个延迟，最后沿这些延迟对历史信息加权聚合。</w:t>
      </w:r>
    </w:p>
    <w:p>
      <w:pPr>
        <w:pStyle w:val="BodyText"/>
      </w:pPr>
      <w:r>
        <w:rPr>
          <w:b/>
        </w:rPr>
        <w:t xml:space="preserve">命题2（两分支的功能互补性）</w:t>
      </w:r>
      <w:r>
        <w:t xml:space="preserve">：（1）</w:t>
      </w:r>
      <w:r>
        <w:rPr>
          <w:b/>
        </w:rPr>
        <w:t xml:space="preserve">操作轴不同</w:t>
      </w:r>
      <w:r>
        <w:t xml:space="preserve">——CNN在折叠后的二维张量（形状⌈L/p⌉×p）上操作，Attn在原始一维时间轴（长度T）上操作；（2）</w:t>
      </w:r>
      <w:r>
        <w:rPr>
          <w:b/>
        </w:rPr>
        <w:t xml:space="preserve">聚合范围不同</w:t>
      </w:r>
      <w:r>
        <w:t xml:space="preserve">——CNN的聚合范围由卷积核大小决定，核长为K时跨周期跨度约为±⌊K/2⌋个周期，长滞后只能逐层间接传递，而Attn通过Top-K延迟选择可覆盖任意滞后，包括远长于卷积跨度的滞后；（3）</w:t>
      </w:r>
      <w:r>
        <w:rPr>
          <w:b/>
        </w:rPr>
        <w:t xml:space="preserve">对周期检测准确性的依赖不同</w:t>
      </w:r>
      <w:r>
        <w:t xml:space="preserve">——CNN依赖折叠带来的相位对齐，周期检测偏差会直接导致错位，Attn不依赖显式折叠，而是从自相关谱中选取延迟。</w:t>
      </w:r>
    </w:p>
    <w:p>
      <w:pPr>
        <w:pStyle w:val="BodyText"/>
      </w:pPr>
      <w:r>
        <w:t xml:space="preserve">上述三条是结构性的、可验证的差异。需要说明，本实现中Top-K延迟是跨batch共享的（沿用Autoformer的加速设计，由batch平均后的自相关谱选延迟），因此第（3）条中"选取延迟"指的是全局延迟偏好，而非逐样本的注意力分布。</w:t>
      </w:r>
    </w:p>
    <w:p>
      <w:pPr>
        <w:pStyle w:val="Heading3"/>
      </w:pPr>
      <w:bookmarkStart w:id="36" w:name="复杂度分析"/>
      <w:bookmarkEnd w:id="36"/>
      <w:r>
        <w:t xml:space="preserve">3.5 复杂度分析</w:t>
      </w:r>
    </w:p>
    <w:p>
      <w:pPr>
        <w:pStyle w:val="FirstParagraph"/>
      </w:pPr>
      <w:r>
        <w:t xml:space="preserve">三个模块的开销性质不同，下表给出单层单样本的时间复杂度（T为序列长度，C为变量数，d为隐维度，p为分解周期，K为周期数与延迟数）：</w:t>
      </w:r>
    </w:p>
    <w:tbl>
      <w:tblPr>
        <w:tblStyle w:val="TableGrid"/>
        <w:tblLook w:firstRow="1"/>
        <w:tblW w:type="pct" w:w="5000"/>
      </w:tblPr>
      <w:tblGrid>
        <w:gridCol w:w="2125"/>
        <w:gridCol w:w="2125"/>
        <w:gridCol w:w="2125"/>
        <w:gridCol w:w="2125"/>
      </w:tblGrid>
      <w:tr>
        <w:trPr>
          <w:cnfStyle w:firstRow="1"/>
        </w:trPr>
        <w:tc>
          <w:tcPr>
            <w:tcBorders>
              <w:bottom w:val="single"/>
            </w:tcBorders>
            <w:vAlign w:val="bottom"/>
            <w:tcW w:type="dxa" w:w="2125"/>
          </w:tcPr>
          <w:p>
            <w:pPr>
              <w:pStyle w:val="Compact"/>
              <w:jc w:val="left"/>
            </w:pPr>
            <w:r>
              <w:t xml:space="preserve">模块</w:t>
            </w:r>
          </w:p>
        </w:tc>
        <w:tc>
          <w:tcPr>
            <w:tcBorders>
              <w:bottom w:val="single"/>
            </w:tcBorders>
            <w:vAlign w:val="bottom"/>
            <w:tcW w:type="dxa" w:w="2125"/>
          </w:tcPr>
          <w:p>
            <w:pPr>
              <w:pStyle w:val="Compact"/>
              <w:jc w:val="left"/>
            </w:pPr>
            <w:r>
              <w:t xml:space="preserve">计算内容</w:t>
            </w:r>
          </w:p>
        </w:tc>
        <w:tc>
          <w:tcPr>
            <w:tcBorders>
              <w:bottom w:val="single"/>
            </w:tcBorders>
            <w:vAlign w:val="bottom"/>
            <w:tcW w:type="dxa" w:w="2125"/>
          </w:tcPr>
          <w:p>
            <w:pPr>
              <w:pStyle w:val="Compact"/>
              <w:jc w:val="left"/>
            </w:pPr>
            <w:r>
              <w:t xml:space="preserve">时间复杂度</w:t>
            </w:r>
          </w:p>
        </w:tc>
        <w:tc>
          <w:tcPr>
            <w:tcBorders>
              <w:bottom w:val="single"/>
            </w:tcBorders>
            <w:vAlign w:val="bottom"/>
            <w:tcW w:type="dxa" w:w="2125"/>
          </w:tcPr>
          <w:p>
            <w:pPr>
              <w:pStyle w:val="Compact"/>
              <w:jc w:val="left"/>
            </w:pPr>
            <w:r>
              <w:t xml:space="preserve">说明</w:t>
            </w:r>
          </w:p>
        </w:tc>
      </w:tr>
      <w:tr>
        <w:tc>
          <w:tcPr>
            <w:tcW w:type="dxa" w:w="2125"/>
          </w:tcPr>
          <w:p>
            <w:pPr>
              <w:pStyle w:val="Compact"/>
              <w:jc w:val="left"/>
            </w:pPr>
            <w:r>
              <w:t xml:space="preserve">STL分解</w:t>
            </w:r>
          </w:p>
        </w:tc>
        <w:tc>
          <w:tcPr>
            <w:tcW w:type="dxa" w:w="2125"/>
          </w:tcPr>
          <w:p>
            <w:pPr>
              <w:pStyle w:val="Compact"/>
              <w:jc w:val="left"/>
            </w:pPr>
            <w:r>
              <w:t xml:space="preserve">移动平均 + 跨周期平均</w:t>
            </w:r>
          </w:p>
        </w:tc>
        <w:tc>
          <w:tcPr>
            <w:tcW w:type="dxa" w:w="2125"/>
          </w:tcPr>
          <w:p>
            <w:pPr>
              <w:pStyle w:val="Compact"/>
              <w:jc w:val="left"/>
            </w:pPr>
            <w:r>
              <w:t xml:space="preserve">O(T)</w:t>
            </w:r>
          </w:p>
        </w:tc>
        <w:tc>
          <w:tcPr>
            <w:tcW w:type="dxa" w:w="2125"/>
          </w:tcPr>
          <w:p>
            <w:pPr>
              <w:pStyle w:val="Compact"/>
              <w:jc w:val="left"/>
            </w:pPr>
            <w:r>
              <w:t xml:space="preserve">全向量化，与C无关地并行</w:t>
            </w:r>
          </w:p>
        </w:tc>
      </w:tr>
      <w:tr>
        <w:tc>
          <w:tcPr>
            <w:tcW w:type="dxa" w:w="2125"/>
          </w:tcPr>
          <w:p>
            <w:pPr>
              <w:pStyle w:val="Compact"/>
              <w:jc w:val="left"/>
            </w:pPr>
            <w:r>
              <w:t xml:space="preserve">FFT-DCT检测</w:t>
            </w:r>
          </w:p>
        </w:tc>
        <w:tc>
          <w:tcPr>
            <w:tcW w:type="dxa" w:w="2125"/>
          </w:tcPr>
          <w:p>
            <w:pPr>
              <w:pStyle w:val="Compact"/>
              <w:jc w:val="left"/>
            </w:pPr>
            <w:r>
              <w:t xml:space="preserve">FFT + DCT</w:t>
            </w:r>
          </w:p>
        </w:tc>
        <w:tc>
          <w:tcPr>
            <w:tcW w:type="dxa" w:w="2125"/>
          </w:tcPr>
          <w:p>
            <w:pPr>
              <w:pStyle w:val="Compact"/>
              <w:jc w:val="left"/>
            </w:pPr>
            <w:r>
              <w:t xml:space="preserve">O(T log T)</w:t>
            </w:r>
          </w:p>
        </w:tc>
        <w:tc>
          <w:tcPr>
            <w:tcW w:type="dxa" w:w="2125"/>
          </w:tcPr>
          <w:p>
            <w:pPr>
              <w:pStyle w:val="Compact"/>
              <w:jc w:val="left"/>
            </w:pPr>
            <w:r>
              <w:t xml:space="preserve">DCT以余弦基矩阵实现，基矩阵按长度缓存</w:t>
            </w:r>
          </w:p>
        </w:tc>
      </w:tr>
      <w:tr>
        <w:tc>
          <w:tcPr>
            <w:tcW w:type="dxa" w:w="2125"/>
          </w:tcPr>
          <w:p>
            <w:pPr>
              <w:pStyle w:val="Compact"/>
              <w:jc w:val="left"/>
            </w:pPr>
            <w:r>
              <w:t xml:space="preserve">双域卷积</w:t>
            </w:r>
          </w:p>
        </w:tc>
        <w:tc>
          <w:tcPr>
            <w:tcW w:type="dxa" w:w="2125"/>
          </w:tcPr>
          <w:p>
            <w:pPr>
              <w:pStyle w:val="Compact"/>
              <w:jc w:val="left"/>
            </w:pPr>
            <w:r>
              <w:t xml:space="preserve">2×K个Inception块</w:t>
            </w:r>
          </w:p>
        </w:tc>
        <w:tc>
          <w:tcPr>
            <w:tcW w:type="dxa" w:w="2125"/>
          </w:tcPr>
          <w:p>
            <w:pPr>
              <w:pStyle w:val="Compact"/>
              <w:jc w:val="left"/>
            </w:pPr>
            <w:r>
              <w:t xml:space="preserve">O(K·d²·T·k̄²)</w:t>
            </w:r>
          </w:p>
        </w:tc>
        <w:tc>
          <w:tcPr>
            <w:tcW w:type="dxa" w:w="2125"/>
          </w:tcPr>
          <w:p>
            <w:pPr>
              <w:pStyle w:val="Compact"/>
              <w:jc w:val="left"/>
            </w:pPr>
            <w:r>
              <w:t xml:space="preserve">k̄为平均卷积核长度，主导参数量</w:t>
            </w:r>
          </w:p>
        </w:tc>
      </w:tr>
      <w:tr>
        <w:tc>
          <w:tcPr>
            <w:tcW w:type="dxa" w:w="2125"/>
          </w:tcPr>
          <w:p>
            <w:pPr>
              <w:pStyle w:val="Compact"/>
              <w:jc w:val="left"/>
            </w:pPr>
            <w:r>
              <w:t xml:space="preserve">自相关分支</w:t>
            </w:r>
          </w:p>
        </w:tc>
        <w:tc>
          <w:tcPr>
            <w:tcW w:type="dxa" w:w="2125"/>
          </w:tcPr>
          <w:p>
            <w:pPr>
              <w:pStyle w:val="Compact"/>
              <w:jc w:val="left"/>
            </w:pPr>
            <w:r>
              <w:t xml:space="preserve">相关谱 + Top-K聚合</w:t>
            </w:r>
          </w:p>
        </w:tc>
        <w:tc>
          <w:tcPr>
            <w:tcW w:type="dxa" w:w="2125"/>
          </w:tcPr>
          <w:p>
            <w:pPr>
              <w:pStyle w:val="Compact"/>
              <w:jc w:val="left"/>
            </w:pPr>
            <w:r>
              <w:t xml:space="preserve">O(T log T + K·T·d)</w:t>
            </w:r>
          </w:p>
        </w:tc>
        <w:tc>
          <w:tcPr>
            <w:tcW w:type="dxa" w:w="2125"/>
          </w:tcPr>
          <w:p>
            <w:pPr>
              <w:pStyle w:val="Compact"/>
              <w:jc w:val="left"/>
            </w:pPr>
            <w:r>
              <w:t xml:space="preserve">聚合仅为K次张量平移与加权</w:t>
            </w:r>
          </w:p>
        </w:tc>
      </w:tr>
    </w:tbl>
    <w:p>
      <w:pPr>
        <w:pStyle w:val="BodyText"/>
      </w:pPr>
      <w:r>
        <w:t xml:space="preserve">其中双域卷积的时间与空间开销占主导：每层需对2×K个周期各做两次Inception卷积，这也是本文参数量（约9.47M）显著高于原始TimesNet的原因。自相关分支的复杂度与序列长度呈对数关系，其Top-K延迟聚合只涉及K次roll操作与加权求和，开销远小于注意力矩阵的构造，因此并未破坏卷积主干的计算优势。STL分解虽为逐点运算，但由于完全向量化，实测开销在毫秒级。需要指出，当seq_len较大（如1440）时，二维折叠张量与自相关谱的显存占用会明显上升，这是高分辨率数据下的主要瓶颈。</w:t>
      </w:r>
    </w:p>
    <w:p>
      <w:pPr>
        <w:pStyle w:val="Heading2"/>
      </w:pPr>
      <w:bookmarkStart w:id="37" w:name="实验与结果分析"/>
      <w:bookmarkEnd w:id="37"/>
      <w:r>
        <w:t xml:space="preserve">4 实验与结果分析</w:t>
      </w:r>
    </w:p>
    <w:p>
      <w:pPr>
        <w:pStyle w:val="Heading3"/>
      </w:pPr>
      <w:bookmarkStart w:id="38" w:name="数据集与实验设置"/>
      <w:bookmarkEnd w:id="38"/>
      <w:r>
        <w:t xml:space="preserve">4.1 数据集与实验设置</w:t>
      </w:r>
    </w:p>
    <w:p>
      <w:pPr>
        <w:pStyle w:val="FirstParagraph"/>
      </w:pPr>
      <w:r>
        <w:t xml:space="preserve">本文使用两个真实光伏数据集，均由</w:t>
      </w:r>
      <w:r>
        <w:rPr>
          <w:rStyle w:val="VerbatimChar"/>
        </w:rPr>
        <w:t xml:space="preserve">Dataset_Solar</w:t>
      </w:r>
      <w:r>
        <w:t xml:space="preserve">统一加载。</w:t>
      </w:r>
    </w:p>
    <w:p>
      <w:pPr>
        <w:pStyle w:val="BodyText"/>
      </w:pPr>
      <w:r>
        <w:rPr>
          <w:b/>
        </w:rPr>
        <w:t xml:space="preserve">Solar-DKA</w:t>
      </w:r>
      <w:r>
        <w:t xml:space="preserve">：采样间隔5分钟，时间跨度2014-01-01至2015-11-30（约1.9年），共192,375条记录，含10个数值列——发电功率</w:t>
      </w:r>
      <w:r>
        <w:rPr>
          <w:rStyle w:val="VerbatimChar"/>
        </w:rPr>
        <w:t xml:space="preserve">Active_Power</w:t>
      </w:r>
      <w:r>
        <w:t xml:space="preserve">（预测目标）与9个气象变量（风速、气温、相对湿度、水平总辐射、水平散射辐射、风向、日降雨量、倾角总辐射、倾角散射辐射）。</w:t>
      </w:r>
    </w:p>
    <w:p>
      <w:pPr>
        <w:pStyle w:val="BodyText"/>
      </w:pPr>
      <w:r>
        <w:rPr>
          <w:b/>
        </w:rPr>
        <w:t xml:space="preserve">Solar-Site1</w:t>
      </w:r>
      <w:r>
        <w:t xml:space="preserve">：采样间隔15分钟，时间跨度2023全年，共35,040条记录，无缺失值，含8个数值列——实际发电功率（预测目标）与7个气象变量（组件温度、环境温度、气压、湿度、总辐射、直射辐射、散射辐射）。该数据集列名均为中文、时间列名为</w:t>
      </w:r>
      <w:r>
        <w:rPr>
          <w:rStyle w:val="VerbatimChar"/>
        </w:rPr>
        <w:t xml:space="preserve">时间</w:t>
      </w:r>
      <w:r>
        <w:t xml:space="preserve">，加载器已做列名与时间列的自动识别。</w:t>
      </w:r>
    </w:p>
    <w:p>
      <w:pPr>
        <w:pStyle w:val="BodyText"/>
      </w:pPr>
      <w:r>
        <w:t xml:space="preserve">两个数据集共同具备的建模特点：（1）</w:t>
      </w:r>
      <w:r>
        <w:rPr>
          <w:b/>
        </w:rPr>
        <w:t xml:space="preserve">强日周期</w:t>
      </w:r>
      <w:r>
        <w:t xml:space="preserve">，周期长度取决于采样分辨率，5分钟采样下为288步、15分钟采样下为96步，这一差异使其天然构成"同一现象、不同时间尺度"的对照；（2）</w:t>
      </w:r>
      <w:r>
        <w:rPr>
          <w:b/>
        </w:rPr>
        <w:t xml:space="preserve">夜间零值</w:t>
      </w:r>
      <w:r>
        <w:t xml:space="preserve">，发电功率夜间恒为0，MSE/MAE会被低值区段主导；（3）</w:t>
      </w:r>
      <w:r>
        <w:rPr>
          <w:b/>
        </w:rPr>
        <w:t xml:space="preserve">非平稳性</w:t>
      </w:r>
      <w:r>
        <w:t xml:space="preserve">，季节强度随月份变化并存在长期趋势。</w:t>
      </w:r>
    </w:p>
    <w:p>
      <w:pPr>
        <w:pStyle w:val="BodyText"/>
      </w:pPr>
      <w:r>
        <w:rPr>
          <w:b/>
        </w:rPr>
        <w:t xml:space="preserve">数据预处理与划分</w:t>
      </w:r>
      <w:r>
        <w:t xml:space="preserve">。两数据集均按时间顺序以70%、10%、20%划分训练、验证与测试集，严格不打乱，以避免未来信息泄漏。归一化统计量仅在训练集上拟合，再应用于验证与测试集。时间特征由时间戳解析得到，按采样频率编码为相应维度（5分钟与15分钟采样分别产生不同的时间特征维度）。两数据集的时间列名不同（一为</w:t>
      </w:r>
      <w:r>
        <w:rPr>
          <w:rStyle w:val="VerbatimChar"/>
        </w:rPr>
        <w:t xml:space="preserve">timestamp</w:t>
      </w:r>
      <w:r>
        <w:t xml:space="preserve">、一为</w:t>
      </w:r>
      <w:r>
        <w:rPr>
          <w:rStyle w:val="VerbatimChar"/>
        </w:rPr>
        <w:t xml:space="preserve">时间</w:t>
      </w:r>
      <w:r>
        <w:t xml:space="preserve">），目标列名亦不同，加载器通过预设候选名与关键词匹配自动识别，避免因列名差异导致目标列被错误指定——这一点在复用公开数据时是常见的出错来源。</w:t>
      </w:r>
    </w:p>
    <w:p>
      <w:pPr>
        <w:pStyle w:val="BodyText"/>
      </w:pPr>
      <w:r>
        <w:rPr>
          <w:b/>
        </w:rPr>
        <w:t xml:space="preserve">预测任务设置</w:t>
      </w:r>
      <w:r>
        <w:t xml:space="preserve">。输入长度seq_len∈{96,192,336,720}，预测长度pred_len∈{96,192,336,720}。由于两数据集分辨率不同，同一pred_len对应的物理时长不同：</w:t>
      </w:r>
    </w:p>
    <w:tbl>
      <w:tblPr>
        <w:tblStyle w:val="TableGrid"/>
        <w:tblLook w:firstRow="1"/>
        <w:tblW w:type="pct" w:w="5000"/>
      </w:tblPr>
      <w:tblGrid>
        <w:gridCol w:w="2834"/>
        <w:gridCol w:w="2834"/>
        <w:gridCol w:w="2834"/>
      </w:tblGrid>
      <w:tr>
        <w:trPr>
          <w:cnfStyle w:firstRow="1"/>
        </w:trPr>
        <w:tc>
          <w:tcPr>
            <w:tcBorders>
              <w:bottom w:val="single"/>
            </w:tcBorders>
            <w:vAlign w:val="bottom"/>
            <w:tcW w:type="dxa" w:w="2834"/>
          </w:tcPr>
          <w:p>
            <w:pPr>
              <w:pStyle w:val="Compact"/>
              <w:jc w:val="left"/>
            </w:pPr>
            <w:r>
              <w:t xml:space="preserve">pred_len</w:t>
            </w:r>
          </w:p>
        </w:tc>
        <w:tc>
          <w:tcPr>
            <w:tcBorders>
              <w:bottom w:val="single"/>
            </w:tcBorders>
            <w:vAlign w:val="bottom"/>
            <w:tcW w:type="dxa" w:w="2834"/>
          </w:tcPr>
          <w:p>
            <w:pPr>
              <w:pStyle w:val="Compact"/>
              <w:jc w:val="left"/>
            </w:pPr>
            <w:r>
              <w:t xml:space="preserve">Solar-DKA（5分钟采样）</w:t>
            </w:r>
          </w:p>
        </w:tc>
        <w:tc>
          <w:tcPr>
            <w:tcBorders>
              <w:bottom w:val="single"/>
            </w:tcBorders>
            <w:vAlign w:val="bottom"/>
            <w:tcW w:type="dxa" w:w="2834"/>
          </w:tcPr>
          <w:p>
            <w:pPr>
              <w:pStyle w:val="Compact"/>
              <w:jc w:val="left"/>
            </w:pPr>
            <w:r>
              <w:t xml:space="preserve">Solar-Site1（15分钟采样）</w:t>
            </w:r>
          </w:p>
        </w:tc>
      </w:tr>
      <w:tr>
        <w:tc>
          <w:tcPr>
            <w:tcW w:type="dxa" w:w="2834"/>
          </w:tcPr>
          <w:p>
            <w:pPr>
              <w:pStyle w:val="Compact"/>
              <w:jc w:val="left"/>
            </w:pPr>
            <w:r>
              <w:t xml:space="preserve">96</w:t>
            </w:r>
          </w:p>
        </w:tc>
        <w:tc>
          <w:tcPr>
            <w:tcW w:type="dxa" w:w="2834"/>
          </w:tcPr>
          <w:p>
            <w:pPr>
              <w:pStyle w:val="Compact"/>
              <w:jc w:val="left"/>
            </w:pPr>
            <w:r>
              <w:t xml:space="preserve">8 小时</w:t>
            </w:r>
          </w:p>
        </w:tc>
        <w:tc>
          <w:tcPr>
            <w:tcW w:type="dxa" w:w="2834"/>
          </w:tcPr>
          <w:p>
            <w:pPr>
              <w:pStyle w:val="Compact"/>
              <w:jc w:val="left"/>
            </w:pPr>
            <w:r>
              <w:t xml:space="preserve">24 小时（1天）</w:t>
            </w:r>
          </w:p>
        </w:tc>
      </w:tr>
      <w:tr>
        <w:tc>
          <w:tcPr>
            <w:tcW w:type="dxa" w:w="2834"/>
          </w:tcPr>
          <w:p>
            <w:pPr>
              <w:pStyle w:val="Compact"/>
              <w:jc w:val="left"/>
            </w:pPr>
            <w:r>
              <w:t xml:space="preserve">192</w:t>
            </w:r>
          </w:p>
        </w:tc>
        <w:tc>
          <w:tcPr>
            <w:tcW w:type="dxa" w:w="2834"/>
          </w:tcPr>
          <w:p>
            <w:pPr>
              <w:pStyle w:val="Compact"/>
              <w:jc w:val="left"/>
            </w:pPr>
            <w:r>
              <w:t xml:space="preserve">16 小时</w:t>
            </w:r>
          </w:p>
        </w:tc>
        <w:tc>
          <w:tcPr>
            <w:tcW w:type="dxa" w:w="2834"/>
          </w:tcPr>
          <w:p>
            <w:pPr>
              <w:pStyle w:val="Compact"/>
              <w:jc w:val="left"/>
            </w:pPr>
            <w:r>
              <w:t xml:space="preserve">48 小时（2天）</w:t>
            </w:r>
          </w:p>
        </w:tc>
      </w:tr>
      <w:tr>
        <w:tc>
          <w:tcPr>
            <w:tcW w:type="dxa" w:w="2834"/>
          </w:tcPr>
          <w:p>
            <w:pPr>
              <w:pStyle w:val="Compact"/>
              <w:jc w:val="left"/>
            </w:pPr>
            <w:r>
              <w:t xml:space="preserve">336</w:t>
            </w:r>
          </w:p>
        </w:tc>
        <w:tc>
          <w:tcPr>
            <w:tcW w:type="dxa" w:w="2834"/>
          </w:tcPr>
          <w:p>
            <w:pPr>
              <w:pStyle w:val="Compact"/>
              <w:jc w:val="left"/>
            </w:pPr>
            <w:r>
              <w:t xml:space="preserve">28 小时</w:t>
            </w:r>
          </w:p>
        </w:tc>
        <w:tc>
          <w:tcPr>
            <w:tcW w:type="dxa" w:w="2834"/>
          </w:tcPr>
          <w:p>
            <w:pPr>
              <w:pStyle w:val="Compact"/>
              <w:jc w:val="left"/>
            </w:pPr>
            <w:r>
              <w:t xml:space="preserve">84 小时（3.5天）</w:t>
            </w:r>
          </w:p>
        </w:tc>
      </w:tr>
      <w:tr>
        <w:tc>
          <w:tcPr>
            <w:tcW w:type="dxa" w:w="2834"/>
          </w:tcPr>
          <w:p>
            <w:pPr>
              <w:pStyle w:val="Compact"/>
              <w:jc w:val="left"/>
            </w:pPr>
            <w:r>
              <w:t xml:space="preserve">720</w:t>
            </w:r>
          </w:p>
        </w:tc>
        <w:tc>
          <w:tcPr>
            <w:tcW w:type="dxa" w:w="2834"/>
          </w:tcPr>
          <w:p>
            <w:pPr>
              <w:pStyle w:val="Compact"/>
              <w:jc w:val="left"/>
            </w:pPr>
            <w:r>
              <w:t xml:space="preserve">60 小时（2.5天）</w:t>
            </w:r>
          </w:p>
        </w:tc>
        <w:tc>
          <w:tcPr>
            <w:tcW w:type="dxa" w:w="2834"/>
          </w:tcPr>
          <w:p>
            <w:pPr>
              <w:pStyle w:val="Compact"/>
              <w:jc w:val="left"/>
            </w:pPr>
            <w:r>
              <w:t xml:space="preserve">180 小时（7.5天）</w:t>
            </w:r>
          </w:p>
        </w:tc>
      </w:tr>
    </w:tbl>
    <w:p>
      <w:pPr>
        <w:pStyle w:val="BodyText"/>
      </w:pPr>
      <w:r>
        <w:t xml:space="preserve">因此报告中须同时给出物理时长，不能仅以步数描述预测跨度。相应地，两数据集的STL分解周期应分别设为288与96（而非共用同一默认值）；且由T≥2p约束，Solar-DKA的seq_len须≥576、Solar-Site1须≥192——若在Solar-DKA沿用seq_len=96，STL季节项将恒为零、第一个模块在该数据集上完全失效，这一点必须在实验设置中显式说明而不能默认沿用。</w:t>
      </w:r>
    </w:p>
    <w:p>
      <w:pPr>
        <w:pStyle w:val="BodyText"/>
      </w:pPr>
      <w:r>
        <w:rPr>
          <w:b/>
        </w:rPr>
        <w:t xml:space="preserve">模型配置与训练</w:t>
      </w:r>
      <w:r>
        <w:t xml:space="preserve">。d_model=64，d_ff=64，e_layers=2，num_kernels=6，周期检测Top-K=5，batch size=32。优化器为Adam（初始学习率1e-3），学习率按type1策略每轮减半，早停耐心值3个epoch。Inception卷积块的权重采用Kaiming初始化。数据按时间顺序以7:1:2划分训练、验证与测试集，严格不打乱。</w:t>
      </w:r>
    </w:p>
    <w:p>
      <w:pPr>
        <w:pStyle w:val="BodyText"/>
      </w:pPr>
      <w:r>
        <w:rPr>
          <w:b/>
        </w:rPr>
        <w:t xml:space="preserve">评估指标</w:t>
      </w:r>
      <w:r>
        <w:t xml:space="preserve">。主要指标为MSE与MAE；由于夜间功率恒为0、MSE会被夜间区段主导，额外报告MAPE。MAPE在y_i=0处无定义，须明确零值处理方式（排除y_i&lt;ε的时段或改用sMAPE），否则结果不可复现。此外应分别报告白天与夜间的MSE，以避免整体指标掩盖白天的真实差异。</w:t>
      </w:r>
    </w:p>
    <w:p>
      <w:pPr>
        <w:pStyle w:val="Heading3"/>
      </w:pPr>
      <w:bookmarkStart w:id="39" w:name="主实验结果"/>
      <w:bookmarkEnd w:id="39"/>
      <w:r>
        <w:t xml:space="preserve">4.2 主实验结果</w:t>
      </w:r>
    </w:p>
    <w:p>
      <w:pPr>
        <w:pStyle w:val="FirstParagraph"/>
      </w:pPr>
      <w:r>
        <w:rPr>
          <w:b/>
        </w:rPr>
        <w:t xml:space="preserve">对比模型</w:t>
      </w:r>
      <w:r>
        <w:t xml:space="preserve">。TimesNet作为主要基线，是本文方法的直接改进对象；DLinear为线性分解加MLP的简单强基线，用于检验复杂结构是否确实必要；PatchTST将序列切分为片段后以Transformer建模，代表当下主流的片段化方案；Autoformer与FEDformer分别代表自相关机制与频域增强两条技术路线，与本文的两个模块直接相关。所有基线在同一数据划分、同一输入输出长度下训练与评估，以保证可比性。</w:t>
      </w:r>
    </w:p>
    <w:p>
      <w:pPr>
        <w:pStyle w:val="BodyText"/>
        <w:ind w:firstLine="0"/>
        <w:jc w:val="center"/>
      </w:pPr>
      <w:r>
        <w:rPr>
          <w:b/>
        </w:rPr>
        <w:t xml:space="preserve">表1 Solar-DKA数据集长期预测结果</w:t>
      </w:r>
    </w:p>
    <w:tbl>
      <w:tblPr>
        <w:tblStyle w:val="TableGrid"/>
        <w:tblLook w:firstRow="1"/>
        <w:tblW w:type="pct" w:w="5000"/>
      </w:tblPr>
      <w:tblGrid>
        <w:gridCol w:w="2125"/>
        <w:gridCol w:w="2125"/>
        <w:gridCol w:w="2125"/>
        <w:gridCol w:w="2125"/>
      </w:tblGrid>
      <w:tr>
        <w:trPr>
          <w:cnfStyle w:firstRow="1"/>
        </w:trPr>
        <w:tc>
          <w:tcPr>
            <w:tcBorders>
              <w:bottom w:val="single"/>
            </w:tcBorders>
            <w:vAlign w:val="bottom"/>
            <w:tcW w:type="dxa" w:w="2125"/>
          </w:tcPr>
          <w:p>
            <w:pPr>
              <w:pStyle w:val="Compact"/>
              <w:jc w:val="left"/>
            </w:pPr>
            <w:r>
              <w:t xml:space="preserve">Model</w:t>
            </w:r>
          </w:p>
        </w:tc>
        <w:tc>
          <w:tcPr>
            <w:tcBorders>
              <w:bottom w:val="single"/>
            </w:tcBorders>
            <w:vAlign w:val="bottom"/>
            <w:tcW w:type="dxa" w:w="2125"/>
          </w:tcPr>
          <w:p>
            <w:pPr>
              <w:pStyle w:val="Compact"/>
              <w:jc w:val="left"/>
            </w:pPr>
            <w:r>
              <w:t xml:space="preserve">MSE↓</w:t>
            </w:r>
          </w:p>
        </w:tc>
        <w:tc>
          <w:tcPr>
            <w:tcBorders>
              <w:bottom w:val="single"/>
            </w:tcBorders>
            <w:vAlign w:val="bottom"/>
            <w:tcW w:type="dxa" w:w="2125"/>
          </w:tcPr>
          <w:p>
            <w:pPr>
              <w:pStyle w:val="Compact"/>
              <w:jc w:val="left"/>
            </w:pPr>
            <w:r>
              <w:t xml:space="preserve">MAE↓</w:t>
            </w:r>
          </w:p>
        </w:tc>
        <w:tc>
          <w:tcPr>
            <w:tcBorders>
              <w:bottom w:val="single"/>
            </w:tcBorders>
            <w:vAlign w:val="bottom"/>
            <w:tcW w:type="dxa" w:w="2125"/>
          </w:tcPr>
          <w:p>
            <w:pPr>
              <w:pStyle w:val="Compact"/>
              <w:jc w:val="left"/>
            </w:pPr>
            <w:r>
              <w:t xml:space="preserve">MAPE↓</w:t>
            </w:r>
          </w:p>
        </w:tc>
      </w:tr>
      <w:tr>
        <w:tc>
          <w:tcPr>
            <w:tcW w:type="dxa" w:w="2125"/>
          </w:tcPr>
          <w:p>
            <w:pPr>
              <w:pStyle w:val="Compact"/>
            </w:pPr>
          </w:p>
        </w:tc>
        <w:tc>
          <w:tcPr>
            <w:tcW w:type="dxa" w:w="2125"/>
          </w:tcPr>
          <w:p>
            <w:pPr>
              <w:pStyle w:val="Compact"/>
              <w:jc w:val="left"/>
            </w:pPr>
            <w:r>
              <w:rPr>
                <w:i/>
              </w:rPr>
              <w:t xml:space="preserve">pred_len=96</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DLinear</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PatchTST</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Autoformer</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FEDformer</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pred_len=192</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pred_len=336</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pred_len=720</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bl>
    <w:p>
      <w:pPr>
        <w:pStyle w:val="BodyText"/>
        <w:ind w:firstLine="0"/>
        <w:jc w:val="center"/>
      </w:pPr>
      <w:r>
        <w:rPr>
          <w:b/>
        </w:rPr>
        <w:t xml:space="preserve">表2 Solar-Site1数据集长期预测结果</w:t>
      </w:r>
    </w:p>
    <w:tbl>
      <w:tblPr>
        <w:tblStyle w:val="TableGrid"/>
        <w:tblLook w:firstRow="1"/>
        <w:tblW w:type="pct" w:w="5000"/>
      </w:tblPr>
      <w:tblGrid>
        <w:gridCol w:w="2125"/>
        <w:gridCol w:w="2125"/>
        <w:gridCol w:w="2125"/>
        <w:gridCol w:w="2125"/>
      </w:tblGrid>
      <w:tr>
        <w:trPr>
          <w:cnfStyle w:firstRow="1"/>
        </w:trPr>
        <w:tc>
          <w:tcPr>
            <w:tcBorders>
              <w:bottom w:val="single"/>
            </w:tcBorders>
            <w:vAlign w:val="bottom"/>
            <w:tcW w:type="dxa" w:w="2125"/>
          </w:tcPr>
          <w:p>
            <w:pPr>
              <w:pStyle w:val="Compact"/>
              <w:jc w:val="left"/>
            </w:pPr>
            <w:r>
              <w:t xml:space="preserve">Model</w:t>
            </w:r>
          </w:p>
        </w:tc>
        <w:tc>
          <w:tcPr>
            <w:tcBorders>
              <w:bottom w:val="single"/>
            </w:tcBorders>
            <w:vAlign w:val="bottom"/>
            <w:tcW w:type="dxa" w:w="2125"/>
          </w:tcPr>
          <w:p>
            <w:pPr>
              <w:pStyle w:val="Compact"/>
              <w:jc w:val="left"/>
            </w:pPr>
            <w:r>
              <w:t xml:space="preserve">MSE↓</w:t>
            </w:r>
          </w:p>
        </w:tc>
        <w:tc>
          <w:tcPr>
            <w:tcBorders>
              <w:bottom w:val="single"/>
            </w:tcBorders>
            <w:vAlign w:val="bottom"/>
            <w:tcW w:type="dxa" w:w="2125"/>
          </w:tcPr>
          <w:p>
            <w:pPr>
              <w:pStyle w:val="Compact"/>
              <w:jc w:val="left"/>
            </w:pPr>
            <w:r>
              <w:t xml:space="preserve">MAE↓</w:t>
            </w:r>
          </w:p>
        </w:tc>
        <w:tc>
          <w:tcPr>
            <w:tcBorders>
              <w:bottom w:val="single"/>
            </w:tcBorders>
            <w:vAlign w:val="bottom"/>
            <w:tcW w:type="dxa" w:w="2125"/>
          </w:tcPr>
          <w:p>
            <w:pPr>
              <w:pStyle w:val="Compact"/>
              <w:jc w:val="left"/>
            </w:pPr>
            <w:r>
              <w:t xml:space="preserve">MAPE↓</w:t>
            </w:r>
          </w:p>
        </w:tc>
      </w:tr>
      <w:tr>
        <w:tc>
          <w:tcPr>
            <w:tcW w:type="dxa" w:w="2125"/>
          </w:tcPr>
          <w:p>
            <w:pPr>
              <w:pStyle w:val="Compact"/>
            </w:pPr>
          </w:p>
        </w:tc>
        <w:tc>
          <w:tcPr>
            <w:tcW w:type="dxa" w:w="2125"/>
          </w:tcPr>
          <w:p>
            <w:pPr>
              <w:pStyle w:val="Compact"/>
              <w:jc w:val="left"/>
            </w:pPr>
            <w:r>
              <w:rPr>
                <w:i/>
              </w:rPr>
              <w:t xml:space="preserve">pred_len=96（=1天）</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DLinear</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PatchTST</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pred_len=192（=2天）</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pred_len=336（=3.5天）</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pPr>
          </w:p>
        </w:tc>
        <w:tc>
          <w:tcPr>
            <w:tcW w:type="dxa" w:w="2125"/>
          </w:tcPr>
          <w:p>
            <w:pPr>
              <w:pStyle w:val="Compact"/>
              <w:jc w:val="left"/>
            </w:pPr>
            <w:r>
              <w:rPr>
                <w:i/>
              </w:rPr>
              <w:t xml:space="preserve">pred_len=720（=7.5天）</w:t>
            </w:r>
          </w:p>
        </w:tc>
        <w:tc>
          <w:tcPr>
            <w:tcW w:type="dxa" w:w="2125"/>
          </w:tcPr>
          <w:p>
            <w:pPr>
              <w:pStyle w:val="Compact"/>
            </w:pPr>
          </w:p>
        </w:tc>
        <w:tc>
          <w:tcPr>
            <w:tcW w:type="dxa" w:w="2125"/>
          </w:tcPr>
          <w:p>
            <w:pPr>
              <w:pStyle w:val="Compact"/>
            </w:pPr>
          </w:p>
        </w:tc>
      </w:tr>
      <w:tr>
        <w:tc>
          <w:tcPr>
            <w:tcW w:type="dxa" w:w="2125"/>
          </w:tcPr>
          <w:p>
            <w:pPr>
              <w:pStyle w:val="Compact"/>
              <w:jc w:val="left"/>
            </w:pPr>
            <w:r>
              <w:t xml:space="preserve">TimesNet（基线）</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bl>
    <w:p>
      <w:pPr>
        <w:pStyle w:val="BodyText"/>
      </w:pPr>
      <w:r>
        <w:t xml:space="preserve">基线选择遵循两条原则：一是必须包含DLinear、PatchTST这类简单强基线，已有工作表明它们在多个基准上可匹敌甚至超过复杂模型；二是必须包含容量对齐的TimesNet，以排除"增益来自参数变多"的解释。</w:t>
      </w:r>
    </w:p>
    <w:p>
      <w:pPr>
        <w:pStyle w:val="Heading3"/>
      </w:pPr>
      <w:bookmarkStart w:id="40" w:name="消融实验"/>
      <w:bookmarkEnd w:id="40"/>
      <w:r>
        <w:t xml:space="preserve">4.3 消融实验</w:t>
      </w:r>
    </w:p>
    <w:p>
      <w:pPr>
        <w:pStyle w:val="FirstParagraph"/>
        <w:ind w:firstLine="0"/>
        <w:jc w:val="center"/>
      </w:pPr>
      <w:r>
        <w:rPr>
          <w:b/>
        </w:rPr>
        <w:t xml:space="preserve">表3 消融实验结果</w:t>
      </w:r>
    </w:p>
    <w:tbl>
      <w:tblPr>
        <w:tblStyle w:val="TableGrid"/>
        <w:tblLook w:firstRow="1"/>
        <w:tblW w:type="pct" w:w="5000"/>
      </w:tblPr>
      <w:tblGrid>
        <w:gridCol w:w="1214"/>
        <w:gridCol w:w="1214"/>
        <w:gridCol w:w="1214"/>
        <w:gridCol w:w="1214"/>
        <w:gridCol w:w="1214"/>
        <w:gridCol w:w="1214"/>
        <w:gridCol w:w="1214"/>
      </w:tblGrid>
      <w:tr>
        <w:trPr>
          <w:cnfStyle w:firstRow="1"/>
        </w:trPr>
        <w:tc>
          <w:tcPr>
            <w:tcBorders>
              <w:bottom w:val="single"/>
            </w:tcBorders>
            <w:vAlign w:val="bottom"/>
            <w:tcW w:type="dxa" w:w="1214"/>
          </w:tcPr>
          <w:p>
            <w:pPr>
              <w:pStyle w:val="Compact"/>
              <w:jc w:val="left"/>
            </w:pPr>
            <w:r>
              <w:t xml:space="preserve">配置</w:t>
            </w:r>
          </w:p>
        </w:tc>
        <w:tc>
          <w:tcPr>
            <w:tcBorders>
              <w:bottom w:val="single"/>
            </w:tcBorders>
            <w:vAlign w:val="bottom"/>
            <w:tcW w:type="dxa" w:w="1214"/>
          </w:tcPr>
          <w:p>
            <w:pPr>
              <w:pStyle w:val="Compact"/>
              <w:jc w:val="left"/>
            </w:pPr>
            <w:r>
              <w:t xml:space="preserve">STL</w:t>
            </w:r>
          </w:p>
        </w:tc>
        <w:tc>
          <w:tcPr>
            <w:tcBorders>
              <w:bottom w:val="single"/>
            </w:tcBorders>
            <w:vAlign w:val="bottom"/>
            <w:tcW w:type="dxa" w:w="1214"/>
          </w:tcPr>
          <w:p>
            <w:pPr>
              <w:pStyle w:val="Compact"/>
              <w:jc w:val="left"/>
            </w:pPr>
            <w:r>
              <w:t xml:space="preserve">FFT+DCT</w:t>
            </w:r>
          </w:p>
        </w:tc>
        <w:tc>
          <w:tcPr>
            <w:tcBorders>
              <w:bottom w:val="single"/>
            </w:tcBorders>
            <w:vAlign w:val="bottom"/>
            <w:tcW w:type="dxa" w:w="1214"/>
          </w:tcPr>
          <w:p>
            <w:pPr>
              <w:pStyle w:val="Compact"/>
              <w:jc w:val="left"/>
            </w:pPr>
            <w:r>
              <w:t xml:space="preserve">AutoCorr</w:t>
            </w:r>
          </w:p>
        </w:tc>
        <w:tc>
          <w:tcPr>
            <w:tcBorders>
              <w:bottom w:val="single"/>
            </w:tcBorders>
            <w:vAlign w:val="bottom"/>
            <w:tcW w:type="dxa" w:w="1214"/>
          </w:tcPr>
          <w:p>
            <w:pPr>
              <w:pStyle w:val="Compact"/>
              <w:jc w:val="left"/>
            </w:pPr>
            <w:r>
              <w:t xml:space="preserve">MSE</w:t>
            </w:r>
          </w:p>
        </w:tc>
        <w:tc>
          <w:tcPr>
            <w:tcBorders>
              <w:bottom w:val="single"/>
            </w:tcBorders>
            <w:vAlign w:val="bottom"/>
            <w:tcW w:type="dxa" w:w="1214"/>
          </w:tcPr>
          <w:p>
            <w:pPr>
              <w:pStyle w:val="Compact"/>
              <w:jc w:val="left"/>
            </w:pPr>
            <w:r>
              <w:t xml:space="preserve">MAE</w:t>
            </w:r>
          </w:p>
        </w:tc>
        <w:tc>
          <w:tcPr>
            <w:tcBorders>
              <w:bottom w:val="single"/>
            </w:tcBorders>
            <w:vAlign w:val="bottom"/>
            <w:tcW w:type="dxa" w:w="1214"/>
          </w:tcPr>
          <w:p>
            <w:pPr>
              <w:pStyle w:val="Compact"/>
              <w:jc w:val="left"/>
            </w:pPr>
            <w:r>
              <w:t xml:space="preserve">MAPE</w:t>
            </w:r>
          </w:p>
        </w:tc>
      </w:tr>
      <w:tr>
        <w:tc>
          <w:tcPr>
            <w:tcW w:type="dxa" w:w="1214"/>
          </w:tcPr>
          <w:p>
            <w:pPr>
              <w:pStyle w:val="Compact"/>
              <w:jc w:val="left"/>
            </w:pPr>
            <w:r>
              <w:t xml:space="preserve">TimesNet（基线）</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[待填]</w:t>
            </w:r>
          </w:p>
        </w:tc>
        <w:tc>
          <w:tcPr>
            <w:tcW w:type="dxa" w:w="1214"/>
          </w:tcPr>
          <w:p>
            <w:pPr>
              <w:pStyle w:val="Compact"/>
              <w:jc w:val="left"/>
            </w:pPr>
            <w:r>
              <w:t xml:space="preserve">[待填]</w:t>
            </w:r>
          </w:p>
        </w:tc>
        <w:tc>
          <w:tcPr>
            <w:tcW w:type="dxa" w:w="1214"/>
          </w:tcPr>
          <w:p>
            <w:pPr>
              <w:pStyle w:val="Compact"/>
              <w:jc w:val="left"/>
            </w:pPr>
            <w:r>
              <w:t xml:space="preserve">[待填]</w:t>
            </w:r>
          </w:p>
        </w:tc>
      </w:tr>
      <w:tr>
        <w:tc>
          <w:tcPr>
            <w:tcW w:type="dxa" w:w="1214"/>
          </w:tcPr>
          <w:p>
            <w:pPr>
              <w:pStyle w:val="Compact"/>
              <w:jc w:val="left"/>
            </w:pPr>
            <w:r>
              <w:t xml:space="preserve">+ STL</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[待填]</w:t>
            </w:r>
          </w:p>
        </w:tc>
        <w:tc>
          <w:tcPr>
            <w:tcW w:type="dxa" w:w="1214"/>
          </w:tcPr>
          <w:p>
            <w:pPr>
              <w:pStyle w:val="Compact"/>
              <w:jc w:val="left"/>
            </w:pPr>
            <w:r>
              <w:t xml:space="preserve">[待填]</w:t>
            </w:r>
          </w:p>
        </w:tc>
        <w:tc>
          <w:tcPr>
            <w:tcW w:type="dxa" w:w="1214"/>
          </w:tcPr>
          <w:p>
            <w:pPr>
              <w:pStyle w:val="Compact"/>
              <w:jc w:val="left"/>
            </w:pPr>
            <w:r>
              <w:t xml:space="preserve">[待填]</w:t>
            </w:r>
          </w:p>
        </w:tc>
      </w:tr>
      <w:tr>
        <w:tc>
          <w:tcPr>
            <w:tcW w:type="dxa" w:w="1214"/>
          </w:tcPr>
          <w:p>
            <w:pPr>
              <w:pStyle w:val="Compact"/>
              <w:jc w:val="left"/>
            </w:pPr>
            <w:r>
              <w:t xml:space="preserve">+ FFT+DCT</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[待填]</w:t>
            </w:r>
          </w:p>
        </w:tc>
        <w:tc>
          <w:tcPr>
            <w:tcW w:type="dxa" w:w="1214"/>
          </w:tcPr>
          <w:p>
            <w:pPr>
              <w:pStyle w:val="Compact"/>
              <w:jc w:val="left"/>
            </w:pPr>
            <w:r>
              <w:t xml:space="preserve">[待填]</w:t>
            </w:r>
          </w:p>
        </w:tc>
        <w:tc>
          <w:tcPr>
            <w:tcW w:type="dxa" w:w="1214"/>
          </w:tcPr>
          <w:p>
            <w:pPr>
              <w:pStyle w:val="Compact"/>
              <w:jc w:val="left"/>
            </w:pPr>
            <w:r>
              <w:t xml:space="preserve">[待填]</w:t>
            </w:r>
          </w:p>
        </w:tc>
      </w:tr>
      <w:tr>
        <w:tc>
          <w:tcPr>
            <w:tcW w:type="dxa" w:w="1214"/>
          </w:tcPr>
          <w:p>
            <w:pPr>
              <w:pStyle w:val="Compact"/>
              <w:jc w:val="left"/>
            </w:pPr>
            <w:r>
              <w:t xml:space="preserve">+ AutoCorr</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[待填]</w:t>
            </w:r>
          </w:p>
        </w:tc>
        <w:tc>
          <w:tcPr>
            <w:tcW w:type="dxa" w:w="1214"/>
          </w:tcPr>
          <w:p>
            <w:pPr>
              <w:pStyle w:val="Compact"/>
              <w:jc w:val="left"/>
            </w:pPr>
            <w:r>
              <w:t xml:space="preserve">[待填]</w:t>
            </w:r>
          </w:p>
        </w:tc>
        <w:tc>
          <w:tcPr>
            <w:tcW w:type="dxa" w:w="1214"/>
          </w:tcPr>
          <w:p>
            <w:pPr>
              <w:pStyle w:val="Compact"/>
              <w:jc w:val="left"/>
            </w:pPr>
            <w:r>
              <w:t xml:space="preserve">[待填]</w:t>
            </w:r>
          </w:p>
        </w:tc>
      </w:tr>
      <w:tr>
        <w:tc>
          <w:tcPr>
            <w:tcW w:type="dxa" w:w="1214"/>
          </w:tcPr>
          <w:p>
            <w:pPr>
              <w:pStyle w:val="Compact"/>
              <w:jc w:val="left"/>
            </w:pPr>
            <w:r>
              <w:rPr>
                <w:b/>
              </w:rPr>
              <w:t xml:space="preserve">Full（全部）</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w:t>
            </w:r>
          </w:p>
        </w:tc>
        <w:tc>
          <w:tcPr>
            <w:tcW w:type="dxa" w:w="1214"/>
          </w:tcPr>
          <w:p>
            <w:pPr>
              <w:pStyle w:val="Compact"/>
              <w:jc w:val="left"/>
            </w:pPr>
            <w:r>
              <w:t xml:space="preserve">[待填]</w:t>
            </w:r>
          </w:p>
        </w:tc>
        <w:tc>
          <w:tcPr>
            <w:tcW w:type="dxa" w:w="1214"/>
          </w:tcPr>
          <w:p>
            <w:pPr>
              <w:pStyle w:val="Compact"/>
              <w:jc w:val="left"/>
            </w:pPr>
            <w:r>
              <w:t xml:space="preserve">[待填]</w:t>
            </w:r>
          </w:p>
        </w:tc>
        <w:tc>
          <w:tcPr>
            <w:tcW w:type="dxa" w:w="1214"/>
          </w:tcPr>
          <w:p>
            <w:pPr>
              <w:pStyle w:val="Compact"/>
              <w:jc w:val="left"/>
            </w:pPr>
            <w:r>
              <w:t xml:space="preserve">[待填]</w:t>
            </w:r>
          </w:p>
        </w:tc>
      </w:tr>
    </w:tbl>
    <w:p>
      <w:pPr>
        <w:pStyle w:val="BodyText"/>
      </w:pPr>
      <w:r>
        <w:t xml:space="preserve">三个开关分别由</w:t>
      </w:r>
      <w:r>
        <w:rPr>
          <w:rStyle w:val="VerbatimChar"/>
        </w:rPr>
        <w:t xml:space="preserve">--use_stl</w:t>
      </w:r>
      <w:r>
        <w:t xml:space="preserve">、</w:t>
      </w:r>
      <w:r>
        <w:rPr>
          <w:rStyle w:val="VerbatimChar"/>
        </w:rPr>
        <w:t xml:space="preserve">--use_dct</w:t>
      </w:r>
      <w:r>
        <w:t xml:space="preserve">、</w:t>
      </w:r>
      <w:r>
        <w:rPr>
          <w:rStyle w:val="VerbatimChar"/>
        </w:rPr>
        <w:t xml:space="preserve">--use_autocorr</w:t>
      </w:r>
      <w:r>
        <w:t xml:space="preserve">控制，其中DCT分支可单独关闭，因此"仅FFT vs FFT+DCT"一行可直接运行；表中基线行由三者全关得到，结构上等价于TimesNet，但仍建议同时报告官方实现的结果以排除实现差异。消融应在两个数据集上分别进行，因为两者分辨率不同、周期检测的难易程度不同。</w:t>
      </w:r>
    </w:p>
    <w:p>
      <w:pPr>
        <w:pStyle w:val="BodyText"/>
      </w:pPr>
      <w:r>
        <w:t xml:space="preserve">需要特别注意的是，关闭DCT会使参数量近乎减半（见4.5节实测），因此报告"仅FFT vs 双域"这一行时必须同时注明参数量差异，否则无法区分"双域带来的信息增益"与"参数变多带来的容量增益"。此外，不应把各模块的单体增益简单相加来论证"协同效应"——单模块增益不具可加性，交互效应需通过两两组合的实测值来判断。</w:t>
      </w:r>
    </w:p>
    <w:p>
      <w:pPr>
        <w:pStyle w:val="Heading3"/>
      </w:pPr>
      <w:bookmarkStart w:id="41" w:name="周期检测分析"/>
      <w:bookmarkEnd w:id="41"/>
      <w:r>
        <w:t xml:space="preserve">4.4 周期检测分析</w:t>
      </w:r>
    </w:p>
    <w:p>
      <w:pPr>
        <w:pStyle w:val="FirstParagraph"/>
        <w:ind w:firstLine="0"/>
        <w:jc w:val="center"/>
      </w:pPr>
      <w:r>
        <w:rPr>
          <w:b/>
        </w:rPr>
        <w:t xml:space="preserve">表4 FFT与DCT检测到的周期对比</w:t>
      </w:r>
    </w:p>
    <w:tbl>
      <w:tblPr>
        <w:tblStyle w:val="TableGrid"/>
        <w:tblLook w:firstRow="1"/>
        <w:tblW w:type="pct" w:w="5000"/>
      </w:tblPr>
      <w:tblGrid>
        <w:gridCol w:w="2125"/>
        <w:gridCol w:w="2125"/>
        <w:gridCol w:w="2125"/>
        <w:gridCol w:w="2125"/>
      </w:tblGrid>
      <w:tr>
        <w:trPr>
          <w:cnfStyle w:firstRow="1"/>
        </w:trPr>
        <w:tc>
          <w:tcPr>
            <w:tcBorders>
              <w:bottom w:val="single"/>
            </w:tcBorders>
            <w:vAlign w:val="bottom"/>
            <w:tcW w:type="dxa" w:w="2125"/>
          </w:tcPr>
          <w:p>
            <w:pPr>
              <w:pStyle w:val="Compact"/>
              <w:jc w:val="left"/>
            </w:pPr>
            <w:r>
              <w:t xml:space="preserve">排名</w:t>
            </w:r>
          </w:p>
        </w:tc>
        <w:tc>
          <w:tcPr>
            <w:tcBorders>
              <w:bottom w:val="single"/>
            </w:tcBorders>
            <w:vAlign w:val="bottom"/>
            <w:tcW w:type="dxa" w:w="2125"/>
          </w:tcPr>
          <w:p>
            <w:pPr>
              <w:pStyle w:val="Compact"/>
              <w:jc w:val="left"/>
            </w:pPr>
            <w:r>
              <w:t xml:space="preserve">FFT检测周期(步)</w:t>
            </w:r>
          </w:p>
        </w:tc>
        <w:tc>
          <w:tcPr>
            <w:tcBorders>
              <w:bottom w:val="single"/>
            </w:tcBorders>
            <w:vAlign w:val="bottom"/>
            <w:tcW w:type="dxa" w:w="2125"/>
          </w:tcPr>
          <w:p>
            <w:pPr>
              <w:pStyle w:val="Compact"/>
              <w:jc w:val="left"/>
            </w:pPr>
            <w:r>
              <w:t xml:space="preserve">DCT检测周期(步)</w:t>
            </w:r>
          </w:p>
        </w:tc>
        <w:tc>
          <w:tcPr>
            <w:tcBorders>
              <w:bottom w:val="single"/>
            </w:tcBorders>
            <w:vAlign w:val="bottom"/>
            <w:tcW w:type="dxa" w:w="2125"/>
          </w:tcPr>
          <w:p>
            <w:pPr>
              <w:pStyle w:val="Compact"/>
              <w:jc w:val="left"/>
            </w:pPr>
            <w:r>
              <w:t xml:space="preserve">对应物理周期</w:t>
            </w:r>
          </w:p>
        </w:tc>
      </w:tr>
      <w:tr>
        <w:tc>
          <w:tcPr>
            <w:tcW w:type="dxa" w:w="2125"/>
          </w:tcPr>
          <w:p>
            <w:pPr>
              <w:pStyle w:val="Compact"/>
              <w:jc w:val="left"/>
            </w:pPr>
            <w:r>
              <w:t xml:space="preserve">1</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2</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3</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4</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5</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bl>
    <w:p>
      <w:pPr>
        <w:pStyle w:val="BodyText"/>
      </w:pPr>
      <w:r>
        <w:t xml:space="preserve">周期以步数为单位（5分钟采样下288步为1天），可用模型中的周期检测函数直接导出、再按步数换算为物理时间。周期列表产出后需</w:t>
      </w:r>
      <w:r>
        <w:rPr>
          <w:b/>
        </w:rPr>
        <w:t xml:space="preserve">检验两路周期集合是否确实互补</w:t>
      </w:r>
      <w:r>
        <w:t xml:space="preserve">——这是全篇最关键的实证点：若两路检测到的周期高度重合，则"双域互补"的立论不成立，此时应重新审视DCT分支的必要性。进一步可将检测到的周期分为FFT独占、DCT独占与共同检测三类，统计各类对应的频谱能量占比及其对预测的贡献，以量化DCT的增量价值。此外可绘制自相关谱corr[τ]随滞后τ的分布，检验模型是否在日周期、周周期等位置出现峰值，从而说明自相关分支确实捕获了跨周期依赖。</w:t>
      </w:r>
    </w:p>
    <w:p>
      <w:pPr>
        <w:pStyle w:val="BodyText"/>
      </w:pPr>
      <w:r>
        <w:rPr>
          <w:b/>
        </w:rPr>
        <w:t xml:space="preserve">跨数据集的对照</w:t>
      </w:r>
      <w:r>
        <w:t xml:space="preserve">。两个数据集的采样分辨率不同，因此同一组输入输出长度对应不同的物理跨度，真实周期能否整除窗口长度的情形也不同。若双域检测的增益在某一分辨率下显著、在另一分辨率下不明显，可结合"真实周期是否整除窗口"来解释，这正是命题1所预测的现象，可作为对该命题的实证检验；反之，若增益在两种分辨率下表现一致，则说明互补性更多来自两路结构的差异而非泄漏本身，此时应重新表述命题1的适用范围。</w:t>
      </w:r>
    </w:p>
    <w:p>
      <w:pPr>
        <w:pStyle w:val="Heading3"/>
      </w:pPr>
      <w:bookmarkStart w:id="42" w:name="计算效率与讨论"/>
      <w:bookmarkEnd w:id="42"/>
      <w:r>
        <w:t xml:space="preserve">4.5 计算效率与讨论</w:t>
      </w:r>
    </w:p>
    <w:p>
      <w:pPr>
        <w:pStyle w:val="FirstParagraph"/>
        <w:ind w:firstLine="0"/>
        <w:jc w:val="center"/>
      </w:pPr>
      <w:r>
        <w:rPr>
          <w:b/>
        </w:rPr>
        <w:t xml:space="preserve">表5 计算效率对比</w:t>
      </w:r>
    </w:p>
    <w:tbl>
      <w:tblPr>
        <w:tblStyle w:val="TableGrid"/>
        <w:tblLook w:firstRow="1"/>
        <w:tblW w:type="pct" w:w="5000"/>
      </w:tblPr>
      <w:tblGrid>
        <w:gridCol w:w="2125"/>
        <w:gridCol w:w="2125"/>
        <w:gridCol w:w="2125"/>
        <w:gridCol w:w="2125"/>
      </w:tblGrid>
      <w:tr>
        <w:trPr>
          <w:cnfStyle w:firstRow="1"/>
        </w:trPr>
        <w:tc>
          <w:tcPr>
            <w:tcBorders>
              <w:bottom w:val="single"/>
            </w:tcBorders>
            <w:vAlign w:val="bottom"/>
            <w:tcW w:type="dxa" w:w="2125"/>
          </w:tcPr>
          <w:p>
            <w:pPr>
              <w:pStyle w:val="Compact"/>
              <w:jc w:val="left"/>
            </w:pPr>
            <w:r>
              <w:t xml:space="preserve">Model</w:t>
            </w:r>
          </w:p>
        </w:tc>
        <w:tc>
          <w:tcPr>
            <w:tcBorders>
              <w:bottom w:val="single"/>
            </w:tcBorders>
            <w:vAlign w:val="bottom"/>
            <w:tcW w:type="dxa" w:w="2125"/>
          </w:tcPr>
          <w:p>
            <w:pPr>
              <w:pStyle w:val="Compact"/>
              <w:jc w:val="left"/>
            </w:pPr>
            <w:r>
              <w:t xml:space="preserve">FLOPs (G)</w:t>
            </w:r>
          </w:p>
        </w:tc>
        <w:tc>
          <w:tcPr>
            <w:tcBorders>
              <w:bottom w:val="single"/>
            </w:tcBorders>
            <w:vAlign w:val="bottom"/>
            <w:tcW w:type="dxa" w:w="2125"/>
          </w:tcPr>
          <w:p>
            <w:pPr>
              <w:pStyle w:val="Compact"/>
              <w:jc w:val="left"/>
            </w:pPr>
            <w:r>
              <w:t xml:space="preserve">Params (M)</w:t>
            </w:r>
          </w:p>
        </w:tc>
        <w:tc>
          <w:tcPr>
            <w:tcBorders>
              <w:bottom w:val="single"/>
            </w:tcBorders>
            <w:vAlign w:val="bottom"/>
            <w:tcW w:type="dxa" w:w="2125"/>
          </w:tcPr>
          <w:p>
            <w:pPr>
              <w:pStyle w:val="Compact"/>
              <w:jc w:val="left"/>
            </w:pPr>
            <w:r>
              <w:t xml:space="preserve">Latency (ms/batch)</w:t>
            </w:r>
          </w:p>
        </w:tc>
      </w:tr>
      <w:tr>
        <w:tc>
          <w:tcPr>
            <w:tcW w:type="dxa" w:w="2125"/>
          </w:tcPr>
          <w:p>
            <w:pPr>
              <w:pStyle w:val="Compact"/>
              <w:jc w:val="left"/>
            </w:pPr>
            <w:r>
              <w:t xml:space="preserve">TimesNet</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TimesNet-Full</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r>
        <w:tc>
          <w:tcPr>
            <w:tcW w:type="dxa" w:w="2125"/>
          </w:tcPr>
          <w:p>
            <w:pPr>
              <w:pStyle w:val="Compact"/>
              <w:jc w:val="left"/>
            </w:pPr>
            <w:r>
              <w:t xml:space="preserve">Autoformer</w:t>
            </w:r>
          </w:p>
        </w:tc>
        <w:tc>
          <w:tcPr>
            <w:tcW w:type="dxa" w:w="2125"/>
          </w:tcPr>
          <w:p>
            <w:pPr>
              <w:pStyle w:val="Compact"/>
              <w:jc w:val="left"/>
            </w:pPr>
            <w:r>
              <w:t xml:space="preserve">[待填]</w:t>
            </w:r>
          </w:p>
        </w:tc>
        <w:tc>
          <w:tcPr>
            <w:tcW w:type="dxa" w:w="2125"/>
          </w:tcPr>
          <w:p>
            <w:pPr>
              <w:pStyle w:val="Compact"/>
              <w:jc w:val="left"/>
            </w:pPr>
            <w:r>
              <w:t xml:space="preserve">[待填]</w:t>
            </w:r>
          </w:p>
        </w:tc>
        <w:tc>
          <w:tcPr>
            <w:tcW w:type="dxa" w:w="2125"/>
          </w:tcPr>
          <w:p>
            <w:pPr>
              <w:pStyle w:val="Compact"/>
              <w:jc w:val="left"/>
            </w:pPr>
            <w:r>
              <w:t xml:space="preserve">[待填]</w:t>
            </w:r>
          </w:p>
        </w:tc>
      </w:tr>
    </w:tbl>
    <w:p>
      <w:pPr>
        <w:pStyle w:val="BodyText"/>
      </w:pPr>
      <w:r>
        <w:t xml:space="preserve">参数量实测（d_model=64, d_ff=64, e_layers=2）：开启双域时约9.47M，关闭DCT分支后约4.76M；该值对两个数据集几乎相同（Solar-DKA enc_in=10与Solar-Site1 enc_in=8分别得到9.468M与9.466M，差异可忽略），因为参数量由Inception卷积块主导、对输入列数不敏感。双域分支使参数量接近翻倍，这是消融分析中必须设置容量对齐基线的直接原因。FLOPs与推理延迟需在统一硬件与batch size下测量后填入。</w:t>
      </w:r>
    </w:p>
    <w:p>
      <w:pPr>
        <w:pStyle w:val="BodyText"/>
      </w:pPr>
      <w:r>
        <w:rPr>
          <w:b/>
        </w:rPr>
        <w:t xml:space="preserve">实现细节</w:t>
      </w:r>
      <w:r>
        <w:t xml:space="preserve">。实验在PyTorch框架下实现，所有模型使用相同的随机种子以保证可复现性。STL分解采用向量化的可微实现，全程在GPU上执行；周期检测的Top-K取5，与原始TimesNet保持一致以便公平对比。为保证各模型可比，基线与本文方法共用同一套数据加载、归一化与反归一化流程：输入先做零均值单位方差归一化，预测后再反归一化，以避免不同量级变量对损失的主导。训练采用早停机制，以验证集损失为准保存最优模型，测试阶段仅加载最优权重。若算力允许，每个设置应重复多次实验并报告均值与标准差，以判断小幅差异是否显著。</w:t>
      </w:r>
    </w:p>
    <w:p>
      <w:pPr>
        <w:pStyle w:val="BodyText"/>
      </w:pPr>
      <w:r>
        <w:rPr>
          <w:b/>
        </w:rPr>
        <w:t xml:space="preserve">讨论</w:t>
      </w:r>
      <w:r>
        <w:t xml:space="preserve">。三个模块的定位构成一条完整链路：STL在输入端解决非平稳性，FFT-DCT在检测端解决周期集合的完备性，自相关分支在聚合端解决长滞后依赖。需要强调的是，DCT在此仅用于补全周期集合、不涉及趋势处理，趋势的分离由分解模块负责，两者作用阶段不同，从而避免了功能上的重复。本文方法仍存在若干局限：其一，分解仍为单周期（两数据集分别取日周期288与96步），而光伏数据同时含有日、周、年周期，多周期或多尺度分解留作未来工作；其二，由T≥2p约束，日周期分解在高频采样数据上要求较长的输入窗口（5分钟采样下需seq_len≥576），会带来额外的计算与显存开销，多尺度方案需权衡这一点；其三，模型未显式建模变量间的成对依赖，且两个数据集均为单站点数据，不存在跨电站的空间结构，因此跨变量依赖建模只能作为后续方向而不能作为本文的贡献；其四，本文的对比实验在单一数据集划分上进行，尚未检验结论对划分方式与随机种子的敏感性，这也是后续需要补充的稳健性分析。</w:t>
      </w:r>
    </w:p>
    <w:p>
      <w:pPr>
        <w:pStyle w:val="Heading2"/>
      </w:pPr>
      <w:bookmarkStart w:id="43" w:name="结论"/>
      <w:bookmarkEnd w:id="43"/>
      <w:r>
        <w:t xml:space="preserve">5 结论</w:t>
      </w:r>
    </w:p>
    <w:p>
      <w:pPr>
        <w:pStyle w:val="FirstParagraph"/>
      </w:pPr>
      <w:r>
        <w:t xml:space="preserve">本文针对长期光伏功率预测，提出STL-双域TimesNet模型。三个模块分别作用于周期建模流程的三个阶段——输入分解阶段用STL分离趋势、季节与残差分量并独立嵌入，避免不同量级成分相互干扰；周期检测阶段用FFT与DCT双路互补检测，以获得比单一变换更完整的周期集合；跨周期聚合阶段用与二维卷积并行的自相关注意力，实现跨任意长滞后的全局聚合。三者功能互不重叠，构成"分解→检测→聚合"的完整流水线。</w:t>
      </w:r>
    </w:p>
    <w:p>
      <w:pPr>
        <w:pStyle w:val="BodyText"/>
      </w:pPr>
      <w:r>
        <w:t xml:space="preserve">与既有工作相比，本文的增量体现在三个方面：一是把分解与周期检测明确拆分为两个独立阶段，由不同模块承担，避免了趋势处理与周期识别相互耦合；二是利用FFT与DCT延拓方式的差异构造互补的周期检测通路，并给出两者峰位偏差的分析框架，使"双域"的动机可被检验而非仅凭直觉；三是把自相关注意力与二维卷积分支设计为并行结构，使长滞后聚合与周期内局部建模各自独立、由门控自适应融合，而非串行堆叠。</w:t>
      </w:r>
    </w:p>
    <w:p>
      <w:pPr>
        <w:pStyle w:val="BodyText"/>
      </w:pPr>
      <w:r>
        <w:t xml:space="preserve">本文给出了完整的评测方案，在Solar-DKA与Solar-Site1两个真实光伏数据集上覆盖多组输入输出长度，并明确了高分辨率数据下T≥2p约束对序列长度的要求、MAPE的零值处理方式以及容量对齐基线的必要性。当前稿件为方法稿，实验结果待补充；后续工作包括多周期与多尺度分解、将周期作为隐变量端到端学习、引入跨变量注意力建模变量间依赖，以及在不同气候与季节条件下检验模型的稳健性。</w:t>
      </w:r>
    </w:p>
    <w:p>
      <w:pPr>
        <w:pStyle w:val="Heading2"/>
      </w:pPr>
      <w:bookmarkStart w:id="44" w:name="参考文献"/>
      <w:bookmarkEnd w:id="44"/>
      <w:r>
        <w:t xml:space="preserve">参考文献</w:t>
      </w:r>
    </w:p>
    <w:p>
      <w:pPr>
        <w:pStyle w:val="FirstParagraph"/>
      </w:pPr>
      <w:r>
        <w:t xml:space="preserve">[1] Wu H, Hu T, Liu Y, et al. TimesNet: Temporal 2D-Variation Modeling for General Time Series Analysis. ICLR, 2023.</w:t>
      </w:r>
    </w:p>
    <w:p>
      <w:pPr>
        <w:pStyle w:val="BodyText"/>
      </w:pPr>
      <w:r>
        <w:t xml:space="preserve">[2] Cleveland R B, Cleveland W S, McRae J E, et al. STL: A Seasonal-Trend Decomposition Procedure Based on Loess. Journal of Official Statistics, 1990, 6(1): 3-73.</w:t>
      </w:r>
    </w:p>
    <w:p>
      <w:pPr>
        <w:pStyle w:val="BodyText"/>
      </w:pPr>
      <w:r>
        <w:t xml:space="preserve">[3] Ahmed N, Natarajan T, Rao K R. Discrete Cosine Transform. IEEE Transactions on Computers, 1974, 100(1): 90-93.</w:t>
      </w:r>
    </w:p>
    <w:p>
      <w:pPr>
        <w:pStyle w:val="BodyText"/>
      </w:pPr>
      <w:r>
        <w:t xml:space="preserve">[4] Vaswani A, Shazeer N, Parmar N, et al. Attention Is All You Need. NeurIPS, 2017.</w:t>
      </w:r>
    </w:p>
    <w:p>
      <w:pPr>
        <w:pStyle w:val="BodyText"/>
      </w:pPr>
      <w:r>
        <w:t xml:space="preserve">[5] Zhou H, Zhang S, Peng J, et al. Informer: Beyond Efficient Transformer for Long Sequence Time-Series Forecasting. AAAI, 2021.</w:t>
      </w:r>
    </w:p>
    <w:p>
      <w:pPr>
        <w:pStyle w:val="BodyText"/>
      </w:pPr>
      <w:r>
        <w:t xml:space="preserve">[6] Wu H, Xu J, Wang J, et al. Autoformer: Decomposition Transformers with Auto-Correlation for Long-Term Series Forecasting. NeurIPS, 2021.</w:t>
      </w:r>
    </w:p>
    <w:p>
      <w:pPr>
        <w:pStyle w:val="BodyText"/>
      </w:pPr>
      <w:r>
        <w:t xml:space="preserve">[7] Zhou T, Ma Z, Wen Q, et al. FEDformer: Frequency Enhanced Decomposed Transformer for Long-term Series Forecasting. ICML, 2022.</w:t>
      </w:r>
    </w:p>
    <w:p>
      <w:pPr>
        <w:pStyle w:val="BodyText"/>
      </w:pPr>
      <w:r>
        <w:t xml:space="preserve">[8] Nie Y, Nguyen N H, Sinthong P, et al. A Time Series is Worth 64 Words: Long-term Forecasting with Transformers. ICLR, 2023.</w:t>
      </w:r>
    </w:p>
    <w:p>
      <w:pPr>
        <w:pStyle w:val="BodyText"/>
      </w:pPr>
      <w:r>
        <w:t xml:space="preserve">[9] Zeng A, Chen M, Zhang L, et al. Are Transformers Effective for Time Series Forecasting? AAAI, 2023.</w:t>
      </w:r>
    </w:p>
    <w:p>
      <w:pPr>
        <w:pStyle w:val="BodyText"/>
      </w:pPr>
      <w:r>
        <w:t xml:space="preserve">[10] Yi K, Zhang Q, Fan W, et al. Frequency-domain MLPs are More Effective Learners in Time Series Forecasting. NeurIPS, 2023.</w:t>
      </w:r>
    </w:p>
    <w:p>
      <w:pPr>
        <w:pStyle w:val="BodyText"/>
      </w:pPr>
      <w:r>
        <w:t xml:space="preserve">[11] Xu Z, Zeng A, Xu Q. FITS: Modeling Time Series with 10k Parameters. ICLR, 2024.</w:t>
      </w:r>
    </w:p>
    <w:p>
      <w:pPr>
        <w:pStyle w:val="BodyText"/>
      </w:pPr>
      <w:r>
        <w:t xml:space="preserve">[12] Hochreiter S, Schmidhuber J. Long Short-Term Memory. Neural Computation, 1997, 9(8): 1735-1780.</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924b360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d4616b7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ind w:firstLine="48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cs="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eastAsia="黑体"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黑体"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ind w:firstLine="0"/>
      <w:contextualSpacing/>
      <w:jc w:val="center"/>
    </w:pPr>
    <w:rPr>
      <w:rFonts w:asciiTheme="majorHAnsi" w:eastAsiaTheme="majorEastAsia" w:hAnsiTheme="majorHAnsi" w:cstheme="majorBidi" w:ascii="Times New Roman" w:hAnsi="Times New Roman" w:eastAsia="黑体" w:cs="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pPr>
      <w:spacing w:before="120" w:after="60"/>
      <w:ind w:firstLine="0"/>
      <w:jc w:val="center"/>
    </w:pPr>
    <w:rPr>
      <w:rFonts w:ascii="Times New Roman" w:hAnsi="Times New Roman" w:eastAsia="宋体" w:cs="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2026-09-10T09:55:01Z</dcterms:created>
  <dcterms:modified xsi:type="dcterms:W3CDTF">2026-09-10T09:55:01Z</dcterms:modified>
</cp:coreProperties>
</file>