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4AC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更新时间：2026年9月</w:t>
      </w:r>
      <w:r>
        <w:rPr>
          <w:bdr w:val="none" w:color="auto" w:sz="0" w:space="0"/>
        </w:rPr>
        <w:br w:type="textWrapping"/>
      </w:r>
      <w:r>
        <w:rPr>
          <w:bdr w:val="none" w:color="auto" w:sz="0" w:space="0"/>
        </w:rPr>
        <w:t>主办方：杭州云坞科技有限公司</w:t>
      </w:r>
      <w:r>
        <w:rPr>
          <w:bdr w:val="none" w:color="auto" w:sz="0" w:space="0"/>
        </w:rPr>
        <w:br w:type="textWrapping"/>
      </w:r>
      <w:r>
        <w:rPr>
          <w:bdr w:val="none" w:color="auto" w:sz="0" w:space="0"/>
        </w:rPr>
        <w:t>赛事名称：智能体涌现奖</w:t>
      </w:r>
      <w:r>
        <w:rPr>
          <w:bdr w:val="none" w:color="auto" w:sz="0" w:space="0"/>
        </w:rPr>
        <w:br w:type="textWrapping"/>
      </w:r>
      <w:r>
        <w:rPr>
          <w:bdr w:val="none" w:color="auto" w:sz="0" w:space="0"/>
        </w:rPr>
        <w:t>赛事主题：为新的可能，无尽涌现</w:t>
      </w:r>
    </w:p>
    <w:p w14:paraId="0AA68939">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一、赛事介绍</w:t>
      </w:r>
    </w:p>
    <w:p w14:paraId="7206E9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智能体涌现奖”是支付宝面向智能体参赛者、个人开发者、OPC、高校学生及商家开发者发起的年度创新赛事。赛事围绕真实生活需求和真实经营场景，持续寻找“有用、有趣、有热度、可持续、可经营”的智能体作品（智能体包括并不局限于：智能Agent、智能应用等），优秀作品将有机会被支付宝「蚂蚁阿宝」调用，未来获得平台流量曝光、场景接入支持与持续运营机会，实现从参赛作品到用户可用服务的转化，真正落地到支付宝用户的日常使用中。</w:t>
      </w:r>
    </w:p>
    <w:p w14:paraId="4D1C98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shd w:val="clear" w:fill="E6DCF9"/>
        </w:rPr>
        <w:t>赛制：赛事采用 “季度赛+年度评选” 的滚动赛制，每季度独立征集、评审和激励，季度入围作品自动进入年度候选池，参与年度最佳智能体奖评选。</w:t>
      </w:r>
    </w:p>
    <w:p w14:paraId="7E5218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shd w:val="clear" w:fill="E6DCF9"/>
        </w:rPr>
        <w:t>奖励：支付宝为赛事设立1000万元智能体总奖池，年度最佳智能体单项奖励100万元。同时赛事设置丰富的奖项与奖励，参赛者可以提交作品角逐高额奖金与生态扶持，也可以在蚂蚁阿宝许愿池进行许愿赢取奖励。</w:t>
      </w:r>
    </w:p>
    <w:p w14:paraId="74CEC2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shd w:val="clear" w:fill="E6DCF9"/>
        </w:rPr>
        <w:t>为维护赛事的公平公开和有序开展，请所有参赛者在报名参赛与提交作品之前，仔细阅读本细则和赛事官网发布的相关要求。参赛者一经报名参赛、提交作品、提交愿望、参与评审或领取奖励，即视为您已阅读、理解并同意遵守本细则全部条款。</w:t>
      </w:r>
    </w:p>
    <w:p w14:paraId="65876F8D">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二、参赛方向</w:t>
      </w:r>
    </w:p>
    <w:p w14:paraId="5862DC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赛事设置两大参赛方向，仅作灵感参考，不构成投稿限制，参赛者可基于真实场景自由创作。</w:t>
      </w:r>
    </w:p>
    <w:p w14:paraId="3DE6B24A">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方向一： 生活好帮手</w:t>
      </w:r>
    </w:p>
    <w:p w14:paraId="7A5F3E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面向普通参赛者、个人开发者及高校学生，从具体生活场景出发，解决真实问题，或创造具有互动性、趣味性和传播价值的新体验。作品形态可包括智能Agent、智能应用等，适配支付宝内容生态。</w:t>
      </w:r>
    </w:p>
    <w:p w14:paraId="78F05D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参考方向包括但不限于：</w:t>
      </w:r>
    </w:p>
    <w:p w14:paraId="1C4614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1.1 找点乐子：人格测试、兴趣打卡、偶像打卡、互动内容等；</w:t>
      </w:r>
    </w:p>
    <w:p w14:paraId="576F15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1.2 吃好每顿饭：菜品推荐、冰箱食材搭配、外食减脂、优惠决策等；</w:t>
      </w:r>
    </w:p>
    <w:p w14:paraId="6A3C6E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1.3 把毛孩子伺候好：宠物饮食、宠物出行、宠物友好地图等；</w:t>
      </w:r>
    </w:p>
    <w:p w14:paraId="1DE7CA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1.4 把娃带明白：辅食搭配、亲子活动、育儿费用管理等；</w:t>
      </w:r>
    </w:p>
    <w:p w14:paraId="3E8B8B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1.5 把日子过好：家务安排、收纳规划、家庭采购和家庭记账等；</w:t>
      </w:r>
    </w:p>
    <w:p w14:paraId="50687A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1.6 把钱花明白：比价、优惠提醒、订阅审计和消费决策等；</w:t>
      </w:r>
    </w:p>
    <w:p w14:paraId="41E269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1.7 出门不慌：旅行清单、通勤规划、停车预测和周末出行等；</w:t>
      </w:r>
    </w:p>
    <w:p w14:paraId="6ACA93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1.8 把事办利索：公共服务材料准备、办事流程指引等；</w:t>
      </w:r>
    </w:p>
    <w:p w14:paraId="342CCE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1.9社区互助：社区服务、报修、便民信息和邻里互助等；</w:t>
      </w:r>
    </w:p>
    <w:p w14:paraId="166530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1.10公益行动：志愿服务匹配、闲置流转和公益决策等。</w:t>
      </w:r>
    </w:p>
    <w:p w14:paraId="63FB189D">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方向二：消费新体验</w:t>
      </w:r>
    </w:p>
    <w:p w14:paraId="357F32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面向商家、经营者及服务机构，基于真实经营环节，通过智能体提升顾客体验、经营效率与服务能力。</w:t>
      </w:r>
    </w:p>
    <w:p w14:paraId="0C526B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参考方向包括但不限于：</w:t>
      </w:r>
    </w:p>
    <w:p w14:paraId="37123E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2.1 门店经营：智能客服、点单推荐、库存管理、人员排班等；</w:t>
      </w:r>
    </w:p>
    <w:p w14:paraId="468755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2.2 用户运营：会员召回、复购提醒、差评挽回、私域运营、节日营销等；</w:t>
      </w:r>
    </w:p>
    <w:p w14:paraId="1C6F11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2.3 联名命题：围绕合作商家或支付宝业务提供的真实场景定向创作。</w:t>
      </w:r>
    </w:p>
    <w:p w14:paraId="2C54CD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部分季度可能设置商家联名或支付宝业务联名主题，参与联名赛道的作品可获得额外资源加持。除专项规则另有说明外，季度主题均为推荐方向，不限制其他符合要求的作品参赛。</w:t>
      </w:r>
    </w:p>
    <w:p w14:paraId="150FDA90">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三、赛程设置</w:t>
      </w:r>
    </w:p>
    <w:p w14:paraId="1668A022">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核心赛制</w:t>
      </w:r>
    </w:p>
    <w:p w14:paraId="728BA3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1.1 赛事采用季度赛+年度评选模式，每季度独立征集、评审、颁奖；</w:t>
      </w:r>
    </w:p>
    <w:p w14:paraId="4EB5B4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1.2 每季度入围作品自动进入年度候选池，年底统一评审决出年度最佳智能体奖；</w:t>
      </w:r>
    </w:p>
    <w:p w14:paraId="60C0FB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1.3 设置 “作品参赛” 与 “蚂蚁阿宝许愿池” 双路径，无论是否具备开发能力，均可参与赛事，或赢得入围名额与奖励。</w:t>
      </w:r>
    </w:p>
    <w:p w14:paraId="4B9D4404">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赛程安排</w:t>
      </w:r>
    </w:p>
    <w:tbl>
      <w:tblPr>
        <w:tblW w:w="9750"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5"/>
        <w:gridCol w:w="2100"/>
        <w:gridCol w:w="2925"/>
        <w:gridCol w:w="2280"/>
      </w:tblGrid>
      <w:tr w14:paraId="41DC83C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445" w:type="dxa"/>
            <w:tcBorders>
              <w:top w:val="single" w:color="D9D9D9" w:sz="2" w:space="0"/>
              <w:left w:val="single" w:color="D9D9D9" w:sz="2" w:space="0"/>
              <w:bottom w:val="single" w:color="D9D9D9" w:sz="2" w:space="0"/>
              <w:right w:val="single" w:color="D9D9D9" w:sz="2" w:space="0"/>
            </w:tcBorders>
            <w:shd w:val="clear" w:color="auto" w:fill="72B7EF"/>
            <w:vAlign w:val="top"/>
          </w:tcPr>
          <w:p w14:paraId="17C2E5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sz w:val="24"/>
                <w:szCs w:val="24"/>
                <w:bdr w:val="none" w:color="auto" w:sz="0" w:space="0"/>
              </w:rPr>
              <w:t>时间</w:t>
            </w:r>
          </w:p>
        </w:tc>
        <w:tc>
          <w:tcPr>
            <w:tcW w:w="2100" w:type="dxa"/>
            <w:tcBorders>
              <w:top w:val="single" w:color="D9D9D9" w:sz="2" w:space="0"/>
              <w:left w:val="single" w:color="D9D9D9" w:sz="2" w:space="0"/>
              <w:bottom w:val="single" w:color="D9D9D9" w:sz="2" w:space="0"/>
              <w:right w:val="single" w:color="D9D9D9" w:sz="2" w:space="0"/>
            </w:tcBorders>
            <w:shd w:val="clear" w:color="auto" w:fill="72B7EF"/>
            <w:vAlign w:val="top"/>
          </w:tcPr>
          <w:p w14:paraId="40141F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sz w:val="24"/>
                <w:szCs w:val="24"/>
                <w:bdr w:val="none" w:color="auto" w:sz="0" w:space="0"/>
              </w:rPr>
              <w:t>赛段</w:t>
            </w:r>
          </w:p>
        </w:tc>
        <w:tc>
          <w:tcPr>
            <w:tcW w:w="2925" w:type="dxa"/>
            <w:tcBorders>
              <w:top w:val="single" w:color="D9D9D9" w:sz="2" w:space="0"/>
              <w:left w:val="single" w:color="D9D9D9" w:sz="2" w:space="0"/>
              <w:bottom w:val="single" w:color="D9D9D9" w:sz="2" w:space="0"/>
              <w:right w:val="single" w:color="D9D9D9" w:sz="2" w:space="0"/>
            </w:tcBorders>
            <w:shd w:val="clear" w:color="auto" w:fill="72B7EF"/>
            <w:vAlign w:val="top"/>
          </w:tcPr>
          <w:p w14:paraId="6CE98E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sz w:val="24"/>
                <w:szCs w:val="24"/>
                <w:bdr w:val="none" w:color="auto" w:sz="0" w:space="0"/>
              </w:rPr>
              <w:t>环节</w:t>
            </w:r>
          </w:p>
        </w:tc>
        <w:tc>
          <w:tcPr>
            <w:tcW w:w="2280" w:type="dxa"/>
            <w:tcBorders>
              <w:top w:val="single" w:color="D9D9D9" w:sz="2" w:space="0"/>
              <w:left w:val="single" w:color="D9D9D9" w:sz="2" w:space="0"/>
              <w:bottom w:val="single" w:color="D9D9D9" w:sz="2" w:space="0"/>
              <w:right w:val="single" w:color="D9D9D9" w:sz="2" w:space="0"/>
            </w:tcBorders>
            <w:shd w:val="clear" w:color="auto" w:fill="72B7EF"/>
            <w:vAlign w:val="top"/>
          </w:tcPr>
          <w:p w14:paraId="3639CD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sz w:val="24"/>
                <w:szCs w:val="24"/>
                <w:bdr w:val="none" w:color="auto" w:sz="0" w:space="0"/>
              </w:rPr>
              <w:t>奖励&amp;数量</w:t>
            </w:r>
          </w:p>
        </w:tc>
      </w:tr>
      <w:tr w14:paraId="1200AFC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445" w:type="dxa"/>
            <w:tcBorders>
              <w:top w:val="single" w:color="D9D9D9" w:sz="2" w:space="0"/>
              <w:left w:val="single" w:color="D9D9D9" w:sz="2" w:space="0"/>
              <w:bottom w:val="single" w:color="D9D9D9" w:sz="2" w:space="0"/>
              <w:right w:val="single" w:color="D9D9D9" w:sz="2" w:space="0"/>
            </w:tcBorders>
            <w:shd w:val="clear"/>
            <w:vAlign w:val="top"/>
          </w:tcPr>
          <w:p w14:paraId="7F40DC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2026.9.10</w:t>
            </w:r>
          </w:p>
        </w:tc>
        <w:tc>
          <w:tcPr>
            <w:tcW w:w="2100" w:type="dxa"/>
            <w:tcBorders>
              <w:top w:val="single" w:color="D9D9D9" w:sz="2" w:space="0"/>
              <w:left w:val="single" w:color="D9D9D9" w:sz="2" w:space="0"/>
              <w:bottom w:val="single" w:color="D9D9D9" w:sz="2" w:space="0"/>
              <w:right w:val="single" w:color="D9D9D9" w:sz="2" w:space="0"/>
            </w:tcBorders>
            <w:shd w:val="clear"/>
            <w:vAlign w:val="top"/>
          </w:tcPr>
          <w:p w14:paraId="3B5FF4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赛事启动</w:t>
            </w:r>
          </w:p>
        </w:tc>
        <w:tc>
          <w:tcPr>
            <w:tcW w:w="2925" w:type="dxa"/>
            <w:tcBorders>
              <w:top w:val="single" w:color="D9D9D9" w:sz="2" w:space="0"/>
              <w:left w:val="single" w:color="D9D9D9" w:sz="2" w:space="0"/>
              <w:bottom w:val="single" w:color="D9D9D9" w:sz="2" w:space="0"/>
              <w:right w:val="single" w:color="D9D9D9" w:sz="2" w:space="0"/>
            </w:tcBorders>
            <w:shd w:val="clear"/>
            <w:vAlign w:val="top"/>
          </w:tcPr>
          <w:p w14:paraId="473F59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官网报名</w:t>
            </w:r>
          </w:p>
        </w:tc>
        <w:tc>
          <w:tcPr>
            <w:tcW w:w="2280" w:type="dxa"/>
            <w:vMerge w:val="restart"/>
            <w:tcBorders>
              <w:top w:val="single" w:color="D9D9D9" w:sz="2" w:space="0"/>
              <w:left w:val="single" w:color="D9D9D9" w:sz="2" w:space="0"/>
              <w:bottom w:val="single" w:color="D9D9D9" w:sz="2" w:space="0"/>
              <w:right w:val="single" w:color="D9D9D9" w:sz="2" w:space="0"/>
            </w:tcBorders>
            <w:shd w:val="clear"/>
            <w:vAlign w:val="center"/>
          </w:tcPr>
          <w:p w14:paraId="324356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入围作品：200件</w:t>
            </w:r>
          </w:p>
          <w:p w14:paraId="2F3EFC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选中愿望：5个</w:t>
            </w:r>
          </w:p>
          <w:p w14:paraId="704E25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76716F"/>
                <w:sz w:val="24"/>
                <w:szCs w:val="24"/>
                <w:bdr w:val="none" w:color="auto" w:sz="0" w:space="0"/>
              </w:rPr>
              <w:t>*愿望从阿宝许愿池中选取</w:t>
            </w:r>
          </w:p>
        </w:tc>
      </w:tr>
      <w:tr w14:paraId="787EB12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445" w:type="dxa"/>
            <w:tcBorders>
              <w:top w:val="single" w:color="D9D9D9" w:sz="2" w:space="0"/>
              <w:left w:val="single" w:color="D9D9D9" w:sz="2" w:space="0"/>
              <w:bottom w:val="single" w:color="D9D9D9" w:sz="2" w:space="0"/>
              <w:right w:val="single" w:color="D9D9D9" w:sz="2" w:space="0"/>
            </w:tcBorders>
            <w:shd w:val="clear" w:color="auto" w:fill="FFFFFF"/>
            <w:vAlign w:val="top"/>
          </w:tcPr>
          <w:p w14:paraId="207009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2026.9.10-12.06零点</w:t>
            </w:r>
          </w:p>
        </w:tc>
        <w:tc>
          <w:tcPr>
            <w:tcW w:w="2100" w:type="dxa"/>
            <w:vMerge w:val="restart"/>
            <w:tcBorders>
              <w:top w:val="single" w:color="D9D9D9" w:sz="2" w:space="0"/>
              <w:left w:val="single" w:color="D9D9D9" w:sz="2" w:space="0"/>
              <w:bottom w:val="single" w:color="D9D9D9" w:sz="2" w:space="0"/>
              <w:right w:val="single" w:color="D9D9D9" w:sz="2" w:space="0"/>
            </w:tcBorders>
            <w:shd w:val="clear" w:color="auto" w:fill="FFFFFF"/>
            <w:vAlign w:val="center"/>
          </w:tcPr>
          <w:p w14:paraId="44443C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首轮季度赛</w:t>
            </w:r>
          </w:p>
        </w:tc>
        <w:tc>
          <w:tcPr>
            <w:tcW w:w="2925" w:type="dxa"/>
            <w:tcBorders>
              <w:top w:val="single" w:color="D9D9D9" w:sz="2" w:space="0"/>
              <w:left w:val="single" w:color="D9D9D9" w:sz="2" w:space="0"/>
              <w:bottom w:val="single" w:color="D9D9D9" w:sz="2" w:space="0"/>
              <w:right w:val="single" w:color="D9D9D9" w:sz="2" w:space="0"/>
            </w:tcBorders>
            <w:shd w:val="clear" w:color="auto" w:fill="FFFFFF"/>
            <w:vAlign w:val="top"/>
          </w:tcPr>
          <w:p w14:paraId="1E3ECC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作品提交</w:t>
            </w:r>
          </w:p>
        </w:tc>
        <w:tc>
          <w:tcPr>
            <w:tcW w:w="2280" w:type="dxa"/>
            <w:vMerge w:val="continue"/>
            <w:tcBorders>
              <w:top w:val="single" w:color="D9D9D9" w:sz="2" w:space="0"/>
              <w:left w:val="single" w:color="D9D9D9" w:sz="2" w:space="0"/>
              <w:bottom w:val="single" w:color="D9D9D9" w:sz="2" w:space="0"/>
              <w:right w:val="single" w:color="D9D9D9" w:sz="2" w:space="0"/>
            </w:tcBorders>
            <w:shd w:val="clear"/>
            <w:vAlign w:val="center"/>
          </w:tcPr>
          <w:p w14:paraId="5E12F916">
            <w:pPr>
              <w:rPr>
                <w:rFonts w:hint="eastAsia" w:ascii="宋体"/>
                <w:sz w:val="24"/>
                <w:szCs w:val="24"/>
              </w:rPr>
            </w:pPr>
          </w:p>
        </w:tc>
      </w:tr>
      <w:tr w14:paraId="42D6D08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445" w:type="dxa"/>
            <w:tcBorders>
              <w:top w:val="single" w:color="D9D9D9" w:sz="2" w:space="0"/>
              <w:left w:val="single" w:color="D9D9D9" w:sz="2" w:space="0"/>
              <w:bottom w:val="single" w:color="D9D9D9" w:sz="2" w:space="0"/>
              <w:right w:val="single" w:color="D9D9D9" w:sz="2" w:space="0"/>
            </w:tcBorders>
            <w:shd w:val="clear" w:color="auto" w:fill="FFFFFF"/>
            <w:vAlign w:val="top"/>
          </w:tcPr>
          <w:p w14:paraId="750E18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2026.12.07-12.15</w:t>
            </w:r>
          </w:p>
        </w:tc>
        <w:tc>
          <w:tcPr>
            <w:tcW w:w="2100" w:type="dxa"/>
            <w:vMerge w:val="continue"/>
            <w:tcBorders>
              <w:top w:val="single" w:color="D9D9D9" w:sz="2" w:space="0"/>
              <w:left w:val="single" w:color="D9D9D9" w:sz="2" w:space="0"/>
              <w:bottom w:val="single" w:color="D9D9D9" w:sz="2" w:space="0"/>
              <w:right w:val="single" w:color="D9D9D9" w:sz="2" w:space="0"/>
            </w:tcBorders>
            <w:shd w:val="clear" w:color="auto" w:fill="FFFFFF"/>
            <w:vAlign w:val="center"/>
          </w:tcPr>
          <w:p w14:paraId="626B6466">
            <w:pPr>
              <w:rPr>
                <w:rFonts w:hint="eastAsia" w:ascii="宋体"/>
                <w:sz w:val="24"/>
                <w:szCs w:val="24"/>
              </w:rPr>
            </w:pPr>
          </w:p>
        </w:tc>
        <w:tc>
          <w:tcPr>
            <w:tcW w:w="2925" w:type="dxa"/>
            <w:tcBorders>
              <w:top w:val="single" w:color="D9D9D9" w:sz="2" w:space="0"/>
              <w:left w:val="single" w:color="D9D9D9" w:sz="2" w:space="0"/>
              <w:bottom w:val="single" w:color="D9D9D9" w:sz="2" w:space="0"/>
              <w:right w:val="single" w:color="D9D9D9" w:sz="2" w:space="0"/>
            </w:tcBorders>
            <w:shd w:val="clear" w:color="auto" w:fill="FFFFFF"/>
            <w:vAlign w:val="top"/>
          </w:tcPr>
          <w:p w14:paraId="21756F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专家评审</w:t>
            </w:r>
          </w:p>
        </w:tc>
        <w:tc>
          <w:tcPr>
            <w:tcW w:w="2280" w:type="dxa"/>
            <w:vMerge w:val="continue"/>
            <w:tcBorders>
              <w:top w:val="single" w:color="D9D9D9" w:sz="2" w:space="0"/>
              <w:left w:val="single" w:color="D9D9D9" w:sz="2" w:space="0"/>
              <w:bottom w:val="single" w:color="D9D9D9" w:sz="2" w:space="0"/>
              <w:right w:val="single" w:color="D9D9D9" w:sz="2" w:space="0"/>
            </w:tcBorders>
            <w:shd w:val="clear"/>
            <w:vAlign w:val="center"/>
          </w:tcPr>
          <w:p w14:paraId="325392AF">
            <w:pPr>
              <w:rPr>
                <w:rFonts w:hint="eastAsia" w:ascii="宋体"/>
                <w:sz w:val="24"/>
                <w:szCs w:val="24"/>
              </w:rPr>
            </w:pPr>
          </w:p>
        </w:tc>
      </w:tr>
      <w:tr w14:paraId="0975760C">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445" w:type="dxa"/>
            <w:tcBorders>
              <w:top w:val="single" w:color="D9D9D9" w:sz="2" w:space="0"/>
              <w:left w:val="single" w:color="D9D9D9" w:sz="2" w:space="0"/>
              <w:bottom w:val="single" w:color="D9D9D9" w:sz="2" w:space="0"/>
              <w:right w:val="single" w:color="D9D9D9" w:sz="2" w:space="0"/>
            </w:tcBorders>
            <w:shd w:val="clear" w:color="auto" w:fill="FFFFFF"/>
            <w:vAlign w:val="top"/>
          </w:tcPr>
          <w:p w14:paraId="1F4115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2026.12月底</w:t>
            </w:r>
          </w:p>
        </w:tc>
        <w:tc>
          <w:tcPr>
            <w:tcW w:w="2100" w:type="dxa"/>
            <w:vMerge w:val="continue"/>
            <w:tcBorders>
              <w:top w:val="single" w:color="D9D9D9" w:sz="2" w:space="0"/>
              <w:left w:val="single" w:color="D9D9D9" w:sz="2" w:space="0"/>
              <w:bottom w:val="single" w:color="D9D9D9" w:sz="2" w:space="0"/>
              <w:right w:val="single" w:color="D9D9D9" w:sz="2" w:space="0"/>
            </w:tcBorders>
            <w:shd w:val="clear" w:color="auto" w:fill="FFFFFF"/>
            <w:vAlign w:val="center"/>
          </w:tcPr>
          <w:p w14:paraId="3BF00FA9">
            <w:pPr>
              <w:rPr>
                <w:rFonts w:hint="eastAsia" w:ascii="宋体"/>
                <w:sz w:val="24"/>
                <w:szCs w:val="24"/>
              </w:rPr>
            </w:pPr>
          </w:p>
        </w:tc>
        <w:tc>
          <w:tcPr>
            <w:tcW w:w="2925" w:type="dxa"/>
            <w:tcBorders>
              <w:top w:val="single" w:color="D9D9D9" w:sz="2" w:space="0"/>
              <w:left w:val="single" w:color="D9D9D9" w:sz="2" w:space="0"/>
              <w:bottom w:val="single" w:color="D9D9D9" w:sz="2" w:space="0"/>
              <w:right w:val="single" w:color="D9D9D9" w:sz="2" w:space="0"/>
            </w:tcBorders>
            <w:shd w:val="clear" w:color="auto" w:fill="FFFFFF"/>
            <w:vAlign w:val="top"/>
          </w:tcPr>
          <w:p w14:paraId="339CBD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赛果公布</w:t>
            </w:r>
          </w:p>
        </w:tc>
        <w:tc>
          <w:tcPr>
            <w:tcW w:w="2280" w:type="dxa"/>
            <w:vMerge w:val="continue"/>
            <w:tcBorders>
              <w:top w:val="single" w:color="D9D9D9" w:sz="2" w:space="0"/>
              <w:left w:val="single" w:color="D9D9D9" w:sz="2" w:space="0"/>
              <w:bottom w:val="single" w:color="D9D9D9" w:sz="2" w:space="0"/>
              <w:right w:val="single" w:color="D9D9D9" w:sz="2" w:space="0"/>
            </w:tcBorders>
            <w:shd w:val="clear"/>
            <w:vAlign w:val="center"/>
          </w:tcPr>
          <w:p w14:paraId="14BE3955">
            <w:pPr>
              <w:rPr>
                <w:rFonts w:hint="eastAsia" w:ascii="宋体"/>
                <w:sz w:val="24"/>
                <w:szCs w:val="24"/>
              </w:rPr>
            </w:pPr>
          </w:p>
        </w:tc>
      </w:tr>
      <w:tr w14:paraId="1528145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445" w:type="dxa"/>
            <w:tcBorders>
              <w:top w:val="single" w:color="D9D9D9" w:sz="2" w:space="0"/>
              <w:left w:val="single" w:color="D9D9D9" w:sz="2" w:space="0"/>
              <w:bottom w:val="single" w:color="D9D9D9" w:sz="2" w:space="0"/>
              <w:right w:val="single" w:color="D9D9D9" w:sz="2" w:space="0"/>
            </w:tcBorders>
            <w:shd w:val="clear" w:color="auto" w:fill="FFFFFF"/>
            <w:vAlign w:val="center"/>
          </w:tcPr>
          <w:p w14:paraId="36C5E2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2027.Q4</w:t>
            </w:r>
          </w:p>
        </w:tc>
        <w:tc>
          <w:tcPr>
            <w:tcW w:w="2100" w:type="dxa"/>
            <w:tcBorders>
              <w:top w:val="single" w:color="D9D9D9" w:sz="2" w:space="0"/>
              <w:left w:val="single" w:color="D9D9D9" w:sz="2" w:space="0"/>
              <w:bottom w:val="single" w:color="D9D9D9" w:sz="2" w:space="0"/>
              <w:right w:val="single" w:color="D9D9D9" w:sz="2" w:space="0"/>
            </w:tcBorders>
            <w:shd w:val="clear" w:color="auto" w:fill="FFFFFF"/>
            <w:vAlign w:val="center"/>
          </w:tcPr>
          <w:p w14:paraId="782D83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年度评选</w:t>
            </w:r>
          </w:p>
        </w:tc>
        <w:tc>
          <w:tcPr>
            <w:tcW w:w="2925" w:type="dxa"/>
            <w:tcBorders>
              <w:top w:val="single" w:color="D9D9D9" w:sz="2" w:space="0"/>
              <w:left w:val="single" w:color="D9D9D9" w:sz="2" w:space="0"/>
              <w:bottom w:val="single" w:color="D9D9D9" w:sz="2" w:space="0"/>
              <w:right w:val="single" w:color="D9D9D9" w:sz="2" w:space="0"/>
            </w:tcBorders>
            <w:shd w:val="clear" w:color="auto" w:fill="FFFFFF"/>
            <w:vAlign w:val="center"/>
          </w:tcPr>
          <w:p w14:paraId="0DF195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年度最佳智能体评选和颁奖</w:t>
            </w:r>
          </w:p>
        </w:tc>
        <w:tc>
          <w:tcPr>
            <w:tcW w:w="2280" w:type="dxa"/>
            <w:tcBorders>
              <w:top w:val="single" w:color="D9D9D9" w:sz="2" w:space="0"/>
              <w:left w:val="single" w:color="D9D9D9" w:sz="2" w:space="0"/>
              <w:bottom w:val="single" w:color="D9D9D9" w:sz="2" w:space="0"/>
              <w:right w:val="single" w:color="D9D9D9" w:sz="2" w:space="0"/>
            </w:tcBorders>
            <w:shd w:val="clear" w:color="auto" w:fill="FFFFFF"/>
            <w:vAlign w:val="center"/>
          </w:tcPr>
          <w:p w14:paraId="3E6824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年度最佳智能体：1名，奖励100万元</w:t>
            </w:r>
          </w:p>
        </w:tc>
      </w:tr>
    </w:tbl>
    <w:p w14:paraId="32D1D3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以上时间均以北京时间为准，后续每季度赛及年度评选的赛程安排敬请期待，具体开放、截止、评审和公布等时间节点以赛事官网及每季度官方公告为准。</w:t>
      </w:r>
    </w:p>
    <w:p w14:paraId="460B5749">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3. 季度赛周期</w:t>
      </w:r>
    </w:p>
    <w:p w14:paraId="59A270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季度赛共分为4期，每期持续一个季度，第一期季度赛周期为北京时间2026年9月10日0:00:00-2026年12月06日23:59:59，第二三四期待开启，敬请期待；活动时间可能根据活动实际效果进行调整，具体以大赛官网公告为准，以下为第一期季度赛的节奏：</w:t>
      </w:r>
    </w:p>
    <w:p w14:paraId="2BE6A3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3.1 【9月10日】开放作品及愿望投递；</w:t>
      </w:r>
    </w:p>
    <w:p w14:paraId="400368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3.2 【12月06日】停止接收本季度投稿；</w:t>
      </w:r>
    </w:p>
    <w:p w14:paraId="6145F3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3.3 截止后进入资格核验和评审；</w:t>
      </w:r>
    </w:p>
    <w:p w14:paraId="032EA6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3.4 本期季度赛评选200件原创作品和5个愿望晋级入围；</w:t>
      </w:r>
    </w:p>
    <w:p w14:paraId="69C2F6F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3.5 结果在12月底公布，具体以后续安排为准。</w:t>
      </w:r>
    </w:p>
    <w:p w14:paraId="50D47483">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4. 年度评选</w:t>
      </w:r>
    </w:p>
    <w:p w14:paraId="602B2E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4.1 四期活动的总入围作品自动进入年度候选池。主办方将结合季度赛评审结果、作品上线后的持续维护效果、运营数据表现及实际用户反馈，进行年度评审。</w:t>
      </w:r>
    </w:p>
    <w:p w14:paraId="2DFD04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4.2 作品进入年度候选池后，参赛者应持续维护作品的正常访问和服务能力。</w:t>
      </w:r>
    </w:p>
    <w:p w14:paraId="42AB4863">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四、参赛资格</w:t>
      </w:r>
    </w:p>
    <w:p w14:paraId="59A7B519">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参赛主体</w:t>
      </w:r>
    </w:p>
    <w:p w14:paraId="010FDC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赛事面向以下主体开放，个人或团队（团队人数2-4人）均可参赛：</w:t>
      </w:r>
    </w:p>
    <w:p w14:paraId="64C9F2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1.1 普通个人参赛者；</w:t>
      </w:r>
    </w:p>
    <w:p w14:paraId="5149F2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1.2 个人开发者、超级个体（OPC）；</w:t>
      </w:r>
    </w:p>
    <w:p w14:paraId="2470CC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1.3 高校学生；</w:t>
      </w:r>
    </w:p>
    <w:p w14:paraId="534941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1.4 商家、经营者及企业开发团队；</w:t>
      </w:r>
    </w:p>
    <w:p w14:paraId="206339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1.5 其他符合赛事要求的智能体创作者。</w:t>
      </w:r>
    </w:p>
    <w:p w14:paraId="775B688F">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参赛限制</w:t>
      </w:r>
    </w:p>
    <w:p w14:paraId="1CD842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阿里巴巴集团及蚂蚁集团全体员工（含实习生、外包人员）参与本次赛事，不参与比赛入围和相关奖项&amp;奖励评选。</w:t>
      </w:r>
    </w:p>
    <w:p w14:paraId="2405D523">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3. 账号要求</w:t>
      </w:r>
    </w:p>
    <w:p w14:paraId="703EE8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3.1 参赛者需使用本人合法持有的支付宝账号或赛事平台账号参赛，保证报名信息真实、准确、完整；</w:t>
      </w:r>
    </w:p>
    <w:p w14:paraId="285429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3.2 同一参赛者不得通过多账号、虚假身份等方式重复参与同一奖项评选；</w:t>
      </w:r>
    </w:p>
    <w:p w14:paraId="423584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3.3 账号实名、开放平台入驻、商家认证等要求，以具体报名页面提示为准。</w:t>
      </w:r>
    </w:p>
    <w:p w14:paraId="799DBD6E">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五、参与方式</w:t>
      </w:r>
    </w:p>
    <w:p w14:paraId="18BCCA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赛事设置作品参赛与愿望投递两种参与形式，提交愿望不视为提交参赛作品，不自动获得作品相关权益。</w:t>
      </w:r>
    </w:p>
    <w:p w14:paraId="1888F2DB">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作品参赛</w:t>
      </w:r>
    </w:p>
    <w:p w14:paraId="65ADC4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面向开发者、商家等创作主体，提交可运行的智能体作品，角逐各级奖项。</w:t>
      </w:r>
    </w:p>
    <w:p w14:paraId="635AB4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1.1 直接原创参赛：基于自身生活洞察、业务经验或原创创意，直接报名并提交智能体作品。</w:t>
      </w:r>
    </w:p>
    <w:p w14:paraId="46FC2D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1.2 响应愿望参赛：在 “蚂蚁阿宝许愿池” 选择用户提交的真实需求进行创作。用户愿望仅作需求线索，参赛者无需严格按原文实现，也不代表愿望提交者自动成为作品共同作者。如果作品使用了他人的完整方案、素材、代码或其他受保护内容，参赛者仍应自行取得必要授权。</w:t>
      </w:r>
    </w:p>
    <w:p w14:paraId="06EDDD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1.3 提交方式</w:t>
      </w:r>
    </w:p>
    <w:p w14:paraId="05ED6E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两种提交方式二选一即可：</w:t>
      </w:r>
    </w:p>
    <w:p w14:paraId="5B15BC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（1）提交可公开访问、或经授权可访问的作品URL；</w:t>
      </w:r>
    </w:p>
    <w:p w14:paraId="24D6CD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（2）上传作品ZIP压缩包。</w:t>
      </w:r>
    </w:p>
    <w:p w14:paraId="7961DD51">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愿望投递</w:t>
      </w:r>
    </w:p>
    <w:p w14:paraId="7D5ACD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面向所有用户，围绕生活需求或创意愿望进行许愿，成功投递的愿望有机会成为 “金点子”。</w:t>
      </w:r>
    </w:p>
    <w:p w14:paraId="40B72F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2.1 投递入口</w:t>
      </w:r>
    </w:p>
    <w:p w14:paraId="151064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（1）蚂蚁阿宝主对话：发送赛事相关关键词进入愿望投递页面；</w:t>
      </w:r>
    </w:p>
    <w:p w14:paraId="798E59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（2）赛事官网：通过 “蚂蚁阿宝许愿池” 直接提交许愿；</w:t>
      </w:r>
    </w:p>
    <w:p w14:paraId="2F4252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（3）社交平台：在赛事指定社交平台带指定话题发布图文或视频（指定社交平台暂包括小红书、微信视频号和哔哩哔哩。每季度实际开放的平台及指定话题，以当期页面为准。）；</w:t>
      </w:r>
    </w:p>
    <w:p w14:paraId="0D9C73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 xml:space="preserve">（4）通过主办方后续公布的其他入口提交。 </w:t>
      </w:r>
    </w:p>
    <w:p w14:paraId="4E56A4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2.2 愿望归属规则</w:t>
      </w:r>
    </w:p>
    <w:p w14:paraId="2BCBE7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（1）多个用户提交实质相同的愿望时，原则上以系统记录中最先完成有效提交的用户作为该愿望的归属人；</w:t>
      </w:r>
    </w:p>
    <w:p w14:paraId="5A2144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（2）“实质相同”的判定由主办方根据问题场景、目标人群、核心需求和解决方向综合判断，不以文字是否完全一致为唯一标准；</w:t>
      </w:r>
    </w:p>
    <w:p w14:paraId="6384AF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（3）愿望的首发归属仅用于“金点子”激励认定，不代表愿望提交者取得对抽象创意、需求或参赛作品的知识产权。</w:t>
      </w:r>
    </w:p>
    <w:p w14:paraId="488D4716">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3. 参赛工具说明</w:t>
      </w:r>
    </w:p>
    <w:p w14:paraId="2E0764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QMUSE等官方推荐工具为可选参赛工具，不构成参赛资格或获奖的必要条件，参赛者可使用其他符合法律法规和安全要求的工具完成作品。</w:t>
      </w:r>
    </w:p>
    <w:p w14:paraId="56D9A7D2">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六、参赛作品要求</w:t>
      </w:r>
    </w:p>
    <w:p w14:paraId="66DFB07A">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基本要求</w:t>
      </w:r>
    </w:p>
    <w:p w14:paraId="1044DA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1.1 参赛素材及作品需参赛者享有合法权利，不得存在侵犯第三方知识产权、侵犯他人肖像权、隐私权等人身权利、用户信息的行为，不得存在不正当竞争及违反法律法规、公序良俗的内容，且应通过主办方审核。</w:t>
      </w:r>
    </w:p>
    <w:p w14:paraId="13A7DB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1.2 参赛作品需具备可独立运行、可交互体验、可被调用的技术特性，符合支付宝内容接入规范；获奖作品有机会接入蚂蚁阿宝，被蚂蚁阿宝主对话推荐调用，获得平台流量与持续运营支持。</w:t>
      </w:r>
    </w:p>
    <w:p w14:paraId="3501FB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1.3 作品为可实际运行/访问的智能体，而非单纯的概念描述、效果图或演示文稿；</w:t>
      </w:r>
    </w:p>
    <w:p w14:paraId="4E2AE4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1.4 具备清晰的目标用户、使用场景与核心任务，能体现AI在该场景的独特价值；</w:t>
      </w:r>
    </w:p>
    <w:p w14:paraId="3A6F95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1.5 投稿及评审期间保持可访问、可体验状态；</w:t>
      </w:r>
    </w:p>
    <w:p w14:paraId="50AAB9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1.6 提交信息真实、完整、有效；</w:t>
      </w:r>
    </w:p>
    <w:p w14:paraId="1EA9D8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1.7 参赛作品不得和其他大赛参赛作品出现重复投递等行为；</w:t>
      </w:r>
    </w:p>
    <w:p w14:paraId="61C010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1.8 符合国家法律法规及支付宝平台相关规范。</w:t>
      </w:r>
    </w:p>
    <w:p w14:paraId="683F4E58">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投稿材料</w:t>
      </w:r>
    </w:p>
    <w:p w14:paraId="3F452CB7">
      <w:pPr>
        <w:pStyle w:val="4"/>
        <w:keepNext w:val="0"/>
        <w:keepLines w:val="0"/>
        <w:widowControl/>
        <w:suppressLineNumbers w:val="0"/>
        <w:spacing w:before="75" w:beforeAutospacing="0" w:after="38" w:afterAutospacing="0" w:line="23" w:lineRule="atLeast"/>
        <w:ind w:left="0" w:right="0"/>
        <w:jc w:val="left"/>
        <w:rPr>
          <w:sz w:val="24"/>
          <w:szCs w:val="24"/>
        </w:rPr>
      </w:pPr>
      <w:r>
        <w:rPr>
          <w:sz w:val="24"/>
          <w:szCs w:val="24"/>
        </w:rPr>
        <w:t>2.1 每件作品需提交以下材料：</w:t>
      </w:r>
    </w:p>
    <w:tbl>
      <w:tblPr>
        <w:tblW w:w="11190"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5"/>
        <w:gridCol w:w="8865"/>
      </w:tblGrid>
      <w:tr w14:paraId="7E3B432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325" w:type="dxa"/>
            <w:tcBorders>
              <w:top w:val="single" w:color="D9D9D9" w:sz="2" w:space="0"/>
              <w:left w:val="single" w:color="D9D9D9" w:sz="2" w:space="0"/>
              <w:bottom w:val="single" w:color="D9D9D9" w:sz="2" w:space="0"/>
              <w:right w:val="single" w:color="D9D9D9" w:sz="2" w:space="0"/>
            </w:tcBorders>
            <w:shd w:val="clear" w:color="auto" w:fill="72B7EF"/>
            <w:vAlign w:val="top"/>
          </w:tcPr>
          <w:p w14:paraId="0232F3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类别</w:t>
            </w:r>
          </w:p>
        </w:tc>
        <w:tc>
          <w:tcPr>
            <w:tcW w:w="8865" w:type="dxa"/>
            <w:tcBorders>
              <w:top w:val="single" w:color="D9D9D9" w:sz="2" w:space="0"/>
              <w:left w:val="single" w:color="D9D9D9" w:sz="2" w:space="0"/>
              <w:bottom w:val="single" w:color="D9D9D9" w:sz="2" w:space="0"/>
              <w:right w:val="single" w:color="D9D9D9" w:sz="2" w:space="0"/>
            </w:tcBorders>
            <w:shd w:val="clear" w:color="auto" w:fill="72B7EF"/>
            <w:vAlign w:val="top"/>
          </w:tcPr>
          <w:p w14:paraId="153651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提交材料</w:t>
            </w:r>
          </w:p>
        </w:tc>
      </w:tr>
      <w:tr w14:paraId="6362847B">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325" w:type="dxa"/>
            <w:tcBorders>
              <w:top w:val="single" w:color="D9D9D9" w:sz="2" w:space="0"/>
              <w:left w:val="single" w:color="D9D9D9" w:sz="2" w:space="0"/>
              <w:bottom w:val="single" w:color="D9D9D9" w:sz="2" w:space="0"/>
              <w:right w:val="single" w:color="D9D9D9" w:sz="2" w:space="0"/>
            </w:tcBorders>
            <w:shd w:val="clear"/>
            <w:vAlign w:val="center"/>
          </w:tcPr>
          <w:p w14:paraId="629CC1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团队信息</w:t>
            </w:r>
          </w:p>
        </w:tc>
        <w:tc>
          <w:tcPr>
            <w:tcW w:w="8865" w:type="dxa"/>
            <w:tcBorders>
              <w:top w:val="single" w:color="D9D9D9" w:sz="2" w:space="0"/>
              <w:left w:val="single" w:color="D9D9D9" w:sz="2" w:space="0"/>
              <w:bottom w:val="single" w:color="D9D9D9" w:sz="2" w:space="0"/>
              <w:right w:val="single" w:color="D9D9D9" w:sz="2" w:space="0"/>
            </w:tcBorders>
            <w:shd w:val="clear"/>
            <w:vAlign w:val="center"/>
          </w:tcPr>
          <w:p w14:paraId="239AA6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（1）参赛者或团队介绍。</w:t>
            </w:r>
          </w:p>
        </w:tc>
      </w:tr>
      <w:tr w14:paraId="22AD869C">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325" w:type="dxa"/>
            <w:tcBorders>
              <w:top w:val="single" w:color="D9D9D9" w:sz="2" w:space="0"/>
              <w:left w:val="single" w:color="D9D9D9" w:sz="2" w:space="0"/>
              <w:bottom w:val="single" w:color="D9D9D9" w:sz="2" w:space="0"/>
              <w:right w:val="single" w:color="D9D9D9" w:sz="2" w:space="0"/>
            </w:tcBorders>
            <w:shd w:val="clear"/>
            <w:vAlign w:val="center"/>
          </w:tcPr>
          <w:p w14:paraId="0FE57B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作品信息</w:t>
            </w:r>
          </w:p>
        </w:tc>
        <w:tc>
          <w:tcPr>
            <w:tcW w:w="8865" w:type="dxa"/>
            <w:tcBorders>
              <w:top w:val="single" w:color="D9D9D9" w:sz="2" w:space="0"/>
              <w:left w:val="single" w:color="D9D9D9" w:sz="2" w:space="0"/>
              <w:bottom w:val="single" w:color="D9D9D9" w:sz="2" w:space="0"/>
              <w:right w:val="single" w:color="D9D9D9" w:sz="2" w:space="0"/>
            </w:tcBorders>
            <w:shd w:val="clear"/>
            <w:vAlign w:val="center"/>
          </w:tcPr>
          <w:p w14:paraId="0829EB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（1）作品名称，一句话概括产品形态，如 App/小程序/网站/ Agent/硬件/Skill等，并简单说明你的动机或灵感来源；</w:t>
            </w:r>
          </w:p>
          <w:p w14:paraId="1D1C6D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（2）作品访问URL或ZIP安装包。</w:t>
            </w:r>
          </w:p>
        </w:tc>
      </w:tr>
      <w:tr w14:paraId="4E0C62F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325" w:type="dxa"/>
            <w:tcBorders>
              <w:top w:val="single" w:color="D9D9D9" w:sz="2" w:space="0"/>
              <w:left w:val="single" w:color="D9D9D9" w:sz="2" w:space="0"/>
              <w:bottom w:val="single" w:color="D9D9D9" w:sz="2" w:space="0"/>
              <w:right w:val="single" w:color="D9D9D9" w:sz="2" w:space="0"/>
            </w:tcBorders>
            <w:shd w:val="clear"/>
            <w:vAlign w:val="center"/>
          </w:tcPr>
          <w:p w14:paraId="033DEB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作品说明</w:t>
            </w:r>
          </w:p>
        </w:tc>
        <w:tc>
          <w:tcPr>
            <w:tcW w:w="8865" w:type="dxa"/>
            <w:tcBorders>
              <w:top w:val="single" w:color="D9D9D9" w:sz="2" w:space="0"/>
              <w:left w:val="single" w:color="D9D9D9" w:sz="2" w:space="0"/>
              <w:bottom w:val="single" w:color="D9D9D9" w:sz="2" w:space="0"/>
              <w:right w:val="single" w:color="D9D9D9" w:sz="2" w:space="0"/>
            </w:tcBorders>
            <w:shd w:val="clear"/>
            <w:vAlign w:val="center"/>
          </w:tcPr>
          <w:p w14:paraId="44D7AA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（1）目标用户、解决的具体问题，即谁在什么情况下遇到了什么问题，这个产品具体帮助用户完成什么；</w:t>
            </w:r>
          </w:p>
          <w:p w14:paraId="0D7447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（2）核心功能与使用说明，即用户如何使用，最后得到什么结果，作品的特色和实际价值；</w:t>
            </w:r>
          </w:p>
          <w:p w14:paraId="1EA127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（3）所使用的主要模型、工具、第三方服务或数据来源。</w:t>
            </w:r>
          </w:p>
        </w:tc>
      </w:tr>
      <w:tr w14:paraId="218BF741">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325" w:type="dxa"/>
            <w:tcBorders>
              <w:top w:val="single" w:color="D9D9D9" w:sz="2" w:space="0"/>
              <w:left w:val="single" w:color="D9D9D9" w:sz="2" w:space="0"/>
              <w:bottom w:val="single" w:color="D9D9D9" w:sz="2" w:space="0"/>
              <w:right w:val="single" w:color="D9D9D9" w:sz="2" w:space="0"/>
            </w:tcBorders>
            <w:shd w:val="clear"/>
            <w:vAlign w:val="center"/>
          </w:tcPr>
          <w:p w14:paraId="0F254D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作品演示</w:t>
            </w:r>
          </w:p>
        </w:tc>
        <w:tc>
          <w:tcPr>
            <w:tcW w:w="8865" w:type="dxa"/>
            <w:tcBorders>
              <w:top w:val="single" w:color="D9D9D9" w:sz="2" w:space="0"/>
              <w:left w:val="single" w:color="D9D9D9" w:sz="2" w:space="0"/>
              <w:bottom w:val="single" w:color="D9D9D9" w:sz="2" w:space="0"/>
              <w:right w:val="single" w:color="D9D9D9" w:sz="2" w:space="0"/>
            </w:tcBorders>
            <w:shd w:val="clear"/>
            <w:vAlign w:val="center"/>
          </w:tcPr>
          <w:p w14:paraId="56A1AD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（1）封面图片，裁剪比例16:9，体积不超过5MB；</w:t>
            </w:r>
          </w:p>
          <w:p w14:paraId="3F2EF7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（2）作品介绍视频（选填），支持MP4/AVI/MOV，最大500MB；</w:t>
            </w:r>
          </w:p>
          <w:p w14:paraId="762817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（3）主办方要求的其他材料。</w:t>
            </w:r>
          </w:p>
        </w:tc>
      </w:tr>
    </w:tbl>
    <w:p w14:paraId="30A2C0C8">
      <w:pPr>
        <w:pStyle w:val="4"/>
        <w:keepNext w:val="0"/>
        <w:keepLines w:val="0"/>
        <w:widowControl/>
        <w:suppressLineNumbers w:val="0"/>
        <w:spacing w:before="75" w:beforeAutospacing="0" w:after="38" w:afterAutospacing="0" w:line="23" w:lineRule="atLeast"/>
        <w:ind w:left="0" w:right="0"/>
        <w:jc w:val="left"/>
        <w:rPr>
          <w:sz w:val="24"/>
          <w:szCs w:val="24"/>
        </w:rPr>
      </w:pPr>
      <w:r>
        <w:rPr>
          <w:sz w:val="24"/>
          <w:szCs w:val="24"/>
        </w:rPr>
        <w:t>2.2 投稿创作指引</w:t>
      </w:r>
    </w:p>
    <w:p w14:paraId="790288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shd w:val="clear" w:fill="FEF6E9"/>
        </w:rPr>
        <w:t>可通过Qmuse进行创作或者部署作品，生成可公开访问的作品地址，示例</w:t>
      </w:r>
      <w:r>
        <w:rPr>
          <w:bdr w:val="none" w:color="auto" w:sz="0" w:space="0"/>
        </w:rPr>
        <w:fldChar w:fldCharType="begin"/>
      </w:r>
      <w:r>
        <w:rPr>
          <w:bdr w:val="none" w:color="auto" w:sz="0" w:space="0"/>
        </w:rPr>
        <w:instrText xml:space="preserve"> HYPERLINK "https://render.qmuse.pub/p/muse/xx" \t "_blank" </w:instrText>
      </w:r>
      <w:r>
        <w:rPr>
          <w:bdr w:val="none" w:color="auto" w:sz="0" w:space="0"/>
        </w:rPr>
        <w:fldChar w:fldCharType="separate"/>
      </w:r>
      <w:r>
        <w:rPr>
          <w:rStyle w:val="8"/>
          <w:bdr w:val="none" w:color="auto" w:sz="0" w:space="0"/>
          <w:shd w:val="clear" w:fill="FBF5CB"/>
        </w:rPr>
        <w:t>https://render.qmuse.pub/p/muse/xx</w:t>
      </w:r>
      <w:r>
        <w:rPr>
          <w:bdr w:val="none" w:color="auto" w:sz="0" w:space="0"/>
        </w:rPr>
        <w:fldChar w:fldCharType="end"/>
      </w:r>
      <w:r>
        <w:rPr>
          <w:bdr w:val="none" w:color="auto" w:sz="0" w:space="0"/>
          <w:shd w:val="clear" w:fill="FBF5CB"/>
        </w:rPr>
        <w:t>；</w:t>
      </w:r>
    </w:p>
    <w:p w14:paraId="20B453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shd w:val="clear" w:fill="FEF6E9"/>
        </w:rPr>
        <w:t>对于非应用类作品，可以提交通过Qmuse生成作品演示链接地址；</w:t>
      </w:r>
    </w:p>
    <w:p w14:paraId="42012A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34322E"/>
          <w:bdr w:val="none" w:color="auto" w:sz="0" w:space="0"/>
          <w:shd w:val="clear" w:fill="FEF6E9"/>
        </w:rPr>
        <w:t xml:space="preserve">对话式创作（推荐新手）：在QMuse等创作平台上直接对话生成应用，最后提交可以公开访问的 URL地址即可完成参赛； </w:t>
      </w:r>
    </w:p>
    <w:p w14:paraId="075126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34322E"/>
          <w:bdr w:val="none" w:color="auto" w:sz="0" w:space="0"/>
          <w:shd w:val="clear" w:fill="FEF6E9"/>
        </w:rPr>
        <w:t>本地研发（适合开发者）：下载CLI工具包和开发模板，导入到你的 Agent，在本地完成开发、调试和预览，最后通过 CLI 命令一键提报作品。</w:t>
      </w:r>
    </w:p>
    <w:p w14:paraId="605B99C3">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3. 原创性与唯一性</w:t>
      </w:r>
    </w:p>
    <w:p w14:paraId="69D1E6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3.1 作品可以是赛事期间全新创作的，也可是参赛者已完成的既有作品；</w:t>
      </w:r>
    </w:p>
    <w:p w14:paraId="130BD8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3.2 既有作品参赛，需在投稿期内完成实质性功能更新，并在材料中说明新增功能、体验变化等内容；仅修改名称、封面、文案等非实质内容，不视为有效更新；</w:t>
      </w:r>
    </w:p>
    <w:p w14:paraId="321726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3.3 同一作品可在不同季度重复投稿，但已获得季度入围奖的同一版本不得重复获得季度入围奖励；作品完成实质性升级后，可再次参与季度评审。</w:t>
      </w:r>
    </w:p>
    <w:p w14:paraId="580D4B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3.4 同一作品无论参与多少季度评选，年度候选池中仅保留最新有效版本。</w:t>
      </w:r>
    </w:p>
    <w:p w14:paraId="25F8687C">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4. 禁止内容</w:t>
      </w:r>
    </w:p>
    <w:p w14:paraId="710BDB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参赛作品及投稿材料不得包含：</w:t>
      </w:r>
    </w:p>
    <w:p w14:paraId="17D970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4.1 违反法律法规、监管要求或公序良俗的内容；</w:t>
      </w:r>
    </w:p>
    <w:p w14:paraId="063770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4.2 危害国家安全、公共安全或社会稳定的内容；</w:t>
      </w:r>
    </w:p>
    <w:p w14:paraId="53BBBE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4.3 淫秽、色情、暴力、赌博、毒品或其他违法内容；</w:t>
      </w:r>
    </w:p>
    <w:p w14:paraId="3DD1B4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4.4 侮辱、诽谤、歧视、骚扰或侵害他人合法权益的内容；</w:t>
      </w:r>
    </w:p>
    <w:p w14:paraId="4FDB46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4.5 未经授权使用的个人信息、隐私、肖像、声音或身份资料；</w:t>
      </w:r>
    </w:p>
    <w:p w14:paraId="159350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4.6 侵犯第三方著作权、商标权、专利权、商业秘密等权利的内容；</w:t>
      </w:r>
    </w:p>
    <w:p w14:paraId="70F69D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4.7 虚构数据、伪造案例或误导用户的内容；</w:t>
      </w:r>
    </w:p>
    <w:p w14:paraId="04F2D4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4.8 诱导转账、欺诈营销、恶意引流或其他高风险行为；</w:t>
      </w:r>
    </w:p>
    <w:p w14:paraId="30EEAF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4.9 未经许可提供医疗、金融、法律等高风险领域的确定性结论；</w:t>
      </w:r>
    </w:p>
    <w:p w14:paraId="1D3379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4.10 恶意代码、病毒、后门、攻击功能或危害平台安全的内容。</w:t>
      </w:r>
    </w:p>
    <w:p w14:paraId="658BF13D">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5. 合规声明</w:t>
      </w:r>
    </w:p>
    <w:p w14:paraId="519206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5.1 参赛者需确保参赛作品本身、作品内嵌的所有链接、跳转页面、第三方服务及外链资源，均符合国家法律法规、公序良俗及支付宝平台规则；</w:t>
      </w:r>
    </w:p>
    <w:p w14:paraId="4FC335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5.2 主办方现有技术手段无法对所有作品内嵌链接、第三方服务内容进行实时、全面的合规检测，所有外链内容的合规性、安全性由参赛者自行承担全部责任；</w:t>
      </w:r>
    </w:p>
    <w:p w14:paraId="20A591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5.3 若作品链接跳转至第三方平台产生的任何纠纷、用户损害或违规风险，均由参赛者自行负责，与主办方无关。</w:t>
      </w:r>
    </w:p>
    <w:p w14:paraId="0AE2FF75">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七、评审机制</w:t>
      </w:r>
    </w:p>
    <w:p w14:paraId="35FFAC53">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评审流程</w:t>
      </w:r>
    </w:p>
    <w:p w14:paraId="4BC6AFC6">
      <w:pPr>
        <w:pStyle w:val="4"/>
        <w:keepNext w:val="0"/>
        <w:keepLines w:val="0"/>
        <w:widowControl/>
        <w:suppressLineNumbers w:val="0"/>
        <w:spacing w:before="75" w:beforeAutospacing="0" w:after="38" w:afterAutospacing="0" w:line="23" w:lineRule="atLeast"/>
        <w:ind w:left="0" w:right="0"/>
        <w:jc w:val="left"/>
        <w:rPr>
          <w:sz w:val="24"/>
          <w:szCs w:val="24"/>
        </w:rPr>
      </w:pPr>
      <w:r>
        <w:rPr>
          <w:sz w:val="24"/>
          <w:szCs w:val="24"/>
        </w:rPr>
        <w:t>1.1 资格审核</w:t>
      </w:r>
    </w:p>
    <w:p w14:paraId="78D429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主办方对投稿作品进行基础核验，包括参赛身份、材料完整性、作品可访问性、基础合规性，如是否符合参赛方向和作品要求、是否存在明显侵权、作弊或违法违规风险等方面；未通过资格审核的作品不进入正式评审。</w:t>
      </w:r>
    </w:p>
    <w:p w14:paraId="46F29AB3">
      <w:pPr>
        <w:pStyle w:val="4"/>
        <w:keepNext w:val="0"/>
        <w:keepLines w:val="0"/>
        <w:widowControl/>
        <w:suppressLineNumbers w:val="0"/>
        <w:spacing w:before="75" w:beforeAutospacing="0" w:after="38" w:afterAutospacing="0" w:line="23" w:lineRule="atLeast"/>
        <w:ind w:left="0" w:right="0"/>
        <w:jc w:val="left"/>
        <w:rPr>
          <w:sz w:val="24"/>
          <w:szCs w:val="24"/>
        </w:rPr>
      </w:pPr>
      <w:r>
        <w:rPr>
          <w:sz w:val="24"/>
          <w:szCs w:val="24"/>
        </w:rPr>
        <w:t>1.2 季度评审</w:t>
      </w:r>
    </w:p>
    <w:p w14:paraId="255CA4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每季度投稿截止后约10个工作日内完成评审，选出200件季度入围作品。</w:t>
      </w:r>
    </w:p>
    <w:p w14:paraId="0AC27B88">
      <w:pPr>
        <w:pStyle w:val="4"/>
        <w:keepNext w:val="0"/>
        <w:keepLines w:val="0"/>
        <w:widowControl/>
        <w:suppressLineNumbers w:val="0"/>
        <w:spacing w:before="75" w:beforeAutospacing="0" w:after="38" w:afterAutospacing="0" w:line="23" w:lineRule="atLeast"/>
        <w:ind w:left="0" w:right="0"/>
        <w:jc w:val="left"/>
        <w:rPr>
          <w:sz w:val="24"/>
          <w:szCs w:val="24"/>
        </w:rPr>
      </w:pPr>
      <w:r>
        <w:rPr>
          <w:sz w:val="24"/>
          <w:szCs w:val="24"/>
        </w:rPr>
        <w:t>1.3 年度评审</w:t>
      </w:r>
    </w:p>
    <w:p w14:paraId="5C7AEA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全年四个季度的入围作品自动进入年度候选池；2027 年11月结合季度评审结果、作品上线后的真实运营数据、用户反馈进行综合评审。进入年度候选池后，参赛者需持续维护作品的正常访问与服务能力。</w:t>
      </w:r>
    </w:p>
    <w:p w14:paraId="571B843A">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评审维度</w:t>
      </w:r>
    </w:p>
    <w:p w14:paraId="48D87D8C">
      <w:pPr>
        <w:pStyle w:val="4"/>
        <w:keepNext w:val="0"/>
        <w:keepLines w:val="0"/>
        <w:widowControl/>
        <w:suppressLineNumbers w:val="0"/>
        <w:spacing w:before="75" w:beforeAutospacing="0" w:after="38" w:afterAutospacing="0" w:line="23" w:lineRule="atLeast"/>
        <w:ind w:left="0" w:right="0"/>
        <w:jc w:val="left"/>
        <w:rPr>
          <w:sz w:val="24"/>
          <w:szCs w:val="24"/>
        </w:rPr>
      </w:pPr>
      <w:r>
        <w:rPr>
          <w:sz w:val="24"/>
          <w:szCs w:val="24"/>
        </w:rPr>
        <w:t>2.1 季度评审维度</w:t>
      </w:r>
    </w:p>
    <w:tbl>
      <w:tblPr>
        <w:tblW w:w="11190"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9030"/>
      </w:tblGrid>
      <w:tr w14:paraId="6B38C0B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color="auto" w:fill="72B7EF"/>
            <w:vAlign w:val="top"/>
          </w:tcPr>
          <w:p w14:paraId="07EAEA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维度</w:t>
            </w:r>
          </w:p>
        </w:tc>
        <w:tc>
          <w:tcPr>
            <w:tcW w:w="9030" w:type="dxa"/>
            <w:tcBorders>
              <w:top w:val="single" w:color="D9D9D9" w:sz="2" w:space="0"/>
              <w:left w:val="single" w:color="D9D9D9" w:sz="2" w:space="0"/>
              <w:bottom w:val="single" w:color="D9D9D9" w:sz="2" w:space="0"/>
              <w:right w:val="single" w:color="D9D9D9" w:sz="2" w:space="0"/>
            </w:tcBorders>
            <w:shd w:val="clear" w:color="auto" w:fill="72B7EF"/>
            <w:vAlign w:val="top"/>
          </w:tcPr>
          <w:p w14:paraId="2852DF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说明</w:t>
            </w:r>
          </w:p>
        </w:tc>
      </w:tr>
      <w:tr w14:paraId="4219026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vAlign w:val="top"/>
          </w:tcPr>
          <w:p w14:paraId="02982F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用户价值</w:t>
            </w:r>
          </w:p>
        </w:tc>
        <w:tc>
          <w:tcPr>
            <w:tcW w:w="9030" w:type="dxa"/>
            <w:tcBorders>
              <w:top w:val="single" w:color="D9D9D9" w:sz="2" w:space="0"/>
              <w:left w:val="single" w:color="D9D9D9" w:sz="2" w:space="0"/>
              <w:bottom w:val="single" w:color="D9D9D9" w:sz="2" w:space="0"/>
              <w:right w:val="single" w:color="D9D9D9" w:sz="2" w:space="0"/>
            </w:tcBorders>
            <w:shd w:val="clear"/>
            <w:vAlign w:val="top"/>
          </w:tcPr>
          <w:p w14:paraId="15D71B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问题是否真实、高频且具备解决价值</w:t>
            </w:r>
          </w:p>
        </w:tc>
      </w:tr>
      <w:tr w14:paraId="25AE1D5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vAlign w:val="top"/>
          </w:tcPr>
          <w:p w14:paraId="3899F0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产品体验</w:t>
            </w:r>
          </w:p>
        </w:tc>
        <w:tc>
          <w:tcPr>
            <w:tcW w:w="9030" w:type="dxa"/>
            <w:tcBorders>
              <w:top w:val="single" w:color="D9D9D9" w:sz="2" w:space="0"/>
              <w:left w:val="single" w:color="D9D9D9" w:sz="2" w:space="0"/>
              <w:bottom w:val="single" w:color="D9D9D9" w:sz="2" w:space="0"/>
              <w:right w:val="single" w:color="D9D9D9" w:sz="2" w:space="0"/>
            </w:tcBorders>
            <w:shd w:val="clear"/>
            <w:vAlign w:val="top"/>
          </w:tcPr>
          <w:p w14:paraId="2817B2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是否易用流畅，用户是否愿意持续使用</w:t>
            </w:r>
          </w:p>
        </w:tc>
      </w:tr>
      <w:tr w14:paraId="36577F4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vAlign w:val="top"/>
          </w:tcPr>
          <w:p w14:paraId="66A7AA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AI必要性</w:t>
            </w:r>
          </w:p>
        </w:tc>
        <w:tc>
          <w:tcPr>
            <w:tcW w:w="9030" w:type="dxa"/>
            <w:tcBorders>
              <w:top w:val="single" w:color="D9D9D9" w:sz="2" w:space="0"/>
              <w:left w:val="single" w:color="D9D9D9" w:sz="2" w:space="0"/>
              <w:bottom w:val="single" w:color="D9D9D9" w:sz="2" w:space="0"/>
              <w:right w:val="single" w:color="D9D9D9" w:sz="2" w:space="0"/>
            </w:tcBorders>
            <w:shd w:val="clear"/>
            <w:vAlign w:val="top"/>
          </w:tcPr>
          <w:p w14:paraId="36C11A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AI是否创造了传统产品难以实现的价值</w:t>
            </w:r>
          </w:p>
        </w:tc>
      </w:tr>
      <w:tr w14:paraId="6A03E4A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vAlign w:val="top"/>
          </w:tcPr>
          <w:p w14:paraId="4B119F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执行能力</w:t>
            </w:r>
          </w:p>
        </w:tc>
        <w:tc>
          <w:tcPr>
            <w:tcW w:w="9030" w:type="dxa"/>
            <w:tcBorders>
              <w:top w:val="single" w:color="D9D9D9" w:sz="2" w:space="0"/>
              <w:left w:val="single" w:color="D9D9D9" w:sz="2" w:space="0"/>
              <w:bottom w:val="single" w:color="D9D9D9" w:sz="2" w:space="0"/>
              <w:right w:val="single" w:color="D9D9D9" w:sz="2" w:space="0"/>
            </w:tcBorders>
            <w:shd w:val="clear"/>
            <w:vAlign w:val="top"/>
          </w:tcPr>
          <w:p w14:paraId="335B49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创作者的洞察深度、实现能力与持续经营意愿</w:t>
            </w:r>
          </w:p>
        </w:tc>
      </w:tr>
      <w:tr w14:paraId="61D21F23">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vAlign w:val="top"/>
          </w:tcPr>
          <w:p w14:paraId="3BD632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生态适配性</w:t>
            </w:r>
          </w:p>
        </w:tc>
        <w:tc>
          <w:tcPr>
            <w:tcW w:w="9030" w:type="dxa"/>
            <w:tcBorders>
              <w:top w:val="single" w:color="D9D9D9" w:sz="2" w:space="0"/>
              <w:left w:val="single" w:color="D9D9D9" w:sz="2" w:space="0"/>
              <w:bottom w:val="single" w:color="D9D9D9" w:sz="2" w:space="0"/>
              <w:right w:val="single" w:color="D9D9D9" w:sz="2" w:space="0"/>
            </w:tcBorders>
            <w:shd w:val="clear"/>
            <w:vAlign w:val="top"/>
          </w:tcPr>
          <w:p w14:paraId="207B29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是否具备支付宝场景落地和规模化潜力</w:t>
            </w:r>
          </w:p>
        </w:tc>
      </w:tr>
      <w:tr w14:paraId="069946E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vAlign w:val="top"/>
          </w:tcPr>
          <w:p w14:paraId="56F842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责任可信</w:t>
            </w:r>
          </w:p>
        </w:tc>
        <w:tc>
          <w:tcPr>
            <w:tcW w:w="9030" w:type="dxa"/>
            <w:tcBorders>
              <w:top w:val="single" w:color="D9D9D9" w:sz="2" w:space="0"/>
              <w:left w:val="single" w:color="D9D9D9" w:sz="2" w:space="0"/>
              <w:bottom w:val="single" w:color="D9D9D9" w:sz="2" w:space="0"/>
              <w:right w:val="single" w:color="D9D9D9" w:sz="2" w:space="0"/>
            </w:tcBorders>
            <w:shd w:val="clear"/>
            <w:vAlign w:val="top"/>
          </w:tcPr>
          <w:p w14:paraId="65DAA3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是否具备基本的安全、合规、隐私和可信保障</w:t>
            </w:r>
          </w:p>
        </w:tc>
      </w:tr>
    </w:tbl>
    <w:p w14:paraId="39FCF1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上述权重用于辅助评审，不代表简单机械加总。单一维度表现特别突出的作品，也有机会晋级入围。</w:t>
      </w:r>
    </w:p>
    <w:p w14:paraId="0A658253">
      <w:pPr>
        <w:pStyle w:val="4"/>
        <w:keepNext w:val="0"/>
        <w:keepLines w:val="0"/>
        <w:widowControl/>
        <w:suppressLineNumbers w:val="0"/>
        <w:spacing w:before="75" w:beforeAutospacing="0" w:after="38" w:afterAutospacing="0" w:line="23" w:lineRule="atLeast"/>
        <w:ind w:left="0" w:right="0"/>
        <w:jc w:val="left"/>
        <w:rPr>
          <w:sz w:val="24"/>
          <w:szCs w:val="24"/>
        </w:rPr>
      </w:pPr>
      <w:r>
        <w:rPr>
          <w:sz w:val="24"/>
          <w:szCs w:val="24"/>
        </w:rPr>
        <w:t>2.2 年度评审维度</w:t>
      </w:r>
    </w:p>
    <w:p w14:paraId="1F1F51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年度评审除参考季度评审维度外，还将重点考察：</w:t>
      </w:r>
    </w:p>
    <w:p w14:paraId="60FB37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（1）入围后的真实用户使用情况；</w:t>
      </w:r>
    </w:p>
    <w:p w14:paraId="53A1FE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（2）用户留存及持续使用情况；</w:t>
      </w:r>
    </w:p>
    <w:p w14:paraId="70B1C8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（3）作品迭代和问题响应能力；</w:t>
      </w:r>
    </w:p>
    <w:p w14:paraId="480871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（4）场景接入及经营进展；</w:t>
      </w:r>
    </w:p>
    <w:p w14:paraId="686B60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（5）商业闭环或社会价值；</w:t>
      </w:r>
    </w:p>
    <w:p w14:paraId="3B12DA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（6）安全、合规和服务稳定性。</w:t>
      </w:r>
    </w:p>
    <w:p w14:paraId="05BA5D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数据口径、观察周期及数据核验方法将在年度评审开始前公布。</w:t>
      </w:r>
    </w:p>
    <w:p w14:paraId="06C74342">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3. 评委机制</w:t>
      </w:r>
    </w:p>
    <w:p w14:paraId="1DBA04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3.1 季度评审由1名内部评委+1名外部评委共同完成；年度评审由多名外部行业专家与内部评委组成评委会；</w:t>
      </w:r>
    </w:p>
    <w:p w14:paraId="3BBE95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3.2 评委具体名单、回避机制、评分方式及同分处理规则，以当期评审公告为准。</w:t>
      </w:r>
    </w:p>
    <w:p w14:paraId="3DA958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3.3 评委与参赛作品、参赛者或相关商业主体存在直接利益关系时，应主动申请回避。</w:t>
      </w:r>
    </w:p>
    <w:p w14:paraId="6AB2BEB7">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八、奖项与奖励</w:t>
      </w:r>
    </w:p>
    <w:p w14:paraId="3FA48A6D">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年度最佳智能体</w:t>
      </w:r>
    </w:p>
    <w:tbl>
      <w:tblPr>
        <w:tblW w:w="10425"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1695"/>
        <w:gridCol w:w="6570"/>
      </w:tblGrid>
      <w:tr w14:paraId="441EFB3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color="auto" w:fill="72B7EF"/>
            <w:vAlign w:val="center"/>
          </w:tcPr>
          <w:p w14:paraId="2D127D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奖项</w:t>
            </w:r>
          </w:p>
        </w:tc>
        <w:tc>
          <w:tcPr>
            <w:tcW w:w="1695" w:type="dxa"/>
            <w:tcBorders>
              <w:top w:val="single" w:color="D9D9D9" w:sz="2" w:space="0"/>
              <w:left w:val="single" w:color="D9D9D9" w:sz="2" w:space="0"/>
              <w:bottom w:val="single" w:color="D9D9D9" w:sz="2" w:space="0"/>
              <w:right w:val="single" w:color="D9D9D9" w:sz="2" w:space="0"/>
            </w:tcBorders>
            <w:shd w:val="clear" w:color="auto" w:fill="72B7EF"/>
            <w:vAlign w:val="center"/>
          </w:tcPr>
          <w:p w14:paraId="689C5E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数量</w:t>
            </w:r>
          </w:p>
        </w:tc>
        <w:tc>
          <w:tcPr>
            <w:tcW w:w="6570" w:type="dxa"/>
            <w:tcBorders>
              <w:top w:val="single" w:color="D9D9D9" w:sz="2" w:space="0"/>
              <w:left w:val="single" w:color="D9D9D9" w:sz="2" w:space="0"/>
              <w:bottom w:val="single" w:color="D9D9D9" w:sz="2" w:space="0"/>
              <w:right w:val="single" w:color="D9D9D9" w:sz="2" w:space="0"/>
            </w:tcBorders>
            <w:shd w:val="clear" w:color="auto" w:fill="72B7EF"/>
            <w:vAlign w:val="center"/>
          </w:tcPr>
          <w:p w14:paraId="59B476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奖励</w:t>
            </w:r>
          </w:p>
        </w:tc>
      </w:tr>
      <w:tr w14:paraId="6F2B103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160" w:type="dxa"/>
            <w:tcBorders>
              <w:top w:val="single" w:color="D9D9D9" w:sz="2" w:space="0"/>
              <w:left w:val="single" w:color="D9D9D9" w:sz="2" w:space="0"/>
              <w:bottom w:val="single" w:color="D9D9D9" w:sz="2" w:space="0"/>
              <w:right w:val="single" w:color="D9D9D9" w:sz="2" w:space="0"/>
            </w:tcBorders>
            <w:shd w:val="clear"/>
            <w:vAlign w:val="center"/>
          </w:tcPr>
          <w:p w14:paraId="6AAD9F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年度最佳智能体</w:t>
            </w:r>
          </w:p>
        </w:tc>
        <w:tc>
          <w:tcPr>
            <w:tcW w:w="1695" w:type="dxa"/>
            <w:tcBorders>
              <w:top w:val="single" w:color="D9D9D9" w:sz="2" w:space="0"/>
              <w:left w:val="single" w:color="D9D9D9" w:sz="2" w:space="0"/>
              <w:bottom w:val="single" w:color="D9D9D9" w:sz="2" w:space="0"/>
              <w:right w:val="single" w:color="D9D9D9" w:sz="2" w:space="0"/>
            </w:tcBorders>
            <w:shd w:val="clear"/>
            <w:vAlign w:val="center"/>
          </w:tcPr>
          <w:p w14:paraId="5D515C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1名</w:t>
            </w:r>
          </w:p>
        </w:tc>
        <w:tc>
          <w:tcPr>
            <w:tcW w:w="6570" w:type="dxa"/>
            <w:tcBorders>
              <w:top w:val="single" w:color="D9D9D9" w:sz="2" w:space="0"/>
              <w:left w:val="single" w:color="D9D9D9" w:sz="2" w:space="0"/>
              <w:bottom w:val="single" w:color="D9D9D9" w:sz="2" w:space="0"/>
              <w:right w:val="single" w:color="D9D9D9" w:sz="2" w:space="0"/>
            </w:tcBorders>
            <w:shd w:val="clear"/>
            <w:vAlign w:val="center"/>
          </w:tcPr>
          <w:p w14:paraId="57E0B4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奖金100万元</w:t>
            </w:r>
          </w:p>
        </w:tc>
      </w:tr>
    </w:tbl>
    <w:p w14:paraId="6070329E">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季度入围奖</w:t>
      </w:r>
    </w:p>
    <w:tbl>
      <w:tblPr>
        <w:tblW w:w="10455"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5"/>
        <w:gridCol w:w="2970"/>
        <w:gridCol w:w="4950"/>
      </w:tblGrid>
      <w:tr w14:paraId="5C50F7E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tblCellMar>
            <w:top w:w="15" w:type="dxa"/>
            <w:left w:w="15" w:type="dxa"/>
            <w:bottom w:w="15" w:type="dxa"/>
            <w:right w:w="15" w:type="dxa"/>
          </w:tblCellMar>
        </w:tblPrEx>
        <w:trPr>
          <w:trHeight w:val="248" w:hRule="atLeast"/>
        </w:trPr>
        <w:tc>
          <w:tcPr>
            <w:tcW w:w="2535" w:type="dxa"/>
            <w:tcBorders>
              <w:top w:val="single" w:color="D9D9D9" w:sz="2" w:space="0"/>
              <w:left w:val="single" w:color="D9D9D9" w:sz="2" w:space="0"/>
              <w:bottom w:val="single" w:color="D9D9D9" w:sz="2" w:space="0"/>
              <w:right w:val="single" w:color="D9D9D9" w:sz="2" w:space="0"/>
            </w:tcBorders>
            <w:shd w:val="clear" w:color="auto" w:fill="72B7EF"/>
            <w:vAlign w:val="center"/>
          </w:tcPr>
          <w:p w14:paraId="227E81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奖项</w:t>
            </w:r>
          </w:p>
        </w:tc>
        <w:tc>
          <w:tcPr>
            <w:tcW w:w="2970" w:type="dxa"/>
            <w:tcBorders>
              <w:top w:val="single" w:color="D9D9D9" w:sz="2" w:space="0"/>
              <w:left w:val="single" w:color="D9D9D9" w:sz="2" w:space="0"/>
              <w:bottom w:val="single" w:color="D9D9D9" w:sz="2" w:space="0"/>
              <w:right w:val="single" w:color="D9D9D9" w:sz="2" w:space="0"/>
            </w:tcBorders>
            <w:shd w:val="clear" w:color="auto" w:fill="72B7EF"/>
            <w:vAlign w:val="center"/>
          </w:tcPr>
          <w:p w14:paraId="2378D2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数量</w:t>
            </w:r>
          </w:p>
        </w:tc>
        <w:tc>
          <w:tcPr>
            <w:tcW w:w="4950" w:type="dxa"/>
            <w:tcBorders>
              <w:top w:val="single" w:color="D9D9D9" w:sz="2" w:space="0"/>
              <w:left w:val="single" w:color="D9D9D9" w:sz="2" w:space="0"/>
              <w:bottom w:val="single" w:color="D9D9D9" w:sz="2" w:space="0"/>
              <w:right w:val="single" w:color="D9D9D9" w:sz="2" w:space="0"/>
            </w:tcBorders>
            <w:shd w:val="clear" w:color="auto" w:fill="72B7EF"/>
            <w:vAlign w:val="center"/>
          </w:tcPr>
          <w:p w14:paraId="3B6746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FFFFFF"/>
                <w:bdr w:val="none" w:color="auto" w:sz="0" w:space="0"/>
              </w:rPr>
              <w:t>单项奖励</w:t>
            </w:r>
          </w:p>
        </w:tc>
      </w:tr>
      <w:tr w14:paraId="0895C70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535" w:type="dxa"/>
            <w:tcBorders>
              <w:top w:val="single" w:color="D9D9D9" w:sz="2" w:space="0"/>
              <w:left w:val="single" w:color="D9D9D9" w:sz="2" w:space="0"/>
              <w:bottom w:val="single" w:color="D9D9D9" w:sz="2" w:space="0"/>
              <w:right w:val="single" w:color="D9D9D9" w:sz="2" w:space="0"/>
            </w:tcBorders>
            <w:shd w:val="clear"/>
            <w:vAlign w:val="top"/>
          </w:tcPr>
          <w:p w14:paraId="01D7C2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季度入围奖</w:t>
            </w:r>
          </w:p>
        </w:tc>
        <w:tc>
          <w:tcPr>
            <w:tcW w:w="2970" w:type="dxa"/>
            <w:tcBorders>
              <w:top w:val="single" w:color="D9D9D9" w:sz="2" w:space="0"/>
              <w:left w:val="single" w:color="D9D9D9" w:sz="2" w:space="0"/>
              <w:bottom w:val="single" w:color="D9D9D9" w:sz="2" w:space="0"/>
              <w:right w:val="single" w:color="D9D9D9" w:sz="2" w:space="0"/>
            </w:tcBorders>
            <w:shd w:val="clear"/>
            <w:vAlign w:val="top"/>
          </w:tcPr>
          <w:p w14:paraId="14A1DC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本期 200件</w:t>
            </w:r>
          </w:p>
        </w:tc>
        <w:tc>
          <w:tcPr>
            <w:tcW w:w="4950" w:type="dxa"/>
            <w:tcBorders>
              <w:top w:val="single" w:color="D9D9D9" w:sz="2" w:space="0"/>
              <w:left w:val="single" w:color="D9D9D9" w:sz="2" w:space="0"/>
              <w:bottom w:val="single" w:color="D9D9D9" w:sz="2" w:space="0"/>
              <w:right w:val="single" w:color="D9D9D9" w:sz="2" w:space="0"/>
            </w:tcBorders>
            <w:shd w:val="clear"/>
            <w:vAlign w:val="top"/>
          </w:tcPr>
          <w:p w14:paraId="3A6CA3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价值5000元创作激励</w:t>
            </w:r>
          </w:p>
        </w:tc>
      </w:tr>
      <w:tr w14:paraId="4124373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2535" w:type="dxa"/>
            <w:tcBorders>
              <w:top w:val="single" w:color="D9D9D9" w:sz="2" w:space="0"/>
              <w:left w:val="single" w:color="D9D9D9" w:sz="2" w:space="0"/>
              <w:bottom w:val="single" w:color="D9D9D9" w:sz="2" w:space="0"/>
              <w:right w:val="single" w:color="D9D9D9" w:sz="2" w:space="0"/>
            </w:tcBorders>
            <w:shd w:val="clear"/>
            <w:vAlign w:val="top"/>
          </w:tcPr>
          <w:p w14:paraId="142D71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金点子奖</w:t>
            </w:r>
          </w:p>
        </w:tc>
        <w:tc>
          <w:tcPr>
            <w:tcW w:w="2970" w:type="dxa"/>
            <w:tcBorders>
              <w:top w:val="single" w:color="D9D9D9" w:sz="2" w:space="0"/>
              <w:left w:val="single" w:color="D9D9D9" w:sz="2" w:space="0"/>
              <w:bottom w:val="single" w:color="D9D9D9" w:sz="2" w:space="0"/>
              <w:right w:val="single" w:color="D9D9D9" w:sz="2" w:space="0"/>
            </w:tcBorders>
            <w:shd w:val="clear"/>
            <w:vAlign w:val="top"/>
          </w:tcPr>
          <w:p w14:paraId="0B8E5E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本期 5个</w:t>
            </w:r>
          </w:p>
        </w:tc>
        <w:tc>
          <w:tcPr>
            <w:tcW w:w="4950" w:type="dxa"/>
            <w:tcBorders>
              <w:top w:val="single" w:color="D9D9D9" w:sz="2" w:space="0"/>
              <w:left w:val="single" w:color="D9D9D9" w:sz="2" w:space="0"/>
              <w:bottom w:val="single" w:color="D9D9D9" w:sz="2" w:space="0"/>
              <w:right w:val="single" w:color="D9D9D9" w:sz="2" w:space="0"/>
            </w:tcBorders>
            <w:shd w:val="clear"/>
            <w:vAlign w:val="top"/>
          </w:tcPr>
          <w:p w14:paraId="529C8A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价值2000元创作激励</w:t>
            </w:r>
          </w:p>
        </w:tc>
      </w:tr>
    </w:tbl>
    <w:p w14:paraId="1F9E98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用户支持数据作为参考，愿望真实性、代表性和可实现性纳入评审；异常支持、机器操作和批量账号产生的数据不计入结果，主办方有权对异常数据进行核验和剔除。</w:t>
      </w:r>
    </w:p>
    <w:p w14:paraId="45CB44D5">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3. 奖励发放</w:t>
      </w:r>
    </w:p>
    <w:p w14:paraId="3D7CEF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3.1 获奖者应在获奖通知规定期限内提交奖励发放所需资料。逾期未提交、拒绝提交必要资料或提供虚假资料的，视为放弃奖励；</w:t>
      </w:r>
    </w:p>
    <w:p w14:paraId="6CB22F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3.2 奖励均为税前金额。主办方或其指定服务方将依照法律规定代扣代缴相关税费，获奖者应配合完成身份核验和税务申报；</w:t>
      </w:r>
    </w:p>
    <w:p w14:paraId="573383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3.3 现金奖励使用人民币作为结算单位；</w:t>
      </w:r>
    </w:p>
    <w:p w14:paraId="4E64C1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3.4 获奖名单正式公布后约30个工作日内发放奖励，具体以后续通知细则为准。</w:t>
      </w:r>
    </w:p>
    <w:p w14:paraId="45A09699">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九、赛事支持</w:t>
      </w:r>
    </w:p>
    <w:p w14:paraId="093463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支付宝为符合条件的参赛者与作品提供以下生态支持：</w:t>
      </w:r>
    </w:p>
    <w:p w14:paraId="2C4A28F2">
      <w:pPr>
        <w:keepNext w:val="0"/>
        <w:keepLines w:val="0"/>
        <w:widowControl/>
        <w:numPr>
          <w:ilvl w:val="0"/>
          <w:numId w:val="1"/>
        </w:numPr>
        <w:suppressLineNumbers w:val="0"/>
        <w:spacing w:before="0" w:beforeAutospacing="1" w:after="0" w:afterAutospacing="1"/>
        <w:ind w:left="0" w:hanging="360"/>
        <w:jc w:val="left"/>
      </w:pPr>
      <w:r>
        <w:rPr>
          <w:bdr w:val="none" w:color="auto" w:sz="0" w:space="0"/>
        </w:rPr>
        <w:t>流量曝光：支付宝开放平台及蚂蚁阿宝等多渠道展示与推荐；</w:t>
      </w:r>
    </w:p>
    <w:p w14:paraId="10479C4B">
      <w:pPr>
        <w:keepNext w:val="0"/>
        <w:keepLines w:val="0"/>
        <w:widowControl/>
        <w:numPr>
          <w:ilvl w:val="0"/>
          <w:numId w:val="1"/>
        </w:numPr>
        <w:suppressLineNumbers w:val="0"/>
        <w:spacing w:before="0" w:beforeAutospacing="1" w:after="0" w:afterAutospacing="1"/>
        <w:ind w:left="0" w:hanging="360"/>
        <w:jc w:val="left"/>
      </w:pPr>
      <w:r>
        <w:rPr>
          <w:bdr w:val="none" w:color="auto" w:sz="0" w:space="0"/>
        </w:rPr>
        <w:t>开发支持：赛事社群、官方学习资料、官方推荐工具使用指导、专家答疑；</w:t>
      </w:r>
    </w:p>
    <w:p w14:paraId="5EEDD90A">
      <w:pPr>
        <w:keepNext w:val="0"/>
        <w:keepLines w:val="0"/>
        <w:widowControl/>
        <w:numPr>
          <w:ilvl w:val="0"/>
          <w:numId w:val="1"/>
        </w:numPr>
        <w:suppressLineNumbers w:val="0"/>
        <w:spacing w:before="0" w:beforeAutospacing="1" w:after="0" w:afterAutospacing="1"/>
        <w:ind w:left="0" w:hanging="360"/>
        <w:jc w:val="left"/>
      </w:pPr>
      <w:r>
        <w:rPr>
          <w:bdr w:val="none" w:color="auto" w:sz="0" w:space="0"/>
        </w:rPr>
        <w:t>场景接入：优秀作品可对接支付宝业务API与MCP服务，接入真实业务场景，有机会上架发现Tab；</w:t>
      </w:r>
    </w:p>
    <w:p w14:paraId="5AABDA92">
      <w:pPr>
        <w:keepNext w:val="0"/>
        <w:keepLines w:val="0"/>
        <w:widowControl/>
        <w:numPr>
          <w:ilvl w:val="0"/>
          <w:numId w:val="1"/>
        </w:numPr>
        <w:suppressLineNumbers w:val="0"/>
        <w:spacing w:before="0" w:beforeAutospacing="1" w:after="0" w:afterAutospacing="1"/>
        <w:ind w:left="0" w:hanging="360"/>
        <w:jc w:val="left"/>
      </w:pPr>
      <w:r>
        <w:rPr>
          <w:bdr w:val="none" w:color="auto" w:sz="0" w:space="0"/>
        </w:rPr>
        <w:t>商业合作：商家联名赛道优秀作品可直接上线商家小程序，获得商业落地机会；</w:t>
      </w:r>
    </w:p>
    <w:p w14:paraId="5E2729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以上支持为机会性资源，具体根据作品质量、场景适配度与业务条件综合评估，不承诺所有参赛者均可获得。</w:t>
      </w:r>
    </w:p>
    <w:p w14:paraId="48D42083">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十、作品展示与运营</w:t>
      </w:r>
    </w:p>
    <w:p w14:paraId="74B767C9">
      <w:pPr>
        <w:keepNext w:val="0"/>
        <w:keepLines w:val="0"/>
        <w:widowControl/>
        <w:numPr>
          <w:ilvl w:val="0"/>
          <w:numId w:val="2"/>
        </w:numPr>
        <w:suppressLineNumbers w:val="0"/>
        <w:spacing w:before="0" w:beforeAutospacing="1" w:after="0" w:afterAutospacing="1"/>
        <w:ind w:left="0" w:hanging="360"/>
        <w:jc w:val="left"/>
      </w:pPr>
      <w:r>
        <w:rPr>
          <w:bdr w:val="none" w:color="auto" w:sz="0" w:space="0"/>
        </w:rPr>
        <w:t>参赛作品的知识产权原则上归原权利人所有；参赛者需确保自身有权提交作品及相关材料，并授予主办方赛事评审、展示、宣传、接入平台测试所需的使用权。</w:t>
      </w:r>
    </w:p>
    <w:p w14:paraId="2510AA38">
      <w:pPr>
        <w:keepNext w:val="0"/>
        <w:keepLines w:val="0"/>
        <w:widowControl/>
        <w:numPr>
          <w:ilvl w:val="0"/>
          <w:numId w:val="2"/>
        </w:numPr>
        <w:suppressLineNumbers w:val="0"/>
        <w:spacing w:before="0" w:beforeAutospacing="1" w:after="0" w:afterAutospacing="1"/>
        <w:ind w:left="0" w:hanging="360"/>
        <w:jc w:val="left"/>
      </w:pPr>
      <w:r>
        <w:rPr>
          <w:bdr w:val="none" w:color="auto" w:sz="0" w:space="0"/>
        </w:rPr>
        <w:t>参赛者同意主办方在赛事评审、展示和宣传的合理范围内使用作品名称、介绍、截图、演示视频及参赛者公开提交的参赛者信息。</w:t>
      </w:r>
    </w:p>
    <w:p w14:paraId="45E3A39C">
      <w:pPr>
        <w:keepNext w:val="0"/>
        <w:keepLines w:val="0"/>
        <w:widowControl/>
        <w:numPr>
          <w:ilvl w:val="0"/>
          <w:numId w:val="2"/>
        </w:numPr>
        <w:suppressLineNumbers w:val="0"/>
        <w:spacing w:before="0" w:beforeAutospacing="1" w:after="0" w:afterAutospacing="1"/>
        <w:ind w:left="0" w:hanging="360"/>
        <w:jc w:val="left"/>
      </w:pPr>
      <w:r>
        <w:rPr>
          <w:bdr w:val="none" w:color="auto" w:sz="0" w:space="0"/>
        </w:rPr>
        <w:t>所有通过审核的参赛作品，将在【支付宝客户端】、【赛事官网】中展示，包括但不限于赛事官网、蚂蚁阿宝（含AI对话、发现tab）、支付宝视频频道等。</w:t>
      </w:r>
    </w:p>
    <w:p w14:paraId="6B9BC7D9">
      <w:pPr>
        <w:keepNext w:val="0"/>
        <w:keepLines w:val="0"/>
        <w:widowControl/>
        <w:numPr>
          <w:ilvl w:val="0"/>
          <w:numId w:val="2"/>
        </w:numPr>
        <w:suppressLineNumbers w:val="0"/>
        <w:spacing w:before="0" w:beforeAutospacing="1" w:after="0" w:afterAutospacing="1"/>
        <w:ind w:left="0" w:hanging="360"/>
        <w:jc w:val="left"/>
      </w:pPr>
      <w:r>
        <w:rPr>
          <w:bdr w:val="none" w:color="auto" w:sz="0" w:space="0"/>
        </w:rPr>
        <w:t>主办方若将作品用于商业广告、改编、对外授权等超出赛事宣传范围的商业用途，将另行与权利人协商并取得授权。</w:t>
      </w:r>
    </w:p>
    <w:p w14:paraId="299466D7">
      <w:pPr>
        <w:keepNext w:val="0"/>
        <w:keepLines w:val="0"/>
        <w:widowControl/>
        <w:numPr>
          <w:ilvl w:val="0"/>
          <w:numId w:val="2"/>
        </w:numPr>
        <w:suppressLineNumbers w:val="0"/>
        <w:spacing w:before="0" w:beforeAutospacing="1" w:after="0" w:afterAutospacing="1"/>
        <w:ind w:left="0" w:hanging="360"/>
        <w:jc w:val="left"/>
      </w:pPr>
      <w:r>
        <w:rPr>
          <w:bdr w:val="none" w:color="auto" w:sz="0" w:space="0"/>
        </w:rPr>
        <w:t>作品入围年度候选池后，如需下架、停止服务，参赛者需提前通知主办方并经主办方同意；否则主办方有权取消其评选资格并要求参赛者退回已获得的奖励。</w:t>
      </w:r>
    </w:p>
    <w:p w14:paraId="279C5C12">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十一、参赛者行为规范</w:t>
      </w:r>
    </w:p>
    <w:p w14:paraId="4C4BAE39">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1. 基本原则</w:t>
      </w:r>
    </w:p>
    <w:p w14:paraId="272A9C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参赛者需遵守法律法规与本规则约定，遵循诚实信用原则，不从事任何扰乱赛事秩序、侵害平台或第三方权益的行为。</w:t>
      </w:r>
    </w:p>
    <w:p w14:paraId="1FF684C3">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2. 违规行为</w:t>
      </w:r>
    </w:p>
    <w:p w14:paraId="2484BD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包括但不限于以下情形：</w:t>
      </w:r>
    </w:p>
    <w:p w14:paraId="5452EC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2.1 使用插件、外挂、脚本等工具或非正常手段刷票、刷量、刷支持数；</w:t>
      </w:r>
    </w:p>
    <w:p w14:paraId="00473F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2.2 通过批量账号、虚假身份重复参赛，套取奖励；</w:t>
      </w:r>
    </w:p>
    <w:p w14:paraId="3579AC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2.3 盗用他人身份、提交虚假信息或伪造作品数据；</w:t>
      </w:r>
    </w:p>
    <w:p w14:paraId="3DC1B6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2.4 抄袭、剽窃他人作品，或侵犯第三方知识产权；</w:t>
      </w:r>
    </w:p>
    <w:p w14:paraId="5846F5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2.5 作品包含违法违规内容、或指向违法违规内容的外链；</w:t>
      </w:r>
    </w:p>
    <w:p w14:paraId="071C75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2.6 蓄意利用规则漏洞获取奖金、补贴或其他权益；</w:t>
      </w:r>
    </w:p>
    <w:p w14:paraId="6FD53C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2.7 从事赌博、洗钱、违规套现等违法违规行为；</w:t>
      </w:r>
    </w:p>
    <w:p w14:paraId="725E82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2.8 其他违反诚实信用、公序良俗或平台规则的行为。</w:t>
      </w:r>
    </w:p>
    <w:p w14:paraId="1F4C39EE">
      <w:pPr>
        <w:pStyle w:val="3"/>
        <w:keepNext w:val="0"/>
        <w:keepLines w:val="0"/>
        <w:widowControl/>
        <w:suppressLineNumbers w:val="0"/>
        <w:spacing w:before="120" w:beforeAutospacing="0" w:after="38" w:afterAutospacing="0" w:line="210" w:lineRule="atLeast"/>
        <w:ind w:left="0" w:right="0"/>
        <w:jc w:val="left"/>
        <w:rPr>
          <w:sz w:val="30"/>
          <w:szCs w:val="30"/>
        </w:rPr>
      </w:pPr>
      <w:r>
        <w:rPr>
          <w:sz w:val="30"/>
          <w:szCs w:val="30"/>
        </w:rPr>
        <w:t>3. 违规处理</w:t>
      </w:r>
    </w:p>
    <w:p w14:paraId="1D2C9B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3.1 主办方有权通过风控系统对异常行为进行判定与核查；</w:t>
      </w:r>
    </w:p>
    <w:p w14:paraId="366042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 xml:space="preserve">3.2 认定违规后，有权采取以下一项或多项措施： </w:t>
      </w:r>
    </w:p>
    <w:p w14:paraId="19E3AE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（1）判定相关参赛行为无效；</w:t>
      </w:r>
    </w:p>
    <w:p w14:paraId="55A47E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（2）取消参赛资格与评选资格；</w:t>
      </w:r>
    </w:p>
    <w:p w14:paraId="1E7694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（3）不予发放奖励，或收回已发放的全部奖励；</w:t>
      </w:r>
    </w:p>
    <w:p w14:paraId="2EB2D1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（4）撤销相关权益，影响账号信用等级；</w:t>
      </w:r>
    </w:p>
    <w:p w14:paraId="1FF7E7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（5）保留追究法律责任的权利。</w:t>
      </w:r>
    </w:p>
    <w:p w14:paraId="56FDC1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3.3 涉嫌违规的作品，主办方有权暂停展示与奖励发放，要求参赛者限期提供说明或证明材料。</w:t>
      </w:r>
    </w:p>
    <w:p w14:paraId="2217D955">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十二、个人信息保护</w:t>
      </w:r>
    </w:p>
    <w:p w14:paraId="1D0B1CBB">
      <w:pPr>
        <w:keepNext w:val="0"/>
        <w:keepLines w:val="0"/>
        <w:widowControl/>
        <w:numPr>
          <w:ilvl w:val="0"/>
          <w:numId w:val="3"/>
        </w:numPr>
        <w:suppressLineNumbers w:val="0"/>
        <w:spacing w:before="0" w:beforeAutospacing="1" w:after="0" w:afterAutospacing="1"/>
        <w:ind w:left="0" w:hanging="360"/>
        <w:jc w:val="left"/>
      </w:pPr>
      <w:r>
        <w:rPr>
          <w:bdr w:val="none" w:color="auto" w:sz="0" w:space="0"/>
        </w:rPr>
        <w:t>赛事可能根据报名、资格核验、评审、联系获奖者和发放奖励的需要，收集以下信息：</w:t>
      </w:r>
    </w:p>
    <w:p w14:paraId="69C96D2B">
      <w:pPr>
        <w:keepNext w:val="0"/>
        <w:keepLines w:val="0"/>
        <w:widowControl/>
        <w:numPr>
          <w:ilvl w:val="0"/>
          <w:numId w:val="3"/>
        </w:numPr>
        <w:suppressLineNumbers w:val="0"/>
        <w:spacing w:before="0" w:beforeAutospacing="1" w:after="0" w:afterAutospacing="1"/>
        <w:ind w:left="0" w:hanging="360"/>
        <w:jc w:val="left"/>
      </w:pPr>
      <w:r>
        <w:rPr>
          <w:bdr w:val="none" w:color="auto" w:sz="0" w:space="0"/>
        </w:rPr>
        <w:t>支付宝账号或赛事账号信息；</w:t>
      </w:r>
    </w:p>
    <w:p w14:paraId="216689B1">
      <w:pPr>
        <w:keepNext w:val="0"/>
        <w:keepLines w:val="0"/>
        <w:widowControl/>
        <w:numPr>
          <w:ilvl w:val="0"/>
          <w:numId w:val="3"/>
        </w:numPr>
        <w:suppressLineNumbers w:val="0"/>
        <w:spacing w:before="0" w:beforeAutospacing="1" w:after="0" w:afterAutospacing="1"/>
        <w:ind w:left="0" w:hanging="360"/>
        <w:jc w:val="left"/>
      </w:pPr>
      <w:r>
        <w:rPr>
          <w:bdr w:val="none" w:color="auto" w:sz="0" w:space="0"/>
        </w:rPr>
        <w:t>参赛者姓名、身份证号、联系方式；</w:t>
      </w:r>
    </w:p>
    <w:p w14:paraId="5D94A25A">
      <w:pPr>
        <w:keepNext w:val="0"/>
        <w:keepLines w:val="0"/>
        <w:widowControl/>
        <w:numPr>
          <w:ilvl w:val="0"/>
          <w:numId w:val="3"/>
        </w:numPr>
        <w:suppressLineNumbers w:val="0"/>
        <w:spacing w:before="0" w:beforeAutospacing="1" w:after="0" w:afterAutospacing="1"/>
        <w:ind w:left="0" w:hanging="360"/>
        <w:jc w:val="left"/>
      </w:pPr>
      <w:r>
        <w:rPr>
          <w:bdr w:val="none" w:color="auto" w:sz="0" w:space="0"/>
        </w:rPr>
        <w:t>作品和团队信息；</w:t>
      </w:r>
    </w:p>
    <w:p w14:paraId="4071470A">
      <w:pPr>
        <w:keepNext w:val="0"/>
        <w:keepLines w:val="0"/>
        <w:widowControl/>
        <w:numPr>
          <w:ilvl w:val="0"/>
          <w:numId w:val="3"/>
        </w:numPr>
        <w:suppressLineNumbers w:val="0"/>
        <w:spacing w:before="0" w:beforeAutospacing="1" w:after="0" w:afterAutospacing="1"/>
        <w:ind w:left="0" w:hanging="360"/>
        <w:jc w:val="left"/>
      </w:pPr>
      <w:r>
        <w:rPr>
          <w:bdr w:val="none" w:color="auto" w:sz="0" w:space="0"/>
        </w:rPr>
        <w:t>获奖者身份、收款及税务信息；</w:t>
      </w:r>
    </w:p>
    <w:p w14:paraId="19E6BD31">
      <w:pPr>
        <w:keepNext w:val="0"/>
        <w:keepLines w:val="0"/>
        <w:widowControl/>
        <w:numPr>
          <w:ilvl w:val="0"/>
          <w:numId w:val="3"/>
        </w:numPr>
        <w:suppressLineNumbers w:val="0"/>
        <w:spacing w:before="0" w:beforeAutospacing="1" w:after="0" w:afterAutospacing="1"/>
        <w:ind w:left="0" w:hanging="360"/>
        <w:jc w:val="left"/>
      </w:pPr>
      <w:r>
        <w:rPr>
          <w:bdr w:val="none" w:color="auto" w:sz="0" w:space="0"/>
        </w:rPr>
        <w:t>企业参赛者的主体及开票信息；</w:t>
      </w:r>
    </w:p>
    <w:p w14:paraId="42AD67C8">
      <w:pPr>
        <w:keepNext w:val="0"/>
        <w:keepLines w:val="0"/>
        <w:widowControl/>
        <w:numPr>
          <w:ilvl w:val="0"/>
          <w:numId w:val="3"/>
        </w:numPr>
        <w:suppressLineNumbers w:val="0"/>
        <w:spacing w:before="0" w:beforeAutospacing="1" w:after="0" w:afterAutospacing="1"/>
        <w:ind w:left="0" w:hanging="360"/>
        <w:jc w:val="left"/>
      </w:pPr>
      <w:r>
        <w:rPr>
          <w:bdr w:val="none" w:color="auto" w:sz="0" w:space="0"/>
        </w:rPr>
        <w:t>未成年获奖者的监护人及监护关系证明。</w:t>
      </w:r>
    </w:p>
    <w:p w14:paraId="0E1FC4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参赛者可以拒绝提供非必要信息；但拒绝提供奖励发放或资格核验所必需的信息，可能导致无法领奖或无法继续参加相关环节。</w:t>
      </w:r>
    </w:p>
    <w:p w14:paraId="61ECFC08">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十三、赛事特别说明</w:t>
      </w:r>
    </w:p>
    <w:p w14:paraId="25C1E0C8">
      <w:pPr>
        <w:keepNext w:val="0"/>
        <w:keepLines w:val="0"/>
        <w:widowControl/>
        <w:numPr>
          <w:ilvl w:val="0"/>
          <w:numId w:val="4"/>
        </w:numPr>
        <w:suppressLineNumbers w:val="0"/>
        <w:spacing w:before="0" w:beforeAutospacing="1" w:after="0" w:afterAutospacing="1"/>
        <w:ind w:left="0" w:hanging="360"/>
      </w:pPr>
      <w:r>
        <w:rPr>
          <w:bdr w:val="none" w:color="auto" w:sz="0" w:space="0"/>
        </w:rPr>
        <w:t>本活动主办方为杭州云坞科技有限公司。</w:t>
      </w:r>
    </w:p>
    <w:p w14:paraId="6CBA8094">
      <w:pPr>
        <w:keepNext w:val="0"/>
        <w:keepLines w:val="0"/>
        <w:widowControl/>
        <w:numPr>
          <w:ilvl w:val="0"/>
          <w:numId w:val="4"/>
        </w:numPr>
        <w:suppressLineNumbers w:val="0"/>
        <w:spacing w:before="0" w:beforeAutospacing="1" w:after="0" w:afterAutospacing="1"/>
        <w:ind w:left="0" w:hanging="360"/>
      </w:pPr>
      <w:r>
        <w:rPr>
          <w:bdr w:val="none" w:color="auto" w:sz="0" w:space="0"/>
        </w:rPr>
        <w:t>本活动权益提供方支付宝（杭州）数字服务技术有限公司，为如对权益有疑问，参赛者可通过在线客服或官方热线95188进行咨询，客服的工作时间为【8:00-24:00】。</w:t>
      </w:r>
    </w:p>
    <w:p w14:paraId="5E71BF45">
      <w:pPr>
        <w:keepNext w:val="0"/>
        <w:keepLines w:val="0"/>
        <w:widowControl/>
        <w:numPr>
          <w:ilvl w:val="0"/>
          <w:numId w:val="4"/>
        </w:numPr>
        <w:suppressLineNumbers w:val="0"/>
        <w:spacing w:before="0" w:beforeAutospacing="1" w:after="0" w:afterAutospacing="1"/>
        <w:ind w:left="0" w:hanging="360"/>
      </w:pPr>
      <w:r>
        <w:rPr>
          <w:bdr w:val="none" w:color="auto" w:sz="0" w:space="0"/>
        </w:rPr>
        <w:t>参赛者获得奖励，平台将依法代扣代缴相应税款，税款由获奖者承担，平台将向参赛者支付扣除税金后的净额。如获奖者为机构/公司，需要提供相应金额合格收据。</w:t>
      </w:r>
    </w:p>
    <w:p w14:paraId="57EC0699">
      <w:pPr>
        <w:keepNext w:val="0"/>
        <w:keepLines w:val="0"/>
        <w:widowControl/>
        <w:numPr>
          <w:ilvl w:val="0"/>
          <w:numId w:val="4"/>
        </w:numPr>
        <w:suppressLineNumbers w:val="0"/>
        <w:spacing w:before="0" w:beforeAutospacing="1" w:after="0" w:afterAutospacing="1"/>
        <w:ind w:left="0" w:hanging="360"/>
      </w:pPr>
      <w:r>
        <w:rPr>
          <w:bdr w:val="none" w:color="auto" w:sz="0" w:space="0"/>
        </w:rPr>
        <w:t>特别提示，参赛素材及作品需参赛者享有合法权利，不得存在侵犯第三方知识产权、侵犯他人肖像权、隐私权等人身权利、用户信息的行为，不得存在不正当竞争及违反法律法规、公序良俗的内容，且应通过主办方审核。同时请参赛者理解，主办方仅能在合法权限以及合理能力范围内对参赛者提交的资料、证明文件及发布内容进行审核，并不对参赛者提交的证明材料、发布内容承担任何责任或提供任何担保。对于已发布的内容，主办方有权利进行事中巡检，对于巡检不合格的内容，主办方亦有权采取要求主体提供补充材料予以证明、内容下线、不予奖励等措施。如参赛者违反本条约定，主办方有权立即清退违规参赛者，不支付任何奖励（已支付的应在主办方通知之日起5日内全额退回），如因此造成主办方损失的（包括但不限于赔偿第三方的相关费用等），参赛者还应足额赔偿。</w:t>
      </w:r>
    </w:p>
    <w:p w14:paraId="18D437DC">
      <w:pPr>
        <w:keepNext w:val="0"/>
        <w:keepLines w:val="0"/>
        <w:widowControl/>
        <w:numPr>
          <w:ilvl w:val="0"/>
          <w:numId w:val="4"/>
        </w:numPr>
        <w:suppressLineNumbers w:val="0"/>
        <w:spacing w:before="0" w:beforeAutospacing="1" w:after="0" w:afterAutospacing="1"/>
        <w:ind w:left="0" w:hanging="360"/>
      </w:pPr>
      <w:r>
        <w:rPr>
          <w:bdr w:val="none" w:color="auto" w:sz="0" w:space="0"/>
        </w:rPr>
        <w:t>活动主办方可能需要根据活动的实际举办情况对活动规则依法进行变更；若有变更，活动主办方将以活动页面告知等方式及时通知。调整内容将通过赛事官网或官方渠道公布。</w:t>
      </w:r>
    </w:p>
    <w:p w14:paraId="30B53E39">
      <w:pPr>
        <w:keepNext w:val="0"/>
        <w:keepLines w:val="0"/>
        <w:widowControl/>
        <w:numPr>
          <w:ilvl w:val="0"/>
          <w:numId w:val="4"/>
        </w:numPr>
        <w:suppressLineNumbers w:val="0"/>
        <w:spacing w:before="0" w:beforeAutospacing="1" w:after="0" w:afterAutospacing="1"/>
        <w:ind w:left="0" w:hanging="360"/>
      </w:pPr>
      <w:r>
        <w:rPr>
          <w:bdr w:val="none" w:color="auto" w:sz="0" w:space="0"/>
        </w:rPr>
        <w:t>参赛者应自行关注赛事时间和通知。因参赛者自身原因导致错过投稿、补充材料、资格确认或领奖期限的，由参赛者自行承担后果。</w:t>
      </w:r>
    </w:p>
    <w:p w14:paraId="05DA34BC">
      <w:pPr>
        <w:keepNext w:val="0"/>
        <w:keepLines w:val="0"/>
        <w:widowControl/>
        <w:numPr>
          <w:ilvl w:val="0"/>
          <w:numId w:val="4"/>
        </w:numPr>
        <w:suppressLineNumbers w:val="0"/>
        <w:spacing w:before="0" w:beforeAutospacing="1" w:after="0" w:afterAutospacing="1"/>
        <w:ind w:left="0" w:hanging="360"/>
      </w:pPr>
      <w:r>
        <w:rPr>
          <w:bdr w:val="none" w:color="auto" w:sz="0" w:space="0"/>
        </w:rPr>
        <w:t>第三方模型、工具、平台或服务发生故障，不当然构成主办方对参赛者损失承担责任的依据。</w:t>
      </w:r>
    </w:p>
    <w:p w14:paraId="6E237F7F">
      <w:pPr>
        <w:keepNext w:val="0"/>
        <w:keepLines w:val="0"/>
        <w:widowControl/>
        <w:numPr>
          <w:ilvl w:val="0"/>
          <w:numId w:val="4"/>
        </w:numPr>
        <w:suppressLineNumbers w:val="0"/>
        <w:spacing w:before="0" w:beforeAutospacing="1" w:after="0" w:afterAutospacing="1"/>
        <w:ind w:left="0" w:hanging="360"/>
      </w:pPr>
      <w:r>
        <w:rPr>
          <w:bdr w:val="none" w:color="auto" w:sz="0" w:space="0"/>
        </w:rPr>
        <w:t>如因第三方通过各种不当手段攻击、篡改对平台及本活动进行干扰、破坏、修改或施加其他影响，或系统故障致使任务奖励发生错误、补贴发放错误、参赛者无法参与或参与失败的，主办方无需为此承担任何法律责任。</w:t>
      </w:r>
    </w:p>
    <w:p w14:paraId="02CB85AB">
      <w:pPr>
        <w:keepNext w:val="0"/>
        <w:keepLines w:val="0"/>
        <w:widowControl/>
        <w:numPr>
          <w:ilvl w:val="0"/>
          <w:numId w:val="4"/>
        </w:numPr>
        <w:suppressLineNumbers w:val="0"/>
        <w:spacing w:before="0" w:beforeAutospacing="1" w:after="0" w:afterAutospacing="1"/>
        <w:ind w:left="0" w:hanging="360"/>
      </w:pPr>
      <w:r>
        <w:rPr>
          <w:bdr w:val="none" w:color="auto" w:sz="0" w:space="0"/>
        </w:rPr>
        <w:t>本活动开展期间，如出现不可抗力等情况，例如发生自然灾害事件、遭受网络攻击、疫情、活动受法律法规、监管机构要求或政策指令需要停止举办或调整, 主办方单方暂停、中止或终止提供服务的, 可免于承担责任。</w:t>
      </w:r>
    </w:p>
    <w:p w14:paraId="6E6905B7">
      <w:pPr>
        <w:keepNext w:val="0"/>
        <w:keepLines w:val="0"/>
        <w:widowControl/>
        <w:numPr>
          <w:ilvl w:val="0"/>
          <w:numId w:val="4"/>
        </w:numPr>
        <w:suppressLineNumbers w:val="0"/>
        <w:spacing w:before="0" w:beforeAutospacing="1" w:after="0" w:afterAutospacing="1"/>
        <w:ind w:left="0" w:hanging="360"/>
      </w:pPr>
      <w:r>
        <w:rPr>
          <w:bdr w:val="none" w:color="auto" w:sz="0" w:space="0"/>
        </w:rPr>
        <w:t>参赛作品的内容、观点、功能及所指向的外部链接、第三方服务，均由参赛者自行开发、提供与维护，不代表支付宝主办方的立场或观点；</w:t>
      </w:r>
    </w:p>
    <w:p w14:paraId="5A5748CD">
      <w:pPr>
        <w:keepNext w:val="0"/>
        <w:keepLines w:val="0"/>
        <w:widowControl/>
        <w:numPr>
          <w:ilvl w:val="0"/>
          <w:numId w:val="4"/>
        </w:numPr>
        <w:suppressLineNumbers w:val="0"/>
        <w:spacing w:before="0" w:beforeAutospacing="1" w:after="0" w:afterAutospacing="1"/>
        <w:ind w:left="0" w:hanging="360"/>
      </w:pPr>
      <w:r>
        <w:rPr>
          <w:bdr w:val="none" w:color="auto" w:sz="0" w:space="0"/>
        </w:rPr>
        <w:t>主办方仅对作品本身进行形式审核与合规初筛，无法对作品内嵌的所有跳转链接、第三方服务内容、外链资源进行持续、全面的合规性与安全性检测，亦不对其准确性、完整性、有效性承担任何担保责任；</w:t>
      </w:r>
    </w:p>
    <w:p w14:paraId="73F1B33C">
      <w:pPr>
        <w:keepNext w:val="0"/>
        <w:keepLines w:val="0"/>
        <w:widowControl/>
        <w:numPr>
          <w:ilvl w:val="0"/>
          <w:numId w:val="4"/>
        </w:numPr>
        <w:suppressLineNumbers w:val="0"/>
        <w:spacing w:before="0" w:beforeAutospacing="1" w:after="0" w:afterAutospacing="1"/>
        <w:ind w:left="0" w:hanging="360"/>
      </w:pPr>
      <w:r>
        <w:rPr>
          <w:bdr w:val="none" w:color="auto" w:sz="0" w:space="0"/>
        </w:rPr>
        <w:t>因参赛作品内容、外链跳转、第三方服务引发的任何纠纷、投诉、损害或法律责任，均由参赛者自行承担，主办方不承担任何直接或间接责任；</w:t>
      </w:r>
    </w:p>
    <w:p w14:paraId="16AC5B63">
      <w:pPr>
        <w:keepNext w:val="0"/>
        <w:keepLines w:val="0"/>
        <w:widowControl/>
        <w:numPr>
          <w:ilvl w:val="0"/>
          <w:numId w:val="4"/>
        </w:numPr>
        <w:suppressLineNumbers w:val="0"/>
        <w:spacing w:before="0" w:beforeAutospacing="1" w:after="0" w:afterAutospacing="1"/>
        <w:ind w:left="0" w:hanging="360"/>
      </w:pPr>
      <w:r>
        <w:rPr>
          <w:bdr w:val="none" w:color="auto" w:sz="0" w:space="0"/>
        </w:rPr>
        <w:t>若发现作品包含违法违规外链或内容，主办方有权立即下架作品、取消参赛资格，并保留追究相关责任的权利。</w:t>
      </w:r>
    </w:p>
    <w:p w14:paraId="248AE16D">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十四、规则更新与争议处理</w:t>
      </w:r>
    </w:p>
    <w:p w14:paraId="374B4C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赛事官网、本细则、季度公告、赛道专项规则和报名页面共同构成完整赛事规则。</w:t>
      </w:r>
    </w:p>
    <w:p w14:paraId="5E19F2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规则之间不一致时，建议按以下顺序处理：</w:t>
      </w:r>
    </w:p>
    <w:p w14:paraId="6E8C04F1">
      <w:pPr>
        <w:keepNext w:val="0"/>
        <w:keepLines w:val="0"/>
        <w:widowControl/>
        <w:numPr>
          <w:ilvl w:val="0"/>
          <w:numId w:val="5"/>
        </w:numPr>
        <w:suppressLineNumbers w:val="0"/>
        <w:spacing w:before="0" w:beforeAutospacing="1" w:after="0" w:afterAutospacing="1"/>
        <w:ind w:left="0" w:hanging="360"/>
        <w:jc w:val="left"/>
      </w:pPr>
      <w:r>
        <w:rPr>
          <w:bdr w:val="none" w:color="auto" w:sz="0" w:space="0"/>
        </w:rPr>
        <w:t>针对具体季度或专项活动发布的最新补充规则；</w:t>
      </w:r>
    </w:p>
    <w:p w14:paraId="618F1FB7">
      <w:pPr>
        <w:keepNext w:val="0"/>
        <w:keepLines w:val="0"/>
        <w:widowControl/>
        <w:numPr>
          <w:ilvl w:val="0"/>
          <w:numId w:val="5"/>
        </w:numPr>
        <w:suppressLineNumbers w:val="0"/>
        <w:spacing w:before="0" w:beforeAutospacing="1" w:after="0" w:afterAutospacing="1"/>
        <w:ind w:left="0" w:hanging="360"/>
        <w:jc w:val="left"/>
      </w:pPr>
      <w:r>
        <w:rPr>
          <w:bdr w:val="none" w:color="auto" w:sz="0" w:space="0"/>
        </w:rPr>
        <w:t>本赛事细则；</w:t>
      </w:r>
    </w:p>
    <w:p w14:paraId="2AA4F715">
      <w:pPr>
        <w:keepNext w:val="0"/>
        <w:keepLines w:val="0"/>
        <w:widowControl/>
        <w:numPr>
          <w:ilvl w:val="0"/>
          <w:numId w:val="5"/>
        </w:numPr>
        <w:suppressLineNumbers w:val="0"/>
        <w:spacing w:before="0" w:beforeAutospacing="1" w:after="0" w:afterAutospacing="1"/>
        <w:ind w:left="0" w:hanging="360"/>
        <w:jc w:val="left"/>
      </w:pPr>
      <w:r>
        <w:rPr>
          <w:bdr w:val="none" w:color="auto" w:sz="0" w:space="0"/>
        </w:rPr>
        <w:t>报名及投稿页面说明；</w:t>
      </w:r>
    </w:p>
    <w:p w14:paraId="3ED31D53">
      <w:pPr>
        <w:keepNext w:val="0"/>
        <w:keepLines w:val="0"/>
        <w:widowControl/>
        <w:numPr>
          <w:ilvl w:val="0"/>
          <w:numId w:val="5"/>
        </w:numPr>
        <w:suppressLineNumbers w:val="0"/>
        <w:spacing w:before="0" w:beforeAutospacing="1" w:after="0" w:afterAutospacing="1"/>
        <w:ind w:left="0" w:hanging="360"/>
        <w:jc w:val="left"/>
      </w:pPr>
      <w:r>
        <w:rPr>
          <w:bdr w:val="none" w:color="auto" w:sz="0" w:space="0"/>
        </w:rPr>
        <w:t>支付宝相关平台协议</w:t>
      </w:r>
      <w:r>
        <w:rPr>
          <w:sz w:val="24"/>
          <w:szCs w:val="24"/>
          <w:bdr w:val="none" w:color="auto" w:sz="0" w:space="0"/>
        </w:rPr>
        <w:t>《</w:t>
      </w:r>
      <w:r>
        <w:rPr>
          <w:bdr w:val="none" w:color="auto" w:sz="0" w:space="0"/>
        </w:rPr>
        <w:fldChar w:fldCharType="begin"/>
      </w:r>
      <w:r>
        <w:rPr>
          <w:bdr w:val="none" w:color="auto" w:sz="0" w:space="0"/>
        </w:rPr>
        <w:instrText xml:space="preserve"> HYPERLINK "https://render.alipay.com/p/c/180021120000001222/index.html?agreementId=AG00000011" \t "_blank" </w:instrText>
      </w:r>
      <w:r>
        <w:rPr>
          <w:bdr w:val="none" w:color="auto" w:sz="0" w:space="0"/>
        </w:rPr>
        <w:fldChar w:fldCharType="separate"/>
      </w:r>
      <w:r>
        <w:rPr>
          <w:rStyle w:val="8"/>
          <w:bdr w:val="none" w:color="auto" w:sz="0" w:space="0"/>
        </w:rPr>
        <w:t>客户端软件许可及服务协议</w:t>
      </w:r>
      <w:r>
        <w:rPr>
          <w:bdr w:val="none" w:color="auto" w:sz="0" w:space="0"/>
        </w:rPr>
        <w:fldChar w:fldCharType="end"/>
      </w:r>
      <w:r>
        <w:rPr>
          <w:sz w:val="24"/>
          <w:szCs w:val="24"/>
          <w:bdr w:val="none" w:color="auto" w:sz="0" w:space="0"/>
        </w:rPr>
        <w:t>》《</w:t>
      </w:r>
      <w:r>
        <w:rPr>
          <w:bdr w:val="none" w:color="auto" w:sz="0" w:space="0"/>
        </w:rPr>
        <w:fldChar w:fldCharType="begin"/>
      </w:r>
      <w:r>
        <w:rPr>
          <w:bdr w:val="none" w:color="auto" w:sz="0" w:space="0"/>
        </w:rPr>
        <w:instrText xml:space="preserve"> HYPERLINK "https://render.alipay.com/p/c/180021120000001809/index.html?agreementId=AG01001780" \t "_blank" </w:instrText>
      </w:r>
      <w:r>
        <w:rPr>
          <w:bdr w:val="none" w:color="auto" w:sz="0" w:space="0"/>
        </w:rPr>
        <w:fldChar w:fldCharType="separate"/>
      </w:r>
      <w:r>
        <w:rPr>
          <w:rStyle w:val="8"/>
          <w:bdr w:val="none" w:color="auto" w:sz="0" w:space="0"/>
        </w:rPr>
        <w:t>蚂蚁蚂蚁阿宝服务协议</w:t>
      </w:r>
      <w:r>
        <w:rPr>
          <w:bdr w:val="none" w:color="auto" w:sz="0" w:space="0"/>
        </w:rPr>
        <w:fldChar w:fldCharType="end"/>
      </w:r>
      <w:r>
        <w:rPr>
          <w:sz w:val="24"/>
          <w:szCs w:val="24"/>
          <w:bdr w:val="none" w:color="auto" w:sz="0" w:space="0"/>
        </w:rPr>
        <w:t>》《</w:t>
      </w:r>
      <w:r>
        <w:rPr>
          <w:bdr w:val="none" w:color="auto" w:sz="0" w:space="0"/>
        </w:rPr>
        <w:fldChar w:fldCharType="begin"/>
      </w:r>
      <w:r>
        <w:rPr>
          <w:bdr w:val="none" w:color="auto" w:sz="0" w:space="0"/>
        </w:rPr>
        <w:instrText xml:space="preserve"> HYPERLINK "https://render.alipay.com/p/c/180021120000000535/index.html?agreementId=AG00000174" \t "_blank" </w:instrText>
      </w:r>
      <w:r>
        <w:rPr>
          <w:bdr w:val="none" w:color="auto" w:sz="0" w:space="0"/>
        </w:rPr>
        <w:fldChar w:fldCharType="separate"/>
      </w:r>
      <w:r>
        <w:rPr>
          <w:rStyle w:val="8"/>
          <w:bdr w:val="none" w:color="auto" w:sz="0" w:space="0"/>
        </w:rPr>
        <w:t>蚂蚁集团隐私权政策</w:t>
      </w:r>
      <w:r>
        <w:rPr>
          <w:bdr w:val="none" w:color="auto" w:sz="0" w:space="0"/>
        </w:rPr>
        <w:fldChar w:fldCharType="end"/>
      </w:r>
      <w:r>
        <w:rPr>
          <w:sz w:val="24"/>
          <w:szCs w:val="24"/>
          <w:bdr w:val="none" w:color="auto" w:sz="0" w:space="0"/>
        </w:rPr>
        <w:t>》</w:t>
      </w:r>
      <w:r>
        <w:rPr>
          <w:bdr w:val="none" w:color="auto" w:sz="0" w:space="0"/>
        </w:rPr>
        <w:t>。</w:t>
      </w:r>
    </w:p>
    <w:p w14:paraId="0DC9B1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000000"/>
          <w:sz w:val="24"/>
          <w:szCs w:val="24"/>
          <w:bdr w:val="none" w:color="auto" w:sz="0" w:space="0"/>
        </w:rPr>
        <w:t>本规则的成立、生效、履行和解释，均适用中华人民共和国法律（仅为本活动之目的，为避免疑义，不包括香港特别行政区、澳门特别行政区及台湾地区法律）。各方在本活动的过程中，如发生争议，应协商解决。协商不成的，任何一方均可向杭州市西湖区有管辖权的人民法院提起诉讼，法律法规另有规定的除外。</w:t>
      </w:r>
    </w:p>
    <w:p w14:paraId="35E862BF">
      <w:pPr>
        <w:pStyle w:val="2"/>
        <w:keepNext w:val="0"/>
        <w:keepLines w:val="0"/>
        <w:widowControl/>
        <w:suppressLineNumbers w:val="0"/>
        <w:spacing w:before="158" w:beforeAutospacing="0" w:after="38" w:afterAutospacing="0" w:line="23" w:lineRule="atLeast"/>
        <w:ind w:left="0" w:right="0"/>
        <w:jc w:val="left"/>
        <w:rPr>
          <w:sz w:val="36"/>
          <w:szCs w:val="36"/>
        </w:rPr>
      </w:pPr>
      <w:r>
        <w:rPr>
          <w:sz w:val="36"/>
          <w:szCs w:val="36"/>
        </w:rPr>
        <w:t>十五、参赛确认</w:t>
      </w:r>
    </w:p>
    <w:p w14:paraId="71912E5A">
      <w:pPr>
        <w:keepNext w:val="0"/>
        <w:keepLines w:val="0"/>
        <w:widowControl/>
        <w:numPr>
          <w:ilvl w:val="0"/>
          <w:numId w:val="6"/>
        </w:numPr>
        <w:suppressLineNumbers w:val="0"/>
        <w:spacing w:before="0" w:beforeAutospacing="1" w:after="0" w:afterAutospacing="1"/>
        <w:ind w:left="0" w:hanging="360"/>
        <w:jc w:val="left"/>
      </w:pPr>
      <w:r>
        <w:rPr>
          <w:bdr w:val="none" w:color="auto" w:sz="0" w:space="0"/>
        </w:rPr>
        <w:t>参赛者完成报名、提交愿望、提交作品、参与评审或领取奖励，即表示已阅读并同意遵守本赛事细则及相关补充规则。</w:t>
      </w:r>
    </w:p>
    <w:p w14:paraId="3CDF9B97">
      <w:pPr>
        <w:keepNext w:val="0"/>
        <w:keepLines w:val="0"/>
        <w:widowControl/>
        <w:numPr>
          <w:ilvl w:val="0"/>
          <w:numId w:val="6"/>
        </w:numPr>
        <w:suppressLineNumbers w:val="0"/>
        <w:spacing w:before="0" w:beforeAutospacing="1" w:after="0" w:afterAutospacing="1"/>
        <w:ind w:left="0" w:hanging="360"/>
        <w:jc w:val="left"/>
      </w:pPr>
      <w:r>
        <w:rPr>
          <w:bdr w:val="none" w:color="auto" w:sz="0" w:space="0"/>
        </w:rPr>
        <w:t>参赛者不同意相关规则的，应停止报名或参与赛事。</w:t>
      </w:r>
    </w:p>
    <w:p w14:paraId="6E0C4E7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6FE91"/>
    <w:multiLevelType w:val="multilevel"/>
    <w:tmpl w:val="8376FE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11A799E"/>
    <w:multiLevelType w:val="multilevel"/>
    <w:tmpl w:val="F11A79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1591DAB"/>
    <w:multiLevelType w:val="multilevel"/>
    <w:tmpl w:val="21591D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D2B2968"/>
    <w:multiLevelType w:val="multilevel"/>
    <w:tmpl w:val="3D2B29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D419237"/>
    <w:multiLevelType w:val="multilevel"/>
    <w:tmpl w:val="6D4192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78D19392"/>
    <w:multiLevelType w:val="multilevel"/>
    <w:tmpl w:val="78D193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745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2026-10-11T03:07:06Z</dcterms:created>
  <dc:creator>银杏叶</dc:creator>
  <cp:lastModifiedBy>杨熙远</cp:lastModifiedBy>
  <dcterms:modified xsi:type="dcterms:W3CDTF">2026-10-11T03:07:11Z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eyJoZGlkIjoiMThlOTBlMWM3NWJjODgzMGJiNjE1NWNhNmVkMTllZmEiLCJ1c2VySWQiOiIxNzg3ODA2NTkxIn0=</vt:lpwstr>
  </property>
  <property fmtid="{D5CDD505-2E9C-101B-9397-08002B2CF9AE}" pid="4" name="ICV">
    <vt:lpwstr>A2473081F78A4424A3C04C65916B5C7D_12</vt:lpwstr>
  </property>
</Properties>
</file>