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上海深至信息科技有限公司</w:t>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质量管理体系文件</w:t>
      </w:r>
    </w:p>
    <w:p>
      <w:pPr>
        <w:pStyle w:val="Normal"/>
        <w:autoSpaceDE w:val="false"/>
        <w:spacing w:lineRule="exact" w:line="440"/>
        <w:jc w:val="center"/>
        <w:rPr>
          <w:rFonts w:ascii="宋体" w:hAnsi="宋体" w:eastAsia="宋体" w:cs="宋体"/>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eastAsia="宋体" w:cs="宋体" w:ascii="宋体" w:hAnsi="宋体"/>
          <w:b/>
          <w:sz w:val="32"/>
          <w:szCs w:val="32"/>
          <w:lang w:val="zh-CN"/>
        </w:rPr>
        <w:t xml:space="preserve">  </w:t>
      </w:r>
    </w:p>
    <w:p>
      <w:pPr>
        <w:pStyle w:val="Normal"/>
        <w:autoSpaceDE w:val="false"/>
        <w:spacing w:lineRule="exact" w:line="440"/>
        <w:jc w:val="center"/>
        <w:rPr>
          <w:rFonts w:ascii="宋体" w:hAnsi="宋体" w:eastAsia="宋体" w:cs="宋体"/>
          <w:b/>
          <w:b/>
          <w:sz w:val="28"/>
          <w:szCs w:val="28"/>
          <w:lang w:val="zh-CN"/>
        </w:rPr>
      </w:pPr>
      <w:r>
        <w:rPr>
          <w:rFonts w:eastAsia="宋体" w:cs="宋体" w:ascii="宋体" w:hAnsi="宋体"/>
          <w:b/>
          <w:sz w:val="28"/>
          <w:szCs w:val="28"/>
          <w:lang w:val="zh-CN"/>
        </w:rPr>
      </w:r>
    </w:p>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产品召回控制程序</w:t>
      </w:r>
    </w:p>
    <w:p>
      <w:pPr>
        <w:pStyle w:val="Normal"/>
        <w:tabs>
          <w:tab w:val="clear" w:pos="420"/>
          <w:tab w:val="left" w:pos="3420" w:leader="none"/>
        </w:tabs>
        <w:autoSpaceDE w:val="false"/>
        <w:spacing w:lineRule="exact" w:line="440"/>
        <w:jc w:val="center"/>
        <w:rPr>
          <w:rFonts w:ascii="宋体" w:hAnsi="宋体" w:eastAsia="宋体" w:cs="宋体"/>
          <w:b/>
          <w:b/>
          <w:sz w:val="30"/>
          <w:szCs w:val="30"/>
          <w:lang w:val="zh-CN"/>
        </w:rPr>
      </w:pPr>
      <w:r>
        <w:rPr>
          <w:rFonts w:eastAsia="宋体" w:cs="宋体" w:ascii="宋体" w:hAnsi="宋体"/>
          <w:b/>
          <w:sz w:val="30"/>
          <w:szCs w:val="30"/>
          <w:lang w:val="zh-CN"/>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QMS-P19</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ascii="宋体" w:hAnsi="宋体" w:cs="宋体" w:eastAsia="宋体"/>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A</w:t>
            </w:r>
            <w:r>
              <w:rPr>
                <w:rFonts w:eastAsia="宋体" w:cs="宋体" w:ascii="宋体" w:hAnsi="宋体"/>
                <w:sz w:val="30"/>
                <w:szCs w:val="30"/>
              </w:rPr>
              <w:t>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 w:hAnsi="宋体" w:eastAsia="宋体" w:cs="宋体"/>
                <w:b/>
                <w:b/>
                <w:sz w:val="30"/>
                <w:szCs w:val="30"/>
              </w:rPr>
            </w:pPr>
            <w:r>
              <w:rPr>
                <w:rFonts w:eastAsia="宋体" w:cs="宋体" w:ascii="宋体" w:hAnsi="宋体"/>
                <w:b/>
                <w:sz w:val="30"/>
                <w:szCs w:val="30"/>
              </w:rPr>
            </w:r>
          </w:p>
        </w:tc>
      </w:tr>
    </w:tbl>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bookmarkStart w:id="0" w:name="_Hlk72919458"/>
      <w:bookmarkEnd w:id="0"/>
      <w:r>
        <w:rPr>
          <w:rFonts w:ascii="宋体" w:hAnsi="宋体" w:cs="宋体" w:eastAsia="宋体"/>
          <w:b/>
          <w:sz w:val="30"/>
          <w:szCs w:val="30"/>
        </w:rPr>
        <w:t>起草人：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r>
        <w:rPr>
          <w:rFonts w:ascii="宋体" w:hAnsi="宋体" w:cs="宋体" w:eastAsia="宋体"/>
          <w:b/>
          <w:sz w:val="30"/>
          <w:szCs w:val="30"/>
        </w:rPr>
        <w:t>审核人：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r>
        <w:rPr>
          <w:rFonts w:ascii="宋体" w:hAnsi="宋体" w:cs="宋体" w:eastAsia="宋体"/>
          <w:b/>
          <w:sz w:val="30"/>
          <w:szCs w:val="30"/>
        </w:rPr>
        <w:t>批准人：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ind w:right="-351" w:hanging="0"/>
        <w:rPr>
          <w:rFonts w:ascii="宋体" w:hAnsi="宋体" w:eastAsia="宋体" w:cs="宋体"/>
          <w:b/>
          <w:b/>
          <w:sz w:val="24"/>
          <w:szCs w:val="30"/>
        </w:rPr>
      </w:pPr>
      <w:r>
        <w:rPr>
          <w:rFonts w:eastAsia="宋体" w:cs="宋体" w:ascii="宋体" w:hAnsi="宋体"/>
          <w:b/>
          <w:sz w:val="24"/>
          <w:szCs w:val="30"/>
        </w:rPr>
      </w:r>
      <w:bookmarkStart w:id="1" w:name="_Hlk72919458"/>
      <w:bookmarkStart w:id="2" w:name="_Hlk72919458"/>
      <w:bookmarkEnd w:id="2"/>
    </w:p>
    <w:p>
      <w:pPr>
        <w:pStyle w:val="Normal"/>
        <w:rPr>
          <w:rFonts w:ascii="宋体" w:hAnsi="宋体" w:eastAsia="宋体" w:cs="宋体"/>
          <w:b/>
          <w:b/>
          <w:sz w:val="24"/>
        </w:rPr>
      </w:pPr>
      <w:r>
        <w:rPr>
          <w:rFonts w:eastAsia="宋体" w:cs="宋体" w:ascii="宋体" w:hAnsi="宋体"/>
          <w:b/>
          <w:sz w:val="24"/>
        </w:rPr>
      </w:r>
    </w:p>
    <w:p>
      <w:pPr>
        <w:pStyle w:val="Normal"/>
        <w:ind w:right="-351" w:hanging="0"/>
        <w:rPr>
          <w:rFonts w:ascii="宋体" w:hAnsi="宋体" w:eastAsia="宋体" w:cs="宋体"/>
          <w:b/>
          <w:b/>
          <w:sz w:val="24"/>
        </w:rPr>
      </w:pPr>
      <w:r>
        <w:rPr>
          <w:rFonts w:eastAsia="宋体" w:cs="宋体" w:ascii="宋体" w:hAnsi="宋体"/>
          <w:b/>
          <w:sz w:val="24"/>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2" w:hanging="0"/>
        <w:rPr>
          <w:rFonts w:ascii="宋体" w:hAnsi="宋体" w:eastAsia="宋体" w:cs="宋体"/>
          <w:b/>
          <w:b/>
          <w:sz w:val="24"/>
          <w:u w:val="single"/>
        </w:rPr>
      </w:pPr>
      <w:r>
        <w:rPr>
          <w:rFonts w:eastAsia="宋体" w:cs="宋体" w:ascii="宋体" w:hAnsi="宋体"/>
          <w:b/>
          <w:sz w:val="24"/>
          <w:u w:val="single"/>
        </w:rPr>
        <w:t xml:space="preserve">                                                                               </w:t>
      </w:r>
    </w:p>
    <w:p>
      <w:pPr>
        <w:pStyle w:val="Normal"/>
        <w:tabs>
          <w:tab w:val="clear" w:pos="420"/>
          <w:tab w:val="left" w:pos="7513" w:leader="none"/>
        </w:tabs>
        <w:ind w:right="420" w:hanging="0"/>
        <w:rPr>
          <w:rFonts w:ascii="宋体" w:hAnsi="宋体" w:eastAsia="宋体" w:cs="宋体"/>
          <w:bCs/>
          <w:color w:val="FF0000"/>
          <w:sz w:val="24"/>
        </w:rPr>
      </w:pPr>
      <w:r>
        <w:rPr>
          <w:rFonts w:ascii="宋体" w:hAnsi="宋体" w:cs="宋体" w:eastAsia="宋体"/>
          <w:b/>
          <w:sz w:val="24"/>
        </w:rPr>
        <w:t>分发部门：</w:t>
      </w:r>
      <w:r>
        <w:rPr>
          <w:rFonts w:ascii="宋体" w:hAnsi="宋体" w:cs="宋体" w:eastAsia="宋体"/>
          <w:bCs/>
          <w:sz w:val="24"/>
        </w:rPr>
        <w:t>质量部、销售部、行政部、研发部、生产</w:t>
      </w:r>
      <w:r>
        <w:rPr>
          <w:rFonts w:eastAsia="宋体" w:cs="宋体" w:ascii="宋体" w:hAnsi="宋体"/>
          <w:bCs/>
          <w:sz w:val="24"/>
        </w:rPr>
        <w:t>/</w:t>
      </w:r>
      <w:r>
        <w:rPr>
          <w:rFonts w:ascii="宋体" w:hAnsi="宋体" w:cs="宋体" w:eastAsia="宋体"/>
          <w:bCs/>
          <w:sz w:val="24"/>
        </w:rPr>
        <w:t xml:space="preserve">运维部  </w:t>
      </w:r>
      <w:r>
        <w:rPr>
          <w:rFonts w:ascii="宋体" w:hAnsi="宋体" w:cs="宋体" w:eastAsia="宋体"/>
          <w:b/>
          <w:sz w:val="24"/>
        </w:rPr>
        <w:t xml:space="preserve">   </w:t>
      </w:r>
      <w:r>
        <w:rPr>
          <w:rFonts w:ascii="宋体" w:hAnsi="宋体" w:cs="宋体" w:eastAsia="宋体"/>
          <w:b/>
          <w:color w:val="FF0000"/>
          <w:sz w:val="24"/>
        </w:rPr>
        <w:t>生效日期：</w:t>
      </w:r>
      <w:r>
        <w:rPr>
          <w:rFonts w:eastAsia="宋体" w:cs="宋体" w:ascii="宋体" w:hAnsi="宋体"/>
          <w:bCs/>
          <w:color w:val="FF0000"/>
          <w:sz w:val="24"/>
        </w:rPr>
        <w:t>20</w:t>
      </w:r>
      <w:r>
        <w:rPr>
          <w:rFonts w:eastAsia="宋体" w:cs="宋体" w:ascii="宋体" w:hAnsi="宋体"/>
          <w:bCs/>
          <w:color w:val="FF0000"/>
          <w:sz w:val="24"/>
        </w:rPr>
        <w:t>20</w:t>
      </w:r>
      <w:r>
        <w:rPr>
          <w:rFonts w:eastAsia="宋体" w:cs="宋体" w:ascii="宋体" w:hAnsi="宋体"/>
          <w:bCs/>
          <w:color w:val="FF0000"/>
          <w:sz w:val="24"/>
        </w:rPr>
        <w:t>-0</w:t>
      </w:r>
      <w:r>
        <w:rPr>
          <w:rFonts w:eastAsia="宋体" w:cs="宋体" w:ascii="宋体" w:hAnsi="宋体"/>
          <w:bCs/>
          <w:color w:val="FF0000"/>
          <w:sz w:val="24"/>
        </w:rPr>
        <w:t>6</w:t>
      </w:r>
      <w:r>
        <w:rPr>
          <w:rFonts w:eastAsia="宋体" w:cs="宋体" w:ascii="宋体" w:hAnsi="宋体"/>
          <w:bCs/>
          <w:color w:val="FF0000"/>
          <w:sz w:val="24"/>
        </w:rPr>
        <w:t>-</w:t>
      </w:r>
      <w:r>
        <w:rPr>
          <w:rFonts w:eastAsia="宋体" w:cs="宋体" w:ascii="宋体" w:hAnsi="宋体"/>
          <w:bCs/>
          <w:color w:val="FF0000"/>
          <w:sz w:val="24"/>
        </w:rPr>
        <w:t>22</w:t>
      </w:r>
    </w:p>
    <w:p>
      <w:pPr>
        <w:pStyle w:val="Normal"/>
        <w:tabs>
          <w:tab w:val="clear" w:pos="420"/>
          <w:tab w:val="left" w:pos="7513" w:leader="none"/>
        </w:tabs>
        <w:ind w:right="420" w:firstLine="1060"/>
        <w:rPr>
          <w:rFonts w:ascii="宋体" w:hAnsi="宋体" w:eastAsia="宋体" w:cs="宋体"/>
          <w:b/>
          <w:b/>
          <w:bCs/>
          <w:color w:val="FF0000"/>
          <w:sz w:val="24"/>
        </w:rPr>
      </w:pPr>
      <w:r>
        <w:rPr>
          <w:rFonts w:eastAsia="宋体" w:cs="宋体" w:ascii="宋体" w:hAnsi="宋体"/>
          <w:b/>
          <w:bCs/>
          <w:color w:val="FF0000"/>
          <w:sz w:val="24"/>
        </w:rPr>
      </w:r>
    </w:p>
    <w:p>
      <w:pPr>
        <w:sectPr>
          <w:footerReference w:type="default" r:id="rId2"/>
          <w:type w:val="nextPage"/>
          <w:pgSz w:w="11906" w:h="16838"/>
          <w:pgMar w:left="1418" w:right="1418" w:gutter="0" w:header="0" w:top="1134" w:footer="779" w:bottom="1134"/>
          <w:pgNumType w:fmt="decimal"/>
          <w:formProt w:val="false"/>
          <w:textDirection w:val="lrTb"/>
          <w:docGrid w:type="lines" w:linePitch="312" w:charSpace="0"/>
        </w:sectPr>
      </w:pPr>
    </w:p>
    <w:p>
      <w:pPr>
        <w:pStyle w:val="Normal"/>
        <w:spacing w:lineRule="auto" w:line="360"/>
        <w:rPr>
          <w:rFonts w:ascii="宋体" w:hAnsi="宋体" w:eastAsia="宋体" w:cs="宋体"/>
          <w:b/>
          <w:b/>
          <w:color w:val="FF0000"/>
          <w:sz w:val="24"/>
          <w:szCs w:val="21"/>
        </w:rPr>
      </w:pPr>
      <w:r>
        <w:rPr>
          <w:rFonts w:eastAsia="宋体" w:cs="宋体" w:ascii="宋体" w:hAnsi="宋体"/>
          <w:b/>
          <w:color w:val="FF0000"/>
          <w:sz w:val="24"/>
          <w:szCs w:val="21"/>
        </w:rPr>
      </w:r>
    </w:p>
    <w:p>
      <w:pPr>
        <w:pStyle w:val="Normal"/>
        <w:spacing w:lineRule="auto" w:line="360"/>
        <w:rPr>
          <w:rFonts w:ascii="宋体" w:hAnsi="宋体" w:eastAsia="宋体" w:cs="宋体"/>
          <w:b/>
          <w:b/>
          <w:szCs w:val="21"/>
        </w:rPr>
      </w:pPr>
      <w:r>
        <mc:AlternateContent>
          <mc:Choice Requires="wpg">
            <w:drawing>
              <wp:anchor behindDoc="0" distT="0" distB="0" distL="114935" distR="114935" simplePos="0" locked="0" layoutInCell="0" allowOverlap="1" relativeHeight="3">
                <wp:simplePos x="0" y="0"/>
                <wp:positionH relativeFrom="column">
                  <wp:posOffset>2650490</wp:posOffset>
                </wp:positionH>
                <wp:positionV relativeFrom="paragraph">
                  <wp:posOffset>-1167765</wp:posOffset>
                </wp:positionV>
                <wp:extent cx="2127250" cy="297180"/>
                <wp:effectExtent l="0" t="0" r="0" b="0"/>
                <wp:wrapNone/>
                <wp:docPr id="2" name="Group 2"/>
                <a:graphic xmlns:a="http://schemas.openxmlformats.org/drawingml/2006/main">
                  <a:graphicData uri="http://schemas.microsoft.com/office/word/2010/wordprocessingGroup">
                    <wpg:wgp>
                      <wpg:cNvGrpSpPr/>
                      <wpg:grpSpPr>
                        <a:xfrm>
                          <a:off x="0" y="0"/>
                          <a:ext cx="2127240" cy="297360"/>
                          <a:chOff x="0" y="0"/>
                          <a:chExt cx="2127240" cy="297360"/>
                        </a:xfrm>
                      </wpg:grpSpPr>
                      <wps:wsp>
                        <wps:cNvSpPr txBox="1"/>
                        <wps:spPr>
                          <a:xfrm>
                            <a:off x="1943280" y="0"/>
                            <a:ext cx="184320" cy="297360"/>
                          </a:xfrm>
                          <a:prstGeom prst="rect">
                            <a:avLst/>
                          </a:prstGeom>
                          <a:noFill/>
                          <a:ln w="0">
                            <a:noFill/>
                          </a:ln>
                        </wps:spPr>
                        <wps:txbx>
                          <w:txbxContent>
                            <w:p>
                              <w:pPr>
                                <w:overflowPunct w:val="false"/>
                                <w:bidi w:val="0"/>
                                <w:spacing w:lineRule="exact" w:line="420"/>
                                <w:jc w:val="both"/>
                                <w:rPr/>
                              </w:pPr>
                              <w:r>
                                <w:rPr>
                                  <w:sz w:val="24"/>
                                  <w:rFonts w:ascii="Liberation Serif" w:hAnsi="Liberation Serif" w:eastAsia="Noto Serif CJK SC" w:cs="Lohit Devanagari"/>
                                  <w:lang w:bidi="hi-IN"/>
                                </w:rPr>
                              </w:r>
                            </w:p>
                            <w:p>
                              <w:pPr>
                                <w:overflowPunct w:val="false"/>
                                <w:bidi w:val="0"/>
                                <w:spacing w:lineRule="exact" w:line="420"/>
                                <w:jc w:val="both"/>
                                <w:rPr/>
                              </w:pPr>
                              <w:r>
                                <w:rPr>
                                  <w:sz w:val="24"/>
                                  <w:rFonts w:ascii="Liberation Serif" w:hAnsi="Liberation Serif" w:eastAsia="Noto Serif CJK SC" w:cs="Lohit Devanagari"/>
                                  <w:lang w:bidi="hi-IN"/>
                                </w:rPr>
                              </w:r>
                            </w:p>
                          </w:txbxContent>
                        </wps:txbx>
                        <wps:bodyPr wrap="square" anchor="t">
                          <a:noAutofit/>
                        </wps:bodyPr>
                      </wps:wsp>
                      <wps:wsp>
                        <wps:cNvSpPr txBox="1"/>
                        <wps:spPr>
                          <a:xfrm>
                            <a:off x="0" y="0"/>
                            <a:ext cx="184320" cy="297360"/>
                          </a:xfrm>
                          <a:prstGeom prst="rect">
                            <a:avLst/>
                          </a:prstGeom>
                          <a:noFill/>
                          <a:ln w="0">
                            <a:noFill/>
                          </a:ln>
                        </wps:spPr>
                        <wps:txbx>
                          <w:txbxContent>
                            <w:p>
                              <w:pPr>
                                <w:overflowPunct w:val="false"/>
                                <w:bidi w:val="0"/>
                                <w:spacing w:lineRule="exact" w:line="420"/>
                                <w:jc w:val="both"/>
                                <w:rPr/>
                              </w:pPr>
                              <w:r>
                                <w:rPr>
                                  <w:sz w:val="24"/>
                                  <w:rFonts w:ascii="Liberation Serif" w:hAnsi="Liberation Serif" w:eastAsia="Noto Serif CJK SC" w:cs="Lohit Devanagari"/>
                                  <w:lang w:bidi="hi-IN"/>
                                </w:rPr>
                              </w:r>
                            </w:p>
                            <w:p>
                              <w:pPr>
                                <w:overflowPunct w:val="false"/>
                                <w:bidi w:val="0"/>
                                <w:spacing w:lineRule="exact" w:line="420"/>
                                <w:jc w:val="both"/>
                                <w:rPr/>
                              </w:pPr>
                              <w:r>
                                <w:rPr>
                                  <w:sz w:val="24"/>
                                  <w:rFonts w:ascii="Liberation Serif" w:hAnsi="Liberation Serif" w:eastAsia="Noto Serif CJK SC" w:cs="Lohit Devanagari"/>
                                  <w:lang w:bidi="hi-IN"/>
                                </w:rPr>
                              </w:r>
                            </w:p>
                          </w:txbxContent>
                        </wps:txbx>
                        <wps:bodyPr wrap="square" anchor="t">
                          <a:noAutofit/>
                        </wps:bodyPr>
                      </wps:wsp>
                    </wpg:wgp>
                  </a:graphicData>
                </a:graphic>
              </wp:anchor>
            </w:drawing>
          </mc:Choice>
          <mc:Fallback>
            <w:pict>
              <v:group id="shape_0" alt="Group 2" style="position:absolute;margin-left:208.7pt;margin-top:-91.95pt;width:167.5pt;height:23.4pt" coordorigin="4174,-1839" coordsize="3350,468">
                <v:shapetype id="_x0000_t202" coordsize="21600,21600" o:spt="202" path="m,l,21600l21600,21600l21600,xe">
                  <v:stroke joinstyle="miter"/>
                  <v:path gradientshapeok="t" o:connecttype="rect"/>
                </v:shapetype>
                <v:shape id="shape_0" stroked="f" o:allowincell="f" style="position:absolute;left:7234;top:-1839;width:289;height:467;mso-wrap-style:none;v-text-anchor:top" type="_x0000_t202">
                  <v:textbox>
                    <w:txbxContent>
                      <w:p>
                        <w:pPr>
                          <w:overflowPunct w:val="false"/>
                          <w:bidi w:val="0"/>
                          <w:spacing w:lineRule="exact" w:line="420"/>
                          <w:jc w:val="both"/>
                          <w:rPr/>
                        </w:pPr>
                        <w:r>
                          <w:rPr>
                            <w:sz w:val="24"/>
                            <w:rFonts w:ascii="Liberation Serif" w:hAnsi="Liberation Serif" w:eastAsia="Noto Serif CJK SC" w:cs="Lohit Devanagari"/>
                            <w:lang w:bidi="hi-IN"/>
                          </w:rPr>
                        </w:r>
                      </w:p>
                      <w:p>
                        <w:pPr>
                          <w:overflowPunct w:val="false"/>
                          <w:bidi w:val="0"/>
                          <w:spacing w:lineRule="exact" w:line="420"/>
                          <w:jc w:val="both"/>
                          <w:rPr/>
                        </w:pPr>
                        <w:r>
                          <w:rPr>
                            <w:sz w:val="24"/>
                            <w:rFonts w:ascii="Liberation Serif" w:hAnsi="Liberation Serif" w:eastAsia="Noto Serif CJK SC" w:cs="Lohit Devanagari"/>
                            <w:lang w:bidi="hi-IN"/>
                          </w:rPr>
                        </w:r>
                      </w:p>
                    </w:txbxContent>
                  </v:textbox>
                  <v:fill o:detectmouseclick="t" on="false"/>
                  <v:stroke color="#3465a4" joinstyle="round" endcap="flat"/>
                  <w10:wrap type="none"/>
                </v:shape>
                <v:shape id="shape_0" stroked="f" o:allowincell="f" style="position:absolute;left:4174;top:-1839;width:289;height:467;mso-wrap-style:none;v-text-anchor:top" type="_x0000_t202">
                  <v:textbox>
                    <w:txbxContent>
                      <w:p>
                        <w:pPr>
                          <w:overflowPunct w:val="false"/>
                          <w:bidi w:val="0"/>
                          <w:spacing w:lineRule="exact" w:line="420"/>
                          <w:jc w:val="both"/>
                          <w:rPr/>
                        </w:pPr>
                        <w:r>
                          <w:rPr>
                            <w:sz w:val="24"/>
                            <w:rFonts w:ascii="Liberation Serif" w:hAnsi="Liberation Serif" w:eastAsia="Noto Serif CJK SC" w:cs="Lohit Devanagari"/>
                            <w:lang w:bidi="hi-IN"/>
                          </w:rPr>
                        </w:r>
                      </w:p>
                      <w:p>
                        <w:pPr>
                          <w:overflowPunct w:val="false"/>
                          <w:bidi w:val="0"/>
                          <w:spacing w:lineRule="exact" w:line="420"/>
                          <w:jc w:val="both"/>
                          <w:rPr/>
                        </w:pPr>
                        <w:r>
                          <w:rPr>
                            <w:sz w:val="24"/>
                            <w:rFonts w:ascii="Liberation Serif" w:hAnsi="Liberation Serif" w:eastAsia="Noto Serif CJK SC" w:cs="Lohit Devanagari"/>
                            <w:lang w:bidi="hi-IN"/>
                          </w:rPr>
                        </w:r>
                      </w:p>
                    </w:txbxContent>
                  </v:textbox>
                  <v:fill o:detectmouseclick="t" on="false"/>
                  <v:stroke color="#3465a4" joinstyle="round" endcap="flat"/>
                  <w10:wrap type="none"/>
                </v:shape>
              </v:group>
            </w:pict>
          </mc:Fallback>
        </mc:AlternateContent>
      </w:r>
      <w:r>
        <w:rPr>
          <w:rFonts w:eastAsia="宋体" w:cs="宋体" w:ascii="宋体" w:hAnsi="宋体"/>
          <w:b/>
          <w:szCs w:val="21"/>
        </w:rPr>
        <w:t>1</w:t>
      </w:r>
      <w:r>
        <w:rPr>
          <w:rFonts w:ascii="宋体" w:hAnsi="宋体" w:cs="宋体" w:eastAsia="宋体"/>
          <w:b/>
          <w:szCs w:val="21"/>
        </w:rPr>
        <w:t>、目的：</w:t>
      </w:r>
      <w:r>
        <w:rPr>
          <w:rFonts w:ascii="宋体" w:hAnsi="宋体" w:cs="宋体" w:eastAsia="宋体"/>
          <w:szCs w:val="21"/>
        </w:rPr>
        <w:t>确保产品召回管理规范化。</w:t>
      </w:r>
    </w:p>
    <w:p>
      <w:pPr>
        <w:pStyle w:val="Normal"/>
        <w:spacing w:lineRule="auto" w:line="360"/>
        <w:rPr>
          <w:rFonts w:ascii="宋体" w:hAnsi="宋体" w:eastAsia="宋体" w:cs="宋体"/>
          <w:b/>
          <w:b/>
          <w:szCs w:val="21"/>
        </w:rPr>
      </w:pPr>
      <w:r>
        <w:rPr>
          <w:rFonts w:eastAsia="宋体" w:cs="宋体" w:ascii="宋体" w:hAnsi="宋体"/>
          <w:b/>
          <w:szCs w:val="21"/>
        </w:rPr>
        <w:t>2</w:t>
      </w:r>
      <w:r>
        <w:rPr>
          <w:rFonts w:ascii="宋体" w:hAnsi="宋体" w:cs="宋体" w:eastAsia="宋体"/>
          <w:b/>
          <w:szCs w:val="21"/>
        </w:rPr>
        <w:t>、范围：</w:t>
      </w:r>
      <w:r>
        <w:rPr>
          <w:rFonts w:ascii="宋体" w:hAnsi="宋体" w:cs="宋体" w:eastAsia="宋体"/>
          <w:szCs w:val="21"/>
        </w:rPr>
        <w:t>因质量原因而召回的医疗器械产品。</w:t>
      </w:r>
    </w:p>
    <w:p>
      <w:pPr>
        <w:pStyle w:val="Normal"/>
        <w:spacing w:lineRule="auto" w:line="360"/>
        <w:rPr>
          <w:rFonts w:ascii="宋体" w:hAnsi="宋体" w:eastAsia="宋体" w:cs="宋体"/>
          <w:b/>
          <w:b/>
          <w:szCs w:val="21"/>
        </w:rPr>
      </w:pPr>
      <w:r>
        <w:rPr>
          <w:rFonts w:eastAsia="宋体" w:cs="宋体" w:ascii="宋体" w:hAnsi="宋体"/>
          <w:b/>
          <w:szCs w:val="21"/>
        </w:rPr>
        <w:t>3</w:t>
      </w:r>
      <w:r>
        <w:rPr>
          <w:rFonts w:ascii="宋体" w:hAnsi="宋体" w:cs="宋体" w:eastAsia="宋体"/>
          <w:b/>
          <w:szCs w:val="21"/>
        </w:rPr>
        <w:t>、职责</w:t>
      </w:r>
    </w:p>
    <w:p>
      <w:pPr>
        <w:pStyle w:val="Normal"/>
        <w:spacing w:lineRule="auto" w:line="360"/>
        <w:ind w:left="141" w:firstLine="424"/>
        <w:rPr>
          <w:rFonts w:ascii="宋体" w:hAnsi="宋体" w:eastAsia="宋体" w:cs="宋体"/>
          <w:szCs w:val="21"/>
        </w:rPr>
      </w:pPr>
      <w:r>
        <w:rPr>
          <w:rFonts w:eastAsia="宋体" w:cs="宋体" w:ascii="宋体" w:hAnsi="宋体"/>
          <w:szCs w:val="21"/>
        </w:rPr>
        <w:t>3.1</w:t>
      </w:r>
      <w:r>
        <w:rPr>
          <w:rFonts w:ascii="宋体" w:hAnsi="宋体" w:cs="宋体" w:eastAsia="宋体"/>
          <w:szCs w:val="21"/>
        </w:rPr>
        <w:t>质量部负责产品召回的管理。</w:t>
      </w:r>
    </w:p>
    <w:p>
      <w:pPr>
        <w:pStyle w:val="Normal"/>
        <w:spacing w:lineRule="auto" w:line="360"/>
        <w:ind w:firstLine="424"/>
        <w:rPr>
          <w:rFonts w:ascii="宋体" w:hAnsi="宋体" w:eastAsia="宋体" w:cs="宋体"/>
          <w:szCs w:val="21"/>
        </w:rPr>
      </w:pPr>
      <w:r>
        <w:rPr>
          <w:rFonts w:eastAsia="宋体" w:cs="宋体" w:ascii="宋体" w:hAnsi="宋体"/>
          <w:szCs w:val="21"/>
        </w:rPr>
        <w:t xml:space="preserve">3.2 </w:t>
      </w:r>
      <w:r>
        <w:rPr>
          <w:rFonts w:ascii="宋体" w:hAnsi="宋体" w:cs="宋体" w:eastAsia="宋体"/>
          <w:szCs w:val="21"/>
        </w:rPr>
        <w:t>销售部负责接收和反馈关联的客户情况。</w:t>
      </w:r>
    </w:p>
    <w:p>
      <w:pPr>
        <w:pStyle w:val="Normal"/>
        <w:spacing w:lineRule="auto" w:line="360"/>
        <w:ind w:firstLine="424"/>
        <w:rPr>
          <w:rFonts w:ascii="宋体" w:hAnsi="宋体" w:eastAsia="宋体" w:cs="宋体"/>
          <w:szCs w:val="21"/>
        </w:rPr>
      </w:pPr>
      <w:r>
        <w:rPr>
          <w:rFonts w:eastAsia="宋体" w:cs="宋体" w:ascii="宋体" w:hAnsi="宋体"/>
          <w:szCs w:val="21"/>
        </w:rPr>
        <w:t xml:space="preserve">3.3 </w:t>
      </w:r>
      <w:r>
        <w:rPr>
          <w:rFonts w:ascii="宋体" w:hAnsi="宋体" w:cs="宋体" w:eastAsia="宋体"/>
          <w:szCs w:val="21"/>
        </w:rPr>
        <w:t>管理者代表负责产品召回的评估和实施。</w:t>
      </w:r>
    </w:p>
    <w:p>
      <w:pPr>
        <w:pStyle w:val="Normal"/>
        <w:spacing w:lineRule="auto" w:line="360"/>
        <w:ind w:firstLine="424"/>
        <w:rPr>
          <w:rFonts w:ascii="宋体" w:hAnsi="宋体" w:eastAsia="宋体" w:cs="宋体"/>
          <w:szCs w:val="21"/>
        </w:rPr>
      </w:pPr>
      <w:r>
        <w:rPr>
          <w:rFonts w:eastAsia="宋体" w:cs="宋体" w:ascii="宋体" w:hAnsi="宋体"/>
          <w:szCs w:val="21"/>
        </w:rPr>
        <w:t xml:space="preserve">3.4 </w:t>
      </w:r>
      <w:r>
        <w:rPr>
          <w:rFonts w:ascii="宋体" w:hAnsi="宋体" w:cs="宋体" w:eastAsia="宋体"/>
          <w:szCs w:val="21"/>
        </w:rPr>
        <w:t>企业负责产品召回的批准。</w:t>
      </w:r>
    </w:p>
    <w:p>
      <w:pPr>
        <w:pStyle w:val="Normal"/>
        <w:spacing w:lineRule="auto" w:line="360"/>
        <w:rPr>
          <w:rFonts w:ascii="宋体" w:hAnsi="宋体" w:eastAsia="宋体" w:cs="宋体"/>
          <w:b/>
          <w:b/>
          <w:szCs w:val="21"/>
        </w:rPr>
      </w:pPr>
      <w:r>
        <w:rPr>
          <w:rFonts w:eastAsia="宋体" w:cs="宋体" w:ascii="宋体" w:hAnsi="宋体"/>
          <w:b/>
          <w:szCs w:val="21"/>
        </w:rPr>
        <w:t>4</w:t>
      </w:r>
      <w:r>
        <w:rPr>
          <w:rFonts w:ascii="宋体" w:hAnsi="宋体" w:cs="宋体" w:eastAsia="宋体"/>
          <w:b/>
          <w:szCs w:val="21"/>
        </w:rPr>
        <w:t>、程序</w:t>
      </w:r>
    </w:p>
    <w:p>
      <w:pPr>
        <w:pStyle w:val="Normal"/>
        <w:spacing w:lineRule="auto" w:line="360"/>
        <w:rPr>
          <w:rFonts w:ascii="宋体" w:hAnsi="宋体" w:eastAsia="宋体" w:cs="宋体"/>
          <w:b/>
          <w:b/>
          <w:szCs w:val="21"/>
        </w:rPr>
      </w:pPr>
      <w:r>
        <w:rPr>
          <w:rFonts w:eastAsia="宋体" w:cs="宋体" w:ascii="宋体" w:hAnsi="宋体"/>
          <w:b/>
          <w:szCs w:val="21"/>
        </w:rPr>
        <w:t xml:space="preserve">4.1 </w:t>
      </w:r>
      <w:r>
        <w:rPr>
          <w:rFonts w:ascii="宋体" w:hAnsi="宋体" w:cs="宋体" w:eastAsia="宋体"/>
          <w:b/>
          <w:szCs w:val="21"/>
        </w:rPr>
        <w:t>产品召回管理</w:t>
      </w:r>
    </w:p>
    <w:p>
      <w:pPr>
        <w:pStyle w:val="Normal"/>
        <w:spacing w:lineRule="auto" w:line="360"/>
        <w:ind w:firstLine="420"/>
        <w:textAlignment w:val="baseline"/>
        <w:rPr>
          <w:rFonts w:ascii="宋体" w:hAnsi="宋体" w:eastAsia="宋体" w:cs="宋体"/>
          <w:szCs w:val="21"/>
        </w:rPr>
      </w:pPr>
      <w:r>
        <w:rPr>
          <w:rFonts w:eastAsia="宋体" w:cs="宋体" w:ascii="宋体" w:hAnsi="宋体"/>
          <w:szCs w:val="21"/>
        </w:rPr>
        <w:t xml:space="preserve">4.1.1 </w:t>
      </w:r>
      <w:r>
        <w:rPr>
          <w:rFonts w:ascii="宋体" w:hAnsi="宋体" w:cs="宋体" w:eastAsia="宋体"/>
          <w:szCs w:val="21"/>
        </w:rPr>
        <w:t>当产品出现质量事故或者不良事件时，如果涉及到的产品需要召回时，应按照《医疗器械召回管理办法》 （国家食品药品监督管理总局令</w:t>
      </w:r>
      <w:r>
        <w:rPr>
          <w:rFonts w:ascii="宋体" w:hAnsi="宋体" w:cs="宋体" w:eastAsia="宋体"/>
          <w:bCs/>
          <w:color w:val="000000"/>
          <w:szCs w:val="21"/>
        </w:rPr>
        <w:t>第</w:t>
      </w:r>
      <w:r>
        <w:rPr>
          <w:rFonts w:eastAsia="宋体" w:cs="宋体" w:ascii="宋体" w:hAnsi="宋体"/>
          <w:bCs/>
          <w:color w:val="000000"/>
          <w:szCs w:val="21"/>
        </w:rPr>
        <w:t>29</w:t>
      </w:r>
      <w:r>
        <w:rPr>
          <w:rFonts w:ascii="宋体" w:hAnsi="宋体" w:cs="宋体" w:eastAsia="宋体"/>
          <w:bCs/>
          <w:color w:val="000000"/>
          <w:szCs w:val="21"/>
        </w:rPr>
        <w:t>号</w:t>
      </w:r>
      <w:r>
        <w:rPr>
          <w:rFonts w:ascii="宋体" w:hAnsi="宋体" w:cs="宋体" w:eastAsia="宋体"/>
          <w:szCs w:val="21"/>
        </w:rPr>
        <w:t>）进行，并向当地</w:t>
      </w:r>
      <w:r>
        <w:rPr>
          <w:rFonts w:ascii="宋体" w:hAnsi="宋体" w:cs="宋体" w:eastAsia="宋体"/>
          <w:color w:val="000000"/>
          <w:szCs w:val="21"/>
        </w:rPr>
        <w:t xml:space="preserve">食品药品监督管理部门报告。 </w:t>
      </w:r>
    </w:p>
    <w:p>
      <w:pPr>
        <w:pStyle w:val="Normal"/>
        <w:widowControl/>
        <w:spacing w:lineRule="auto" w:line="360"/>
        <w:ind w:firstLine="430"/>
        <w:rPr>
          <w:rFonts w:ascii="宋体" w:hAnsi="宋体" w:eastAsia="宋体" w:cs="宋体"/>
          <w:color w:val="000000"/>
          <w:szCs w:val="21"/>
        </w:rPr>
      </w:pPr>
      <w:r>
        <w:rPr>
          <w:rFonts w:eastAsia="宋体" w:cs="宋体" w:ascii="宋体" w:hAnsi="宋体"/>
          <w:szCs w:val="21"/>
        </w:rPr>
        <w:t xml:space="preserve">4.1.2 </w:t>
      </w:r>
      <w:r>
        <w:rPr>
          <w:rFonts w:ascii="宋体" w:hAnsi="宋体" w:cs="宋体" w:eastAsia="宋体"/>
          <w:szCs w:val="21"/>
        </w:rPr>
        <w:t>管理者代表和质量部组织对涉及到的医疗器械产品可能</w:t>
      </w:r>
      <w:r>
        <w:rPr>
          <w:rFonts w:ascii="宋体" w:hAnsi="宋体" w:cs="宋体" w:eastAsia="宋体"/>
          <w:color w:val="000000"/>
          <w:szCs w:val="21"/>
        </w:rPr>
        <w:t>存在缺陷的产品进行风险和危害程度评估，评估的主要内容应包括：</w:t>
      </w:r>
      <w:r>
        <w:rPr>
          <w:rFonts w:eastAsia="宋体" w:cs="宋体" w:ascii="宋体" w:hAnsi="宋体"/>
          <w:color w:val="000000"/>
          <w:sz w:val="18"/>
          <w:szCs w:val="18"/>
        </w:rPr>
        <w:br/>
      </w:r>
      <w:r>
        <w:rPr>
          <w:rFonts w:ascii="宋体" w:hAnsi="宋体" w:cs="宋体" w:eastAsia="宋体"/>
          <w:color w:val="000000"/>
          <w:szCs w:val="21"/>
        </w:rPr>
        <w:t>　　（一）产品是否符合强制性标准、经注册或者备案的产品技术要求；</w:t>
      </w:r>
      <w:r>
        <w:rPr>
          <w:rFonts w:eastAsia="宋体" w:cs="宋体" w:ascii="宋体" w:hAnsi="宋体"/>
          <w:color w:val="000000"/>
          <w:sz w:val="18"/>
          <w:szCs w:val="18"/>
        </w:rPr>
        <w:br/>
      </w:r>
      <w:r>
        <w:rPr>
          <w:rFonts w:ascii="宋体" w:hAnsi="宋体" w:cs="宋体" w:eastAsia="宋体"/>
          <w:color w:val="000000"/>
          <w:szCs w:val="21"/>
        </w:rPr>
        <w:t>　　（二）在使用医疗器械过程中是否发生过故障或者伤害；</w:t>
      </w:r>
      <w:r>
        <w:rPr>
          <w:rFonts w:eastAsia="宋体" w:cs="宋体" w:ascii="宋体" w:hAnsi="宋体"/>
          <w:color w:val="000000"/>
          <w:sz w:val="18"/>
          <w:szCs w:val="18"/>
        </w:rPr>
        <w:br/>
      </w:r>
      <w:r>
        <w:rPr>
          <w:rFonts w:ascii="宋体" w:hAnsi="宋体" w:cs="宋体" w:eastAsia="宋体"/>
          <w:color w:val="000000"/>
          <w:szCs w:val="21"/>
        </w:rPr>
        <w:t>　　（三）在现有使用环境下是否会造成伤害，是否有科学文献、研究、相关试验或者验证能够解释伤害发生的原因；</w:t>
      </w:r>
      <w:r>
        <w:rPr>
          <w:rFonts w:eastAsia="宋体" w:cs="宋体" w:ascii="宋体" w:hAnsi="宋体"/>
          <w:color w:val="000000"/>
          <w:sz w:val="18"/>
          <w:szCs w:val="18"/>
        </w:rPr>
        <w:br/>
      </w:r>
      <w:r>
        <w:rPr>
          <w:rFonts w:ascii="宋体" w:hAnsi="宋体" w:cs="宋体" w:eastAsia="宋体"/>
          <w:color w:val="000000"/>
          <w:szCs w:val="21"/>
        </w:rPr>
        <w:t>　　（四）伤害所涉及的地区范围和人群特点；</w:t>
      </w:r>
      <w:r>
        <w:rPr>
          <w:rFonts w:eastAsia="宋体" w:cs="宋体" w:ascii="宋体" w:hAnsi="宋体"/>
          <w:color w:val="000000"/>
          <w:sz w:val="18"/>
          <w:szCs w:val="18"/>
        </w:rPr>
        <w:br/>
      </w:r>
      <w:r>
        <w:rPr>
          <w:rFonts w:ascii="宋体" w:hAnsi="宋体" w:cs="宋体" w:eastAsia="宋体"/>
          <w:color w:val="000000"/>
          <w:szCs w:val="21"/>
        </w:rPr>
        <w:t>　　（五）对人体健康造成的伤害程度；</w:t>
      </w:r>
      <w:r>
        <w:rPr>
          <w:rFonts w:eastAsia="宋体" w:cs="宋体" w:ascii="宋体" w:hAnsi="宋体"/>
          <w:color w:val="000000"/>
          <w:sz w:val="18"/>
          <w:szCs w:val="18"/>
        </w:rPr>
        <w:br/>
      </w:r>
      <w:r>
        <w:rPr>
          <w:rFonts w:ascii="宋体" w:hAnsi="宋体" w:cs="宋体" w:eastAsia="宋体"/>
          <w:color w:val="000000"/>
          <w:szCs w:val="21"/>
        </w:rPr>
        <w:t>　　（六）伤害发生的概率；</w:t>
      </w:r>
      <w:r>
        <w:rPr>
          <w:rFonts w:eastAsia="宋体" w:cs="宋体" w:ascii="宋体" w:hAnsi="宋体"/>
          <w:color w:val="000000"/>
          <w:sz w:val="18"/>
          <w:szCs w:val="18"/>
        </w:rPr>
        <w:br/>
      </w:r>
      <w:r>
        <w:rPr>
          <w:rFonts w:ascii="宋体" w:hAnsi="宋体" w:cs="宋体" w:eastAsia="宋体"/>
          <w:color w:val="000000"/>
          <w:szCs w:val="21"/>
        </w:rPr>
        <w:t>　　（七）发生伤害的短期和长期后果；</w:t>
      </w:r>
      <w:r>
        <w:rPr>
          <w:rFonts w:eastAsia="宋体" w:cs="宋体" w:ascii="宋体" w:hAnsi="宋体"/>
          <w:color w:val="000000"/>
          <w:sz w:val="18"/>
          <w:szCs w:val="18"/>
        </w:rPr>
        <w:br/>
      </w:r>
      <w:r>
        <w:rPr>
          <w:rFonts w:ascii="宋体" w:hAnsi="宋体" w:cs="宋体" w:eastAsia="宋体"/>
          <w:color w:val="000000"/>
          <w:szCs w:val="21"/>
        </w:rPr>
        <w:t>　　（八）网络安全事件</w:t>
      </w:r>
    </w:p>
    <w:p>
      <w:pPr>
        <w:pStyle w:val="Normal"/>
        <w:widowControl/>
        <w:spacing w:lineRule="auto" w:line="360"/>
        <w:ind w:firstLine="430"/>
        <w:rPr>
          <w:rFonts w:ascii="宋体" w:hAnsi="宋体" w:eastAsia="宋体" w:cs="宋体"/>
          <w:szCs w:val="21"/>
        </w:rPr>
      </w:pPr>
      <w:r>
        <w:rPr>
          <w:rFonts w:ascii="宋体" w:hAnsi="宋体" w:cs="宋体" w:eastAsia="宋体"/>
          <w:color w:val="000000"/>
          <w:szCs w:val="21"/>
        </w:rPr>
        <w:t>（九）其他可能对人体造成伤害的因素。</w:t>
      </w:r>
    </w:p>
    <w:p>
      <w:pPr>
        <w:pStyle w:val="Normal"/>
        <w:widowControl/>
        <w:spacing w:lineRule="auto" w:line="360"/>
        <w:rPr>
          <w:rFonts w:ascii="宋体" w:hAnsi="宋体" w:eastAsia="宋体" w:cs="宋体"/>
          <w:color w:val="000000"/>
          <w:szCs w:val="21"/>
        </w:rPr>
      </w:pPr>
      <w:r>
        <w:rPr>
          <w:rFonts w:eastAsia="宋体" w:cs="宋体" w:ascii="宋体" w:hAnsi="宋体"/>
          <w:szCs w:val="21"/>
        </w:rPr>
        <w:t>4.1.3</w:t>
      </w:r>
      <w:r>
        <w:rPr>
          <w:rFonts w:ascii="宋体" w:hAnsi="宋体" w:cs="宋体" w:eastAsia="宋体"/>
          <w:color w:val="000000"/>
          <w:szCs w:val="21"/>
        </w:rPr>
        <w:t>根据评估后的产品缺陷的严重程度，召回分为：</w:t>
      </w:r>
      <w:r>
        <w:rPr>
          <w:rFonts w:eastAsia="宋体" w:cs="宋体" w:ascii="宋体" w:hAnsi="宋体"/>
          <w:color w:val="000000"/>
          <w:sz w:val="18"/>
          <w:szCs w:val="18"/>
        </w:rPr>
        <w:br/>
      </w:r>
      <w:r>
        <w:rPr>
          <w:rFonts w:ascii="宋体" w:hAnsi="宋体" w:cs="宋体" w:eastAsia="宋体"/>
          <w:color w:val="000000"/>
          <w:szCs w:val="21"/>
        </w:rPr>
        <w:t>　　（一）一级召回：使用该医疗器械可能或者已经引起严重健康危害的；</w:t>
      </w:r>
      <w:r>
        <w:rPr>
          <w:rFonts w:eastAsia="宋体" w:cs="宋体" w:ascii="宋体" w:hAnsi="宋体"/>
          <w:color w:val="000000"/>
          <w:sz w:val="18"/>
          <w:szCs w:val="18"/>
        </w:rPr>
        <w:br/>
      </w:r>
      <w:r>
        <w:rPr>
          <w:rFonts w:ascii="宋体" w:hAnsi="宋体" w:cs="宋体" w:eastAsia="宋体"/>
          <w:color w:val="000000"/>
          <w:szCs w:val="21"/>
        </w:rPr>
        <w:t>　　（二）二级召回：使用该医疗器械可能或者已经引起暂时的或者可逆的健康危害的；</w:t>
      </w:r>
      <w:r>
        <w:rPr>
          <w:rFonts w:eastAsia="宋体" w:cs="宋体" w:ascii="宋体" w:hAnsi="宋体"/>
          <w:color w:val="000000"/>
          <w:sz w:val="18"/>
          <w:szCs w:val="18"/>
        </w:rPr>
        <w:br/>
      </w:r>
      <w:r>
        <w:rPr>
          <w:rFonts w:ascii="宋体" w:hAnsi="宋体" w:cs="宋体" w:eastAsia="宋体"/>
          <w:color w:val="000000"/>
          <w:szCs w:val="21"/>
        </w:rPr>
        <w:t>　　（三）三级召回：使用该医疗器械引起危害的可能性较小但仍需要召回的。</w:t>
      </w:r>
      <w:r>
        <w:rPr>
          <w:rFonts w:eastAsia="宋体" w:cs="宋体" w:ascii="宋体" w:hAnsi="宋体"/>
          <w:color w:val="000000"/>
          <w:sz w:val="18"/>
          <w:szCs w:val="18"/>
        </w:rPr>
        <w:br/>
      </w:r>
      <w:r>
        <w:rPr>
          <w:rFonts w:eastAsia="宋体" w:cs="宋体" w:ascii="宋体" w:hAnsi="宋体"/>
          <w:szCs w:val="21"/>
        </w:rPr>
        <w:t xml:space="preserve">4.1.4 </w:t>
      </w:r>
      <w:r>
        <w:rPr>
          <w:rFonts w:ascii="宋体" w:hAnsi="宋体" w:cs="宋体" w:eastAsia="宋体"/>
          <w:color w:val="000000"/>
          <w:szCs w:val="21"/>
        </w:rPr>
        <w:t>经调查评估并确定产品存在缺陷的，应确定好召回级别并立即实施召回：</w:t>
      </w:r>
      <w:r>
        <w:rPr>
          <w:rFonts w:ascii="宋体" w:hAnsi="宋体" w:cs="宋体" w:eastAsia="宋体"/>
          <w:color w:val="000000"/>
          <w:sz w:val="18"/>
          <w:szCs w:val="18"/>
        </w:rPr>
        <w:t xml:space="preserve"> </w:t>
      </w:r>
      <w:r>
        <w:rPr>
          <w:rFonts w:eastAsia="宋体" w:cs="宋体" w:ascii="宋体" w:hAnsi="宋体"/>
          <w:color w:val="000000"/>
          <w:sz w:val="18"/>
          <w:szCs w:val="18"/>
        </w:rPr>
        <w:br/>
      </w:r>
      <w:r>
        <w:rPr>
          <w:rFonts w:ascii="宋体" w:hAnsi="宋体" w:cs="宋体" w:eastAsia="宋体"/>
          <w:color w:val="000000"/>
          <w:szCs w:val="21"/>
        </w:rPr>
        <w:t xml:space="preserve">　　   </w:t>
      </w:r>
      <w:r>
        <w:rPr>
          <w:rFonts w:eastAsia="宋体" w:cs="宋体" w:ascii="宋体" w:hAnsi="宋体"/>
          <w:color w:val="000000"/>
          <w:szCs w:val="21"/>
        </w:rPr>
        <w:t>1</w:t>
      </w:r>
      <w:r>
        <w:rPr>
          <w:rFonts w:ascii="宋体" w:hAnsi="宋体" w:cs="宋体" w:eastAsia="宋体"/>
          <w:color w:val="000000"/>
          <w:szCs w:val="21"/>
        </w:rPr>
        <w:t>）实施一级召回的，在</w:t>
      </w:r>
      <w:r>
        <w:rPr>
          <w:rFonts w:eastAsia="宋体" w:cs="宋体" w:ascii="宋体" w:hAnsi="宋体"/>
          <w:color w:val="000000"/>
          <w:szCs w:val="21"/>
        </w:rPr>
        <w:t>1</w:t>
      </w:r>
      <w:r>
        <w:rPr>
          <w:rFonts w:ascii="宋体" w:hAnsi="宋体" w:cs="宋体" w:eastAsia="宋体"/>
          <w:color w:val="000000"/>
          <w:szCs w:val="21"/>
        </w:rPr>
        <w:t>日内</w:t>
      </w:r>
      <w:bookmarkStart w:id="3" w:name="_Hlk482089550"/>
      <w:r>
        <w:rPr>
          <w:rFonts w:ascii="宋体" w:hAnsi="宋体" w:cs="宋体" w:eastAsia="宋体"/>
          <w:color w:val="000000"/>
          <w:szCs w:val="21"/>
        </w:rPr>
        <w:t>启动“召回程序”</w:t>
      </w:r>
      <w:bookmarkEnd w:id="3"/>
      <w:r>
        <w:rPr>
          <w:rFonts w:ascii="宋体" w:hAnsi="宋体" w:cs="宋体" w:eastAsia="宋体"/>
          <w:color w:val="000000"/>
          <w:szCs w:val="21"/>
        </w:rPr>
        <w:t>并通知到有关医疗器械经营企业、使用单位或者告知使用者，同时立即向产品注册的食品药品监督管理部门和浙江省局报告。</w:t>
      </w:r>
    </w:p>
    <w:p>
      <w:pPr>
        <w:pStyle w:val="Normal"/>
        <w:widowControl/>
        <w:spacing w:lineRule="auto" w:line="360"/>
        <w:ind w:firstLine="630"/>
        <w:rPr>
          <w:rFonts w:ascii="宋体" w:hAnsi="宋体" w:eastAsia="宋体" w:cs="宋体"/>
          <w:color w:val="000000"/>
          <w:szCs w:val="21"/>
        </w:rPr>
      </w:pPr>
      <w:r>
        <w:rPr>
          <w:rFonts w:eastAsia="宋体" w:cs="宋体" w:ascii="宋体" w:hAnsi="宋体"/>
          <w:color w:val="000000"/>
          <w:szCs w:val="21"/>
        </w:rPr>
        <w:t>2</w:t>
      </w:r>
      <w:r>
        <w:rPr>
          <w:rFonts w:ascii="宋体" w:hAnsi="宋体" w:cs="宋体" w:eastAsia="宋体"/>
          <w:color w:val="000000"/>
          <w:szCs w:val="21"/>
        </w:rPr>
        <w:t>）实施二级召回的，在</w:t>
      </w:r>
      <w:r>
        <w:rPr>
          <w:rFonts w:eastAsia="宋体" w:cs="宋体" w:ascii="宋体" w:hAnsi="宋体"/>
          <w:color w:val="000000"/>
          <w:szCs w:val="21"/>
        </w:rPr>
        <w:t>3</w:t>
      </w:r>
      <w:r>
        <w:rPr>
          <w:rFonts w:ascii="宋体" w:hAnsi="宋体" w:cs="宋体" w:eastAsia="宋体"/>
          <w:color w:val="000000"/>
          <w:szCs w:val="21"/>
        </w:rPr>
        <w:t>日内启动“召回程序”并通知到有关医疗器械经营企业、使用单位或者告知使用者。同时立即向产品注册的食品药品监督管理部门和浙江省局报告。</w:t>
      </w:r>
    </w:p>
    <w:p>
      <w:pPr>
        <w:pStyle w:val="Normal"/>
        <w:widowControl/>
        <w:spacing w:lineRule="auto" w:line="360"/>
        <w:ind w:firstLine="630"/>
        <w:rPr>
          <w:rFonts w:ascii="宋体" w:hAnsi="宋体" w:eastAsia="宋体" w:cs="宋体"/>
          <w:color w:val="000000"/>
          <w:szCs w:val="21"/>
        </w:rPr>
      </w:pPr>
      <w:r>
        <w:rPr>
          <w:rFonts w:eastAsia="宋体" w:cs="宋体" w:ascii="宋体" w:hAnsi="宋体"/>
          <w:color w:val="000000"/>
          <w:szCs w:val="21"/>
        </w:rPr>
        <w:t>3</w:t>
      </w:r>
      <w:r>
        <w:rPr>
          <w:rFonts w:ascii="宋体" w:hAnsi="宋体" w:cs="宋体" w:eastAsia="宋体"/>
          <w:color w:val="000000"/>
          <w:szCs w:val="21"/>
        </w:rPr>
        <w:t>）实施</w:t>
      </w:r>
      <w:r>
        <w:rPr>
          <w:rFonts w:ascii="宋体" w:hAnsi="宋体" w:cs="宋体" w:eastAsia="宋体"/>
          <w:color w:val="000000"/>
          <w:szCs w:val="21"/>
          <w:lang w:val="en-US" w:eastAsia="zh-CN"/>
        </w:rPr>
        <w:t>三</w:t>
      </w:r>
      <w:r>
        <w:rPr>
          <w:rFonts w:ascii="宋体" w:hAnsi="宋体" w:cs="宋体" w:eastAsia="宋体"/>
          <w:color w:val="000000"/>
          <w:szCs w:val="21"/>
        </w:rPr>
        <w:t>级召回的，在</w:t>
      </w:r>
      <w:r>
        <w:rPr>
          <w:rFonts w:eastAsia="宋体" w:cs="宋体" w:ascii="宋体" w:hAnsi="宋体"/>
          <w:color w:val="000000"/>
          <w:szCs w:val="21"/>
        </w:rPr>
        <w:t>7</w:t>
      </w:r>
      <w:r>
        <w:rPr>
          <w:rFonts w:ascii="宋体" w:hAnsi="宋体" w:cs="宋体" w:eastAsia="宋体"/>
          <w:color w:val="000000"/>
          <w:szCs w:val="21"/>
        </w:rPr>
        <w:t>日内启动“召回程序”并通知到有关医疗器械经营企业、使用单位或者告知使用者。同时立即向产品注册的食品药品监督管理部门和浙江省局报告。</w:t>
      </w:r>
    </w:p>
    <w:p>
      <w:pPr>
        <w:pStyle w:val="Normal"/>
        <w:widowControl/>
        <w:spacing w:lineRule="auto" w:line="360"/>
        <w:rPr>
          <w:rFonts w:ascii="宋体" w:hAnsi="宋体" w:eastAsia="宋体" w:cs="宋体"/>
          <w:color w:val="000000"/>
          <w:szCs w:val="21"/>
        </w:rPr>
      </w:pPr>
      <w:r>
        <w:rPr>
          <w:rFonts w:eastAsia="宋体" w:cs="宋体" w:ascii="宋体" w:hAnsi="宋体"/>
          <w:szCs w:val="21"/>
        </w:rPr>
        <w:t xml:space="preserve">4.1.5 </w:t>
      </w:r>
      <w:r>
        <w:rPr>
          <w:rFonts w:ascii="宋体" w:hAnsi="宋体" w:cs="宋体" w:eastAsia="宋体"/>
          <w:color w:val="000000"/>
          <w:szCs w:val="21"/>
        </w:rPr>
        <w:t>召回通知应当包括以下内容：</w:t>
      </w:r>
      <w:r>
        <w:rPr>
          <w:rFonts w:eastAsia="宋体" w:cs="宋体" w:ascii="宋体" w:hAnsi="宋体"/>
          <w:color w:val="000000"/>
          <w:sz w:val="18"/>
          <w:szCs w:val="18"/>
        </w:rPr>
        <w:br/>
      </w:r>
      <w:r>
        <w:rPr>
          <w:rFonts w:ascii="宋体" w:hAnsi="宋体" w:cs="宋体" w:eastAsia="宋体"/>
          <w:color w:val="000000"/>
          <w:szCs w:val="21"/>
        </w:rPr>
        <w:t>　　（一）召回医疗器械名称、型号规格、批次等基本信息；</w:t>
      </w:r>
      <w:r>
        <w:rPr>
          <w:rFonts w:eastAsia="宋体" w:cs="宋体" w:ascii="宋体" w:hAnsi="宋体"/>
          <w:color w:val="000000"/>
          <w:sz w:val="18"/>
          <w:szCs w:val="18"/>
        </w:rPr>
        <w:br/>
      </w:r>
      <w:r>
        <w:rPr>
          <w:rFonts w:ascii="宋体" w:hAnsi="宋体" w:cs="宋体" w:eastAsia="宋体"/>
          <w:color w:val="000000"/>
          <w:szCs w:val="21"/>
        </w:rPr>
        <w:t>　　（二）召回的原因；</w:t>
      </w:r>
      <w:r>
        <w:rPr>
          <w:rFonts w:eastAsia="宋体" w:cs="宋体" w:ascii="宋体" w:hAnsi="宋体"/>
          <w:color w:val="000000"/>
          <w:sz w:val="18"/>
          <w:szCs w:val="18"/>
        </w:rPr>
        <w:br/>
      </w:r>
      <w:r>
        <w:rPr>
          <w:rFonts w:ascii="宋体" w:hAnsi="宋体" w:cs="宋体" w:eastAsia="宋体"/>
          <w:color w:val="000000"/>
          <w:szCs w:val="21"/>
        </w:rPr>
        <w:t>　　（三）召回的要求，如立即暂停销售和使用该产品、将召回通知转发到相关经营企业或者使用单位等；</w:t>
      </w:r>
      <w:r>
        <w:rPr>
          <w:rFonts w:eastAsia="宋体" w:cs="宋体" w:ascii="宋体" w:hAnsi="宋体"/>
          <w:color w:val="000000"/>
          <w:sz w:val="18"/>
          <w:szCs w:val="18"/>
        </w:rPr>
        <w:br/>
      </w:r>
      <w:r>
        <w:rPr>
          <w:rFonts w:ascii="宋体" w:hAnsi="宋体" w:cs="宋体" w:eastAsia="宋体"/>
          <w:color w:val="000000"/>
          <w:szCs w:val="21"/>
        </w:rPr>
        <w:t>　　（四）召回医疗器械的处理方式。如果为“</w:t>
      </w:r>
      <w:r>
        <w:rPr>
          <w:rFonts w:ascii="宋体" w:hAnsi="宋体" w:cs="宋体" w:eastAsia="宋体"/>
          <w:color w:val="000000"/>
          <w:szCs w:val="21"/>
        </w:rPr>
        <w:t>网络安全事件</w:t>
      </w:r>
      <w:r>
        <w:rPr>
          <w:rFonts w:ascii="宋体" w:hAnsi="宋体" w:cs="宋体" w:eastAsia="宋体"/>
          <w:color w:val="000000"/>
          <w:szCs w:val="21"/>
        </w:rPr>
        <w:t>”，应制定“</w:t>
      </w:r>
      <w:r>
        <w:rPr>
          <w:rFonts w:ascii="宋体" w:hAnsi="宋体" w:cs="宋体" w:eastAsia="宋体"/>
          <w:color w:val="000000"/>
          <w:szCs w:val="21"/>
        </w:rPr>
        <w:t>应急响应措施</w:t>
      </w:r>
      <w:r>
        <w:rPr>
          <w:rFonts w:ascii="宋体" w:hAnsi="宋体" w:cs="宋体" w:eastAsia="宋体"/>
          <w:color w:val="000000"/>
          <w:szCs w:val="21"/>
        </w:rPr>
        <w:t>”，告知</w:t>
      </w:r>
      <w:r>
        <w:rPr>
          <w:rFonts w:ascii="宋体" w:hAnsi="宋体" w:cs="宋体" w:eastAsia="宋体"/>
          <w:color w:val="000000"/>
          <w:szCs w:val="21"/>
        </w:rPr>
        <w:t>用户</w:t>
      </w:r>
      <w:r>
        <w:rPr>
          <w:rFonts w:ascii="宋体" w:hAnsi="宋体" w:cs="宋体" w:eastAsia="宋体"/>
          <w:color w:val="000000"/>
          <w:szCs w:val="21"/>
        </w:rPr>
        <w:t>并实施打补丁或者软件升级等</w:t>
      </w:r>
      <w:r>
        <w:rPr>
          <w:rFonts w:ascii="宋体" w:hAnsi="宋体" w:cs="宋体" w:eastAsia="宋体"/>
          <w:color w:val="000000"/>
          <w:szCs w:val="21"/>
        </w:rPr>
        <w:t>活动。</w:t>
      </w:r>
    </w:p>
    <w:p>
      <w:pPr>
        <w:pStyle w:val="Normal"/>
        <w:widowControl/>
        <w:spacing w:lineRule="auto" w:line="360"/>
        <w:rPr>
          <w:rFonts w:ascii="宋体" w:hAnsi="宋体" w:eastAsia="宋体" w:cs="宋体"/>
          <w:color w:val="000000"/>
          <w:szCs w:val="21"/>
        </w:rPr>
      </w:pPr>
      <w:r>
        <w:rPr>
          <w:rFonts w:eastAsia="宋体" w:cs="宋体" w:ascii="宋体" w:hAnsi="宋体"/>
          <w:color w:val="000000"/>
          <w:szCs w:val="21"/>
        </w:rPr>
        <w:t xml:space="preserve">4.1.6 </w:t>
      </w:r>
      <w:r>
        <w:rPr>
          <w:rFonts w:ascii="宋体" w:hAnsi="宋体" w:cs="宋体" w:eastAsia="宋体"/>
          <w:color w:val="000000"/>
          <w:szCs w:val="21"/>
        </w:rPr>
        <w:t>向主管当局报告的要求：</w:t>
      </w:r>
    </w:p>
    <w:p>
      <w:pPr>
        <w:pStyle w:val="Normal"/>
        <w:widowControl/>
        <w:spacing w:lineRule="auto" w:line="360"/>
        <w:ind w:firstLine="630"/>
        <w:rPr>
          <w:rFonts w:ascii="宋体" w:hAnsi="宋体" w:eastAsia="宋体" w:cs="宋体"/>
          <w:color w:val="000000"/>
          <w:szCs w:val="21"/>
        </w:rPr>
      </w:pPr>
      <w:r>
        <w:rPr>
          <w:rFonts w:ascii="宋体" w:hAnsi="宋体" w:cs="宋体" w:eastAsia="宋体"/>
          <w:color w:val="000000"/>
          <w:szCs w:val="21"/>
        </w:rPr>
        <w:t>启动“产品召回程序后”，立即主管的食品药品监督管理局向提交《医疗器械召回事件报告表》，并在</w:t>
      </w:r>
      <w:r>
        <w:rPr>
          <w:rFonts w:eastAsia="宋体" w:cs="宋体" w:ascii="宋体" w:hAnsi="宋体"/>
          <w:color w:val="000000"/>
          <w:szCs w:val="21"/>
        </w:rPr>
        <w:t>5</w:t>
      </w:r>
      <w:r>
        <w:rPr>
          <w:rFonts w:ascii="宋体" w:hAnsi="宋体" w:cs="宋体" w:eastAsia="宋体"/>
          <w:color w:val="000000"/>
          <w:szCs w:val="21"/>
        </w:rPr>
        <w:t>个工作日内提交“调查评估报告”和“召回计划”进行备案。</w:t>
      </w:r>
    </w:p>
    <w:p>
      <w:pPr>
        <w:pStyle w:val="Normal"/>
        <w:widowControl/>
        <w:spacing w:lineRule="auto" w:line="360"/>
        <w:ind w:firstLine="424"/>
        <w:rPr>
          <w:rFonts w:ascii="宋体" w:hAnsi="宋体" w:eastAsia="宋体" w:cs="宋体"/>
          <w:color w:val="000000"/>
          <w:szCs w:val="21"/>
        </w:rPr>
      </w:pPr>
      <w:r>
        <w:rPr>
          <w:rFonts w:eastAsia="宋体" w:cs="宋体" w:ascii="宋体" w:hAnsi="宋体"/>
          <w:color w:val="000000"/>
          <w:szCs w:val="21"/>
        </w:rPr>
        <w:t>4.1.6.1</w:t>
      </w:r>
      <w:r>
        <w:rPr>
          <w:rFonts w:ascii="宋体" w:hAnsi="宋体" w:cs="宋体" w:eastAsia="宋体"/>
          <w:color w:val="000000"/>
          <w:szCs w:val="21"/>
        </w:rPr>
        <w:t>调查评估报告应当包括以下内容：</w:t>
      </w:r>
      <w:r>
        <w:rPr>
          <w:rFonts w:eastAsia="宋体" w:cs="宋体" w:ascii="宋体" w:hAnsi="宋体"/>
          <w:color w:val="000000"/>
          <w:sz w:val="18"/>
          <w:szCs w:val="18"/>
        </w:rPr>
        <w:br/>
      </w:r>
      <w:r>
        <w:rPr>
          <w:rFonts w:ascii="宋体" w:hAnsi="宋体" w:cs="宋体" w:eastAsia="宋体"/>
          <w:color w:val="000000"/>
          <w:szCs w:val="21"/>
        </w:rPr>
        <w:t>　　（一）召回产品的具体情况，包括名称、型号规格、批次等基本信息；</w:t>
      </w:r>
      <w:r>
        <w:rPr>
          <w:rFonts w:eastAsia="宋体" w:cs="宋体" w:ascii="宋体" w:hAnsi="宋体"/>
          <w:color w:val="000000"/>
          <w:sz w:val="18"/>
          <w:szCs w:val="18"/>
        </w:rPr>
        <w:br/>
      </w:r>
      <w:r>
        <w:rPr>
          <w:rFonts w:ascii="宋体" w:hAnsi="宋体" w:cs="宋体" w:eastAsia="宋体"/>
          <w:color w:val="000000"/>
          <w:szCs w:val="21"/>
        </w:rPr>
        <w:t>　　（二）实施召回的原因；</w:t>
      </w:r>
      <w:r>
        <w:rPr>
          <w:rFonts w:eastAsia="宋体" w:cs="宋体" w:ascii="宋体" w:hAnsi="宋体"/>
          <w:color w:val="000000"/>
          <w:sz w:val="18"/>
          <w:szCs w:val="18"/>
        </w:rPr>
        <w:br/>
      </w:r>
      <w:r>
        <w:rPr>
          <w:rFonts w:ascii="宋体" w:hAnsi="宋体" w:cs="宋体" w:eastAsia="宋体"/>
          <w:color w:val="000000"/>
          <w:szCs w:val="21"/>
        </w:rPr>
        <w:t>　　（三）调查评估结果；</w:t>
      </w:r>
      <w:r>
        <w:rPr>
          <w:rFonts w:eastAsia="宋体" w:cs="宋体" w:ascii="宋体" w:hAnsi="宋体"/>
          <w:color w:val="000000"/>
          <w:sz w:val="18"/>
          <w:szCs w:val="18"/>
        </w:rPr>
        <w:br/>
      </w:r>
      <w:r>
        <w:rPr>
          <w:rFonts w:ascii="宋体" w:hAnsi="宋体" w:cs="宋体" w:eastAsia="宋体"/>
          <w:color w:val="000000"/>
          <w:szCs w:val="21"/>
        </w:rPr>
        <w:t>　　（四）召回分级。</w:t>
      </w:r>
      <w:r>
        <w:rPr>
          <w:rFonts w:eastAsia="宋体" w:cs="宋体" w:ascii="宋体" w:hAnsi="宋体"/>
          <w:color w:val="000000"/>
          <w:sz w:val="18"/>
          <w:szCs w:val="18"/>
        </w:rPr>
        <w:br/>
      </w:r>
      <w:r>
        <w:rPr>
          <w:rFonts w:ascii="宋体" w:hAnsi="宋体" w:cs="宋体" w:eastAsia="宋体"/>
          <w:color w:val="000000"/>
          <w:szCs w:val="21"/>
        </w:rPr>
        <w:t>　　</w:t>
      </w:r>
      <w:r>
        <w:rPr>
          <w:rFonts w:eastAsia="宋体" w:cs="宋体" w:ascii="宋体" w:hAnsi="宋体"/>
          <w:color w:val="000000"/>
          <w:szCs w:val="21"/>
        </w:rPr>
        <w:t xml:space="preserve">4.1.6.2 </w:t>
      </w:r>
      <w:r>
        <w:rPr>
          <w:rFonts w:ascii="宋体" w:hAnsi="宋体" w:cs="宋体" w:eastAsia="宋体"/>
          <w:color w:val="000000"/>
          <w:szCs w:val="21"/>
        </w:rPr>
        <w:t>召回计划应当包括以下内容：</w:t>
      </w:r>
      <w:r>
        <w:rPr>
          <w:rFonts w:eastAsia="宋体" w:cs="宋体" w:ascii="宋体" w:hAnsi="宋体"/>
          <w:color w:val="000000"/>
          <w:sz w:val="18"/>
          <w:szCs w:val="18"/>
        </w:rPr>
        <w:br/>
      </w:r>
      <w:r>
        <w:rPr>
          <w:rFonts w:ascii="宋体" w:hAnsi="宋体" w:cs="宋体" w:eastAsia="宋体"/>
          <w:color w:val="000000"/>
          <w:szCs w:val="21"/>
        </w:rPr>
        <w:t>　　（一）生产销售情况及拟召回的数量；</w:t>
      </w:r>
      <w:r>
        <w:rPr>
          <w:rFonts w:eastAsia="宋体" w:cs="宋体" w:ascii="宋体" w:hAnsi="宋体"/>
          <w:color w:val="000000"/>
          <w:sz w:val="18"/>
          <w:szCs w:val="18"/>
        </w:rPr>
        <w:br/>
      </w:r>
      <w:r>
        <w:rPr>
          <w:rFonts w:ascii="宋体" w:hAnsi="宋体" w:cs="宋体" w:eastAsia="宋体"/>
          <w:color w:val="000000"/>
          <w:szCs w:val="21"/>
        </w:rPr>
        <w:t>　　（二）召回措施的具体内容，包括实施的组织、范围和时限等；</w:t>
      </w:r>
      <w:r>
        <w:rPr>
          <w:rFonts w:eastAsia="宋体" w:cs="宋体" w:ascii="宋体" w:hAnsi="宋体"/>
          <w:color w:val="000000"/>
          <w:sz w:val="18"/>
          <w:szCs w:val="18"/>
        </w:rPr>
        <w:br/>
      </w:r>
      <w:r>
        <w:rPr>
          <w:rFonts w:ascii="宋体" w:hAnsi="宋体" w:cs="宋体" w:eastAsia="宋体"/>
          <w:color w:val="000000"/>
          <w:szCs w:val="21"/>
        </w:rPr>
        <w:t>　　（三）召回信息的公布途径与范围；</w:t>
      </w:r>
      <w:r>
        <w:rPr>
          <w:rFonts w:eastAsia="宋体" w:cs="宋体" w:ascii="宋体" w:hAnsi="宋体"/>
          <w:color w:val="000000"/>
          <w:sz w:val="18"/>
          <w:szCs w:val="18"/>
        </w:rPr>
        <w:br/>
      </w:r>
      <w:r>
        <w:rPr>
          <w:rFonts w:ascii="宋体" w:hAnsi="宋体" w:cs="宋体" w:eastAsia="宋体"/>
          <w:color w:val="000000"/>
          <w:szCs w:val="21"/>
        </w:rPr>
        <w:t>　　（四）召回的预期效果；</w:t>
      </w:r>
      <w:r>
        <w:rPr>
          <w:rFonts w:eastAsia="宋体" w:cs="宋体" w:ascii="宋体" w:hAnsi="宋体"/>
          <w:color w:val="000000"/>
          <w:sz w:val="18"/>
          <w:szCs w:val="18"/>
        </w:rPr>
        <w:br/>
      </w:r>
      <w:r>
        <w:rPr>
          <w:rFonts w:ascii="宋体" w:hAnsi="宋体" w:cs="宋体" w:eastAsia="宋体"/>
          <w:color w:val="000000"/>
          <w:szCs w:val="21"/>
        </w:rPr>
        <w:t>　　（五）召回后的处理措施。</w:t>
      </w:r>
    </w:p>
    <w:p>
      <w:pPr>
        <w:pStyle w:val="Normal"/>
        <w:widowControl/>
        <w:spacing w:lineRule="auto" w:line="360"/>
        <w:ind w:firstLine="420"/>
        <w:rPr>
          <w:rFonts w:ascii="宋体" w:hAnsi="宋体" w:eastAsia="宋体" w:cs="宋体"/>
          <w:color w:val="000000"/>
          <w:szCs w:val="21"/>
        </w:rPr>
      </w:pPr>
      <w:r>
        <w:rPr>
          <w:rFonts w:eastAsia="宋体" w:cs="宋体" w:ascii="宋体" w:hAnsi="宋体"/>
          <w:color w:val="000000"/>
          <w:szCs w:val="21"/>
        </w:rPr>
        <w:t xml:space="preserve">4.1.6.3 </w:t>
      </w:r>
      <w:r>
        <w:rPr>
          <w:rFonts w:ascii="宋体" w:hAnsi="宋体" w:cs="宋体" w:eastAsia="宋体"/>
          <w:color w:val="000000"/>
          <w:szCs w:val="21"/>
        </w:rPr>
        <w:t>上报的召回计划有变更的，应当及时报所在</w:t>
      </w:r>
      <w:bookmarkStart w:id="4" w:name="_Hlk482090494"/>
      <w:r>
        <w:rPr>
          <w:rFonts w:ascii="宋体" w:hAnsi="宋体" w:cs="宋体" w:eastAsia="宋体"/>
          <w:color w:val="000000"/>
          <w:szCs w:val="21"/>
        </w:rPr>
        <w:t>浙江省食品药品监督管理局</w:t>
      </w:r>
      <w:bookmarkEnd w:id="4"/>
      <w:r>
        <w:rPr>
          <w:rFonts w:ascii="宋体" w:hAnsi="宋体" w:cs="宋体" w:eastAsia="宋体"/>
          <w:color w:val="000000"/>
          <w:szCs w:val="21"/>
        </w:rPr>
        <w:t>备案。在实施召回的过程中，应当根据召回计划定期向浙江省食品药品监督管理局提交召回计划实施情况报告。</w:t>
      </w:r>
    </w:p>
    <w:p>
      <w:pPr>
        <w:pStyle w:val="Normal"/>
        <w:widowControl/>
        <w:spacing w:lineRule="auto" w:line="360"/>
        <w:ind w:firstLine="420"/>
        <w:rPr>
          <w:rFonts w:ascii="宋体" w:hAnsi="宋体" w:eastAsia="宋体" w:cs="宋体"/>
          <w:color w:val="000000"/>
          <w:szCs w:val="21"/>
        </w:rPr>
      </w:pPr>
      <w:r>
        <w:rPr>
          <w:rFonts w:eastAsia="宋体" w:cs="宋体" w:ascii="宋体" w:hAnsi="宋体"/>
          <w:color w:val="000000"/>
          <w:szCs w:val="21"/>
        </w:rPr>
        <w:t>4.1.6.4</w:t>
      </w:r>
      <w:r>
        <w:rPr>
          <w:rFonts w:ascii="宋体" w:hAnsi="宋体" w:cs="宋体" w:eastAsia="宋体"/>
          <w:color w:val="000000"/>
          <w:szCs w:val="21"/>
        </w:rPr>
        <w:t>在召回完成后</w:t>
      </w:r>
      <w:r>
        <w:rPr>
          <w:rFonts w:eastAsia="宋体" w:cs="宋体" w:ascii="宋体" w:hAnsi="宋体"/>
          <w:color w:val="000000"/>
          <w:szCs w:val="21"/>
        </w:rPr>
        <w:t>10</w:t>
      </w:r>
      <w:r>
        <w:rPr>
          <w:rFonts w:ascii="宋体" w:hAnsi="宋体" w:cs="宋体" w:eastAsia="宋体"/>
          <w:color w:val="000000"/>
          <w:szCs w:val="21"/>
        </w:rPr>
        <w:t>个工作日内对召回效果进行评估，并向浙江省食品药品监督管理局提交医疗器械召回总结评估报告。</w:t>
      </w:r>
    </w:p>
    <w:p>
      <w:pPr>
        <w:pStyle w:val="Normal"/>
        <w:spacing w:lineRule="auto" w:line="360"/>
        <w:ind w:firstLine="420"/>
        <w:textAlignment w:val="baseline"/>
        <w:rPr>
          <w:rFonts w:ascii="宋体" w:hAnsi="宋体" w:eastAsia="宋体" w:cs="宋体"/>
          <w:szCs w:val="21"/>
        </w:rPr>
      </w:pPr>
      <w:r>
        <w:rPr>
          <w:rFonts w:eastAsia="宋体" w:cs="宋体" w:ascii="宋体" w:hAnsi="宋体"/>
          <w:color w:val="000000"/>
          <w:szCs w:val="21"/>
        </w:rPr>
        <w:t>4.1.6.5</w:t>
      </w:r>
      <w:r>
        <w:rPr>
          <w:rFonts w:ascii="宋体" w:hAnsi="宋体" w:cs="宋体" w:eastAsia="宋体"/>
          <w:color w:val="000000"/>
          <w:szCs w:val="21"/>
        </w:rPr>
        <w:t>如果省局对召回效果进行评估后认为召回尚未有效消除产品缺陷或者控制产品风险的，应当按照食品药品监督管理部门的要求进行重新召回。</w:t>
      </w:r>
    </w:p>
    <w:p>
      <w:pPr>
        <w:pStyle w:val="Normal"/>
        <w:widowControl/>
        <w:spacing w:lineRule="auto" w:line="360"/>
        <w:rPr>
          <w:rFonts w:ascii="宋体" w:hAnsi="宋体" w:eastAsia="宋体" w:cs="宋体"/>
          <w:color w:val="000000"/>
          <w:szCs w:val="21"/>
        </w:rPr>
      </w:pPr>
      <w:r>
        <w:rPr>
          <w:rFonts w:eastAsia="宋体" w:cs="宋体" w:ascii="宋体" w:hAnsi="宋体"/>
          <w:color w:val="000000"/>
          <w:szCs w:val="21"/>
        </w:rPr>
        <w:t xml:space="preserve">4.1.7 </w:t>
      </w:r>
      <w:r>
        <w:rPr>
          <w:rFonts w:ascii="宋体" w:hAnsi="宋体" w:cs="宋体" w:eastAsia="宋体"/>
          <w:color w:val="000000"/>
          <w:szCs w:val="21"/>
        </w:rPr>
        <w:t>记录的要求</w:t>
      </w:r>
    </w:p>
    <w:p>
      <w:pPr>
        <w:pStyle w:val="Normal"/>
        <w:widowControl/>
        <w:spacing w:lineRule="auto" w:line="360"/>
        <w:ind w:firstLine="630"/>
        <w:rPr>
          <w:rFonts w:ascii="宋体" w:hAnsi="宋体" w:eastAsia="宋体" w:cs="宋体"/>
          <w:color w:val="000000"/>
          <w:szCs w:val="21"/>
        </w:rPr>
      </w:pPr>
      <w:r>
        <w:rPr>
          <w:rFonts w:ascii="宋体" w:hAnsi="宋体" w:cs="宋体" w:eastAsia="宋体"/>
          <w:color w:val="000000"/>
          <w:szCs w:val="21"/>
        </w:rPr>
        <w:t>质量部对召回医疗器械的处理过程进行详细记录并保存</w:t>
      </w:r>
      <w:r>
        <w:rPr>
          <w:rFonts w:eastAsia="宋体" w:cs="宋体" w:ascii="宋体" w:hAnsi="宋体"/>
          <w:color w:val="000000"/>
          <w:szCs w:val="21"/>
        </w:rPr>
        <w:t>1</w:t>
      </w:r>
      <w:r>
        <w:rPr>
          <w:rFonts w:eastAsia="宋体" w:cs="宋体" w:ascii="宋体" w:hAnsi="宋体"/>
          <w:color w:val="000000"/>
          <w:szCs w:val="21"/>
        </w:rPr>
        <w:t>0</w:t>
      </w:r>
      <w:r>
        <w:rPr>
          <w:rFonts w:ascii="宋体" w:hAnsi="宋体" w:cs="宋体" w:eastAsia="宋体"/>
          <w:color w:val="000000"/>
          <w:szCs w:val="21"/>
        </w:rPr>
        <w:t>年。</w:t>
      </w:r>
    </w:p>
    <w:p>
      <w:pPr>
        <w:pStyle w:val="Normal"/>
        <w:widowControl/>
        <w:spacing w:lineRule="auto" w:line="360"/>
        <w:rPr>
          <w:rFonts w:ascii="宋体" w:hAnsi="宋体" w:eastAsia="宋体" w:cs="宋体"/>
          <w:b/>
          <w:b/>
          <w:color w:val="000000"/>
          <w:szCs w:val="21"/>
        </w:rPr>
      </w:pPr>
      <w:r>
        <w:rPr>
          <w:rFonts w:eastAsia="宋体" w:cs="宋体" w:ascii="宋体" w:hAnsi="宋体"/>
          <w:b/>
          <w:color w:val="000000"/>
          <w:szCs w:val="21"/>
        </w:rPr>
        <w:t xml:space="preserve">4.2 </w:t>
      </w:r>
      <w:r>
        <w:rPr>
          <w:rFonts w:ascii="宋体" w:hAnsi="宋体" w:cs="宋体" w:eastAsia="宋体"/>
          <w:b/>
          <w:color w:val="000000"/>
          <w:szCs w:val="21"/>
        </w:rPr>
        <w:t>产品退回处理</w:t>
      </w:r>
    </w:p>
    <w:p>
      <w:pPr>
        <w:pStyle w:val="Normal"/>
        <w:autoSpaceDE w:val="false"/>
        <w:spacing w:lineRule="auto" w:line="360"/>
        <w:ind w:firstLine="420"/>
        <w:jc w:val="left"/>
        <w:textAlignment w:val="baseline"/>
        <w:rPr>
          <w:rFonts w:ascii="宋体" w:hAnsi="宋体" w:eastAsia="宋体" w:cs="宋体"/>
          <w:color w:val="000000"/>
          <w:kern w:val="0"/>
          <w:szCs w:val="21"/>
        </w:rPr>
      </w:pPr>
      <w:r>
        <w:rPr>
          <w:rFonts w:eastAsia="宋体" w:cs="宋体" w:ascii="宋体" w:hAnsi="宋体"/>
          <w:color w:val="000000"/>
          <w:kern w:val="0"/>
          <w:szCs w:val="21"/>
        </w:rPr>
        <w:t xml:space="preserve">4.2.1 </w:t>
      </w:r>
      <w:r>
        <w:rPr>
          <w:rFonts w:ascii="宋体" w:hAnsi="宋体" w:cs="宋体" w:eastAsia="宋体"/>
          <w:color w:val="000000"/>
          <w:kern w:val="0"/>
          <w:szCs w:val="21"/>
        </w:rPr>
        <w:t>本公司的产品为独立医疗软件，通常不存在“产品退回”的状态，根据具体的情况对医疗软件进行升级、打补丁或者注销等操作。</w:t>
      </w:r>
    </w:p>
    <w:p>
      <w:pPr>
        <w:pStyle w:val="Normal"/>
        <w:widowControl/>
        <w:spacing w:lineRule="auto" w:line="360"/>
        <w:ind w:firstLine="420"/>
        <w:rPr>
          <w:rFonts w:ascii="宋体" w:hAnsi="宋体" w:eastAsia="宋体" w:cs="宋体"/>
          <w:color w:val="000000"/>
          <w:szCs w:val="21"/>
        </w:rPr>
      </w:pPr>
      <w:r>
        <w:rPr>
          <w:rFonts w:eastAsia="宋体" w:cs="宋体" w:ascii="宋体" w:hAnsi="宋体"/>
          <w:color w:val="000000"/>
          <w:szCs w:val="21"/>
        </w:rPr>
        <w:t xml:space="preserve">4.2.2 </w:t>
      </w:r>
      <w:r>
        <w:rPr>
          <w:rFonts w:ascii="宋体" w:hAnsi="宋体" w:cs="宋体" w:eastAsia="宋体"/>
          <w:color w:val="000000"/>
          <w:szCs w:val="21"/>
        </w:rPr>
        <w:t>召回产品需要注销或者破坏使用的，应当在食品药品监督管理部门监督下执行。</w:t>
      </w:r>
    </w:p>
    <w:p>
      <w:pPr>
        <w:pStyle w:val="Normal"/>
        <w:spacing w:lineRule="auto" w:line="360"/>
        <w:rPr>
          <w:rFonts w:ascii="宋体" w:hAnsi="宋体" w:eastAsia="宋体" w:cs="宋体"/>
          <w:bCs/>
          <w:szCs w:val="21"/>
        </w:rPr>
      </w:pPr>
      <w:r>
        <w:rPr>
          <w:rFonts w:ascii="宋体" w:hAnsi="宋体" w:cs="宋体" w:eastAsia="宋体"/>
          <w:bCs/>
          <w:szCs w:val="21"/>
        </w:rPr>
        <w:t>忠告性通知发布要求</w:t>
      </w:r>
    </w:p>
    <w:p>
      <w:pPr>
        <w:pStyle w:val="Normal"/>
        <w:spacing w:lineRule="auto" w:line="360"/>
        <w:rPr>
          <w:rFonts w:ascii="宋体" w:hAnsi="宋体" w:eastAsia="宋体" w:cs="宋体"/>
          <w:szCs w:val="21"/>
        </w:rPr>
      </w:pPr>
      <w:r>
        <w:rPr>
          <w:rFonts w:eastAsia="宋体" w:cs="宋体" w:ascii="宋体" w:hAnsi="宋体"/>
          <w:szCs w:val="21"/>
        </w:rPr>
        <w:t xml:space="preserve">4.3 </w:t>
      </w:r>
      <w:r>
        <w:rPr>
          <w:rFonts w:ascii="宋体" w:hAnsi="宋体" w:cs="宋体" w:eastAsia="宋体"/>
          <w:b/>
          <w:bCs/>
          <w:szCs w:val="21"/>
        </w:rPr>
        <w:t>忠告性通知</w:t>
      </w:r>
    </w:p>
    <w:p>
      <w:pPr>
        <w:pStyle w:val="Normal"/>
        <w:spacing w:lineRule="auto" w:line="360"/>
        <w:ind w:firstLine="420"/>
        <w:rPr>
          <w:rFonts w:ascii="宋体" w:hAnsi="宋体" w:eastAsia="宋体" w:cs="宋体"/>
          <w:szCs w:val="21"/>
        </w:rPr>
      </w:pPr>
      <w:r>
        <w:rPr>
          <w:rFonts w:ascii="宋体" w:hAnsi="宋体" w:cs="宋体" w:eastAsia="宋体"/>
          <w:szCs w:val="21"/>
        </w:rPr>
        <w:t>作为“产品召回”的一种处理形式，对相关产品发布“忠告性通知”。根据管理者代表的批复，质量部组织生产部和研发部等有关部门评审，确定纠正或预防的信息，并起草忠告性通知，内容包括但不限于：</w:t>
      </w:r>
    </w:p>
    <w:p>
      <w:pPr>
        <w:pStyle w:val="Normal"/>
        <w:spacing w:lineRule="auto" w:line="360"/>
        <w:ind w:firstLine="1274"/>
        <w:rPr>
          <w:rFonts w:ascii="宋体" w:hAnsi="宋体" w:eastAsia="宋体" w:cs="宋体"/>
          <w:szCs w:val="21"/>
        </w:rPr>
      </w:pPr>
      <w:r>
        <w:rPr>
          <w:rFonts w:eastAsia="宋体" w:cs="宋体" w:ascii="宋体" w:hAnsi="宋体"/>
          <w:szCs w:val="21"/>
        </w:rPr>
        <w:t xml:space="preserve">a </w:t>
      </w:r>
      <w:r>
        <w:rPr>
          <w:rFonts w:ascii="宋体" w:hAnsi="宋体" w:cs="宋体" w:eastAsia="宋体"/>
          <w:szCs w:val="21"/>
        </w:rPr>
        <w:t>产品名称、规格型号；</w:t>
      </w:r>
    </w:p>
    <w:p>
      <w:pPr>
        <w:pStyle w:val="Normal"/>
        <w:tabs>
          <w:tab w:val="clear" w:pos="420"/>
          <w:tab w:val="left" w:pos="7560" w:leader="none"/>
        </w:tabs>
        <w:spacing w:lineRule="auto" w:line="360"/>
        <w:ind w:firstLine="1274"/>
        <w:rPr>
          <w:rFonts w:ascii="宋体" w:hAnsi="宋体" w:eastAsia="宋体" w:cs="宋体"/>
          <w:szCs w:val="21"/>
        </w:rPr>
      </w:pPr>
      <w:r>
        <w:rPr>
          <w:rFonts w:eastAsia="宋体" w:cs="宋体" w:ascii="宋体" w:hAnsi="宋体"/>
          <w:szCs w:val="21"/>
        </w:rPr>
        <w:t>b</w:t>
      </w:r>
      <w:r>
        <w:rPr>
          <w:rFonts w:ascii="宋体" w:hAnsi="宋体" w:cs="宋体" w:eastAsia="宋体"/>
          <w:szCs w:val="21"/>
        </w:rPr>
        <w:t>产品可追溯性标识；</w:t>
      </w:r>
      <w:r>
        <w:rPr>
          <w:rFonts w:eastAsia="宋体" w:cs="宋体" w:ascii="宋体" w:hAnsi="宋体"/>
          <w:szCs w:val="21"/>
        </w:rPr>
        <w:tab/>
      </w:r>
    </w:p>
    <w:p>
      <w:pPr>
        <w:pStyle w:val="Normal"/>
        <w:spacing w:lineRule="auto" w:line="360"/>
        <w:ind w:firstLine="1274"/>
        <w:rPr>
          <w:rFonts w:ascii="宋体" w:hAnsi="宋体" w:eastAsia="宋体" w:cs="宋体"/>
          <w:szCs w:val="21"/>
        </w:rPr>
      </w:pPr>
      <w:r>
        <w:rPr>
          <w:rFonts w:eastAsia="宋体" w:cs="宋体" w:ascii="宋体" w:hAnsi="宋体"/>
          <w:szCs w:val="21"/>
        </w:rPr>
        <w:t xml:space="preserve">c </w:t>
      </w:r>
      <w:r>
        <w:rPr>
          <w:rFonts w:ascii="宋体" w:hAnsi="宋体" w:cs="宋体" w:eastAsia="宋体"/>
          <w:szCs w:val="21"/>
        </w:rPr>
        <w:t>发布通知的理由；</w:t>
      </w:r>
    </w:p>
    <w:p>
      <w:pPr>
        <w:pStyle w:val="Normal"/>
        <w:spacing w:lineRule="auto" w:line="360"/>
        <w:ind w:firstLine="1274"/>
        <w:rPr>
          <w:rFonts w:ascii="宋体" w:hAnsi="宋体" w:eastAsia="宋体" w:cs="宋体"/>
          <w:szCs w:val="21"/>
        </w:rPr>
      </w:pPr>
      <w:r>
        <w:rPr>
          <w:rFonts w:eastAsia="宋体" w:cs="宋体" w:ascii="宋体" w:hAnsi="宋体"/>
          <w:szCs w:val="21"/>
        </w:rPr>
        <w:t xml:space="preserve">d </w:t>
      </w:r>
      <w:r>
        <w:rPr>
          <w:rFonts w:ascii="宋体" w:hAnsi="宋体" w:cs="宋体" w:eastAsia="宋体"/>
          <w:szCs w:val="21"/>
        </w:rPr>
        <w:t>可能造成的伤害；</w:t>
      </w:r>
    </w:p>
    <w:p>
      <w:pPr>
        <w:pStyle w:val="Normal"/>
        <w:spacing w:lineRule="auto" w:line="360"/>
        <w:ind w:firstLine="1274"/>
        <w:rPr>
          <w:rFonts w:ascii="宋体" w:hAnsi="宋体" w:eastAsia="宋体" w:cs="宋体"/>
          <w:szCs w:val="21"/>
        </w:rPr>
      </w:pPr>
      <w:r>
        <w:rPr>
          <w:rFonts w:eastAsia="宋体" w:cs="宋体" w:ascii="宋体" w:hAnsi="宋体"/>
          <w:szCs w:val="21"/>
        </w:rPr>
        <w:t xml:space="preserve">e </w:t>
      </w:r>
      <w:r>
        <w:rPr>
          <w:rFonts w:ascii="宋体" w:hAnsi="宋体" w:cs="宋体" w:eastAsia="宋体"/>
          <w:szCs w:val="21"/>
        </w:rPr>
        <w:t>采取的补救措施；</w:t>
      </w:r>
    </w:p>
    <w:p>
      <w:pPr>
        <w:pStyle w:val="Normal"/>
        <w:spacing w:lineRule="auto" w:line="360"/>
        <w:ind w:firstLine="1274"/>
        <w:rPr>
          <w:rFonts w:ascii="宋体" w:hAnsi="宋体" w:eastAsia="宋体" w:cs="宋体"/>
          <w:szCs w:val="21"/>
        </w:rPr>
      </w:pPr>
      <w:r>
        <w:rPr>
          <w:rFonts w:eastAsia="宋体" w:cs="宋体" w:ascii="宋体" w:hAnsi="宋体"/>
          <w:szCs w:val="21"/>
        </w:rPr>
        <w:t xml:space="preserve">f </w:t>
      </w:r>
      <w:r>
        <w:rPr>
          <w:rFonts w:ascii="宋体" w:hAnsi="宋体" w:cs="宋体" w:eastAsia="宋体"/>
          <w:szCs w:val="21"/>
        </w:rPr>
        <w:t>对分销商特别告示；</w:t>
      </w:r>
    </w:p>
    <w:p>
      <w:pPr>
        <w:pStyle w:val="Normal"/>
        <w:spacing w:lineRule="auto" w:line="360"/>
        <w:ind w:firstLine="1260"/>
        <w:rPr>
          <w:rFonts w:ascii="宋体" w:hAnsi="宋体" w:eastAsia="宋体" w:cs="宋体"/>
          <w:szCs w:val="21"/>
        </w:rPr>
      </w:pPr>
      <w:r>
        <w:rPr>
          <w:rFonts w:eastAsia="宋体" w:cs="宋体" w:ascii="宋体" w:hAnsi="宋体"/>
          <w:szCs w:val="21"/>
        </w:rPr>
        <w:t xml:space="preserve">g </w:t>
      </w:r>
      <w:r>
        <w:rPr>
          <w:rFonts w:ascii="宋体" w:hAnsi="宋体" w:cs="宋体" w:eastAsia="宋体"/>
          <w:szCs w:val="21"/>
        </w:rPr>
        <w:t>产品的处理（产品修改后的信息和正确使用方法或产品召回的理由和通知）。</w:t>
      </w:r>
    </w:p>
    <w:p>
      <w:pPr>
        <w:pStyle w:val="Normal"/>
        <w:spacing w:lineRule="auto" w:line="360"/>
        <w:ind w:firstLine="630"/>
        <w:rPr>
          <w:rFonts w:ascii="宋体" w:hAnsi="宋体" w:eastAsia="宋体" w:cs="宋体"/>
          <w:szCs w:val="21"/>
        </w:rPr>
      </w:pPr>
      <w:r>
        <w:rPr>
          <w:rFonts w:eastAsia="宋体" w:cs="宋体" w:ascii="宋体" w:hAnsi="宋体"/>
          <w:bCs/>
          <w:szCs w:val="21"/>
        </w:rPr>
        <w:t>4.9</w:t>
      </w:r>
      <w:r>
        <w:rPr>
          <w:rFonts w:eastAsia="宋体" w:cs="宋体" w:ascii="宋体" w:hAnsi="宋体"/>
          <w:bCs/>
          <w:szCs w:val="21"/>
        </w:rPr>
        <w:t>.</w:t>
      </w:r>
      <w:r>
        <w:rPr>
          <w:rFonts w:eastAsia="宋体" w:cs="宋体" w:ascii="宋体" w:hAnsi="宋体"/>
          <w:bCs/>
          <w:szCs w:val="21"/>
        </w:rPr>
        <w:t>1</w:t>
      </w:r>
      <w:r>
        <w:rPr>
          <w:rFonts w:ascii="宋体" w:hAnsi="宋体" w:cs="宋体" w:eastAsia="宋体"/>
          <w:szCs w:val="21"/>
        </w:rPr>
        <w:t>发布批准及途径</w:t>
      </w:r>
    </w:p>
    <w:p>
      <w:pPr>
        <w:pStyle w:val="Normal"/>
        <w:spacing w:lineRule="auto" w:line="360"/>
        <w:ind w:firstLine="840"/>
        <w:rPr>
          <w:rFonts w:ascii="宋体" w:hAnsi="宋体" w:eastAsia="宋体" w:cs="宋体"/>
          <w:szCs w:val="21"/>
        </w:rPr>
      </w:pPr>
      <w:r>
        <w:rPr>
          <w:rFonts w:eastAsia="宋体" w:cs="宋体" w:ascii="宋体" w:hAnsi="宋体"/>
          <w:szCs w:val="21"/>
        </w:rPr>
        <w:t xml:space="preserve">1) </w:t>
      </w:r>
      <w:r>
        <w:rPr>
          <w:rFonts w:ascii="宋体" w:hAnsi="宋体" w:cs="宋体" w:eastAsia="宋体"/>
          <w:szCs w:val="21"/>
        </w:rPr>
        <w:t>忠告性通知拟订后，由管理者代表审核后交企业负责人批准。</w:t>
      </w:r>
    </w:p>
    <w:p>
      <w:pPr>
        <w:pStyle w:val="Normal"/>
        <w:spacing w:lineRule="auto" w:line="360"/>
        <w:ind w:firstLine="840"/>
        <w:rPr>
          <w:rFonts w:ascii="宋体" w:hAnsi="宋体" w:eastAsia="宋体" w:cs="宋体"/>
          <w:color w:val="000000"/>
          <w:szCs w:val="21"/>
        </w:rPr>
      </w:pPr>
      <w:r>
        <w:rPr>
          <w:rFonts w:eastAsia="宋体" w:cs="宋体" w:ascii="宋体" w:hAnsi="宋体"/>
          <w:szCs w:val="21"/>
        </w:rPr>
        <w:t xml:space="preserve">2) </w:t>
      </w:r>
      <w:r>
        <w:rPr>
          <w:rFonts w:ascii="宋体" w:hAnsi="宋体" w:cs="宋体" w:eastAsia="宋体"/>
          <w:szCs w:val="21"/>
        </w:rPr>
        <w:t>销售部根据销售记录及客户档案，负责在第一时间内以电话、电子邮件或传真形式逐一传递，并确认接收；同时向监管当局和公告机构进行报告。</w:t>
      </w:r>
    </w:p>
    <w:p>
      <w:pPr>
        <w:pStyle w:val="Normal"/>
        <w:spacing w:lineRule="auto" w:line="360"/>
        <w:rPr>
          <w:rFonts w:ascii="宋体" w:hAnsi="宋体" w:eastAsia="宋体" w:cs="宋体"/>
          <w:b/>
          <w:b/>
          <w:szCs w:val="21"/>
        </w:rPr>
      </w:pPr>
      <w:r>
        <w:rPr>
          <w:rFonts w:eastAsia="宋体" w:cs="宋体" w:ascii="宋体" w:hAnsi="宋体"/>
          <w:b/>
          <w:szCs w:val="21"/>
        </w:rPr>
        <w:t>5</w:t>
      </w:r>
      <w:r>
        <w:rPr>
          <w:rFonts w:ascii="宋体" w:hAnsi="宋体" w:cs="宋体" w:eastAsia="宋体"/>
          <w:b/>
          <w:szCs w:val="21"/>
        </w:rPr>
        <w:t>、相关文件</w:t>
      </w:r>
    </w:p>
    <w:p>
      <w:pPr>
        <w:pStyle w:val="Normal"/>
        <w:spacing w:lineRule="auto" w:line="360"/>
        <w:ind w:firstLine="210"/>
        <w:rPr>
          <w:rFonts w:ascii="宋体" w:hAnsi="宋体" w:eastAsia="宋体" w:cs="宋体"/>
          <w:szCs w:val="21"/>
        </w:rPr>
      </w:pPr>
      <w:r>
        <w:rPr>
          <w:rFonts w:eastAsia="宋体" w:cs="宋体" w:ascii="宋体" w:hAnsi="宋体"/>
          <w:szCs w:val="21"/>
        </w:rPr>
        <w:t xml:space="preserve">  </w:t>
      </w:r>
      <w:r>
        <w:rPr>
          <w:rFonts w:ascii="宋体" w:hAnsi="宋体" w:cs="宋体" w:eastAsia="宋体"/>
          <w:szCs w:val="21"/>
        </w:rPr>
        <w:t>无</w:t>
      </w:r>
    </w:p>
    <w:p>
      <w:pPr>
        <w:pStyle w:val="Normal"/>
        <w:spacing w:lineRule="auto" w:line="360"/>
        <w:rPr>
          <w:rFonts w:ascii="宋体" w:hAnsi="宋体" w:eastAsia="宋体" w:cs="宋体"/>
          <w:b/>
          <w:b/>
          <w:szCs w:val="21"/>
        </w:rPr>
      </w:pPr>
      <w:r>
        <w:rPr>
          <w:rFonts w:eastAsia="宋体" w:cs="宋体" w:ascii="宋体" w:hAnsi="宋体"/>
          <w:b/>
          <w:szCs w:val="21"/>
        </w:rPr>
        <w:t>6</w:t>
      </w:r>
      <w:r>
        <w:rPr>
          <w:rFonts w:ascii="宋体" w:hAnsi="宋体" w:cs="宋体" w:eastAsia="宋体"/>
          <w:b/>
          <w:szCs w:val="21"/>
        </w:rPr>
        <w:t>、相关记录</w:t>
      </w:r>
    </w:p>
    <w:p>
      <w:pPr>
        <w:pStyle w:val="Normal"/>
        <w:spacing w:lineRule="auto" w:line="360"/>
        <w:ind w:firstLine="283"/>
        <w:rPr>
          <w:rFonts w:ascii="宋体" w:hAnsi="宋体" w:eastAsia="宋体" w:cs="宋体"/>
          <w:color w:val="000000"/>
          <w:szCs w:val="21"/>
        </w:rPr>
      </w:pPr>
      <w:r>
        <w:rPr>
          <w:rFonts w:eastAsia="宋体" w:cs="宋体" w:ascii="宋体" w:hAnsi="宋体"/>
          <w:szCs w:val="21"/>
        </w:rPr>
        <w:t>6.1 QMS-P19-R1</w:t>
      </w:r>
      <w:r>
        <w:rPr>
          <w:rFonts w:ascii="宋体" w:hAnsi="宋体" w:cs="宋体" w:eastAsia="宋体"/>
          <w:color w:val="000000"/>
          <w:szCs w:val="21"/>
        </w:rPr>
        <w:t>《医疗器械召回事件报告表》</w:t>
      </w:r>
    </w:p>
    <w:p>
      <w:pPr>
        <w:pStyle w:val="Normal"/>
        <w:spacing w:lineRule="auto" w:line="360"/>
        <w:ind w:firstLine="283"/>
        <w:rPr>
          <w:rFonts w:ascii="宋体" w:hAnsi="宋体" w:eastAsia="宋体" w:cs="宋体"/>
          <w:szCs w:val="21"/>
        </w:rPr>
      </w:pPr>
      <w:r>
        <w:rPr>
          <w:rFonts w:eastAsia="宋体" w:cs="宋体" w:ascii="宋体" w:hAnsi="宋体"/>
          <w:szCs w:val="21"/>
        </w:rPr>
        <w:t>6.2 QMS-P19-R2</w:t>
      </w:r>
      <w:r>
        <w:rPr>
          <w:rFonts w:ascii="宋体" w:hAnsi="宋体" w:cs="宋体" w:eastAsia="宋体"/>
          <w:szCs w:val="21"/>
        </w:rPr>
        <w:t>《召回情况实施报告》</w:t>
      </w:r>
    </w:p>
    <w:p>
      <w:pPr>
        <w:pStyle w:val="Normal"/>
        <w:spacing w:lineRule="auto" w:line="360"/>
        <w:rPr>
          <w:rFonts w:ascii="宋体" w:hAnsi="宋体" w:eastAsia="宋体" w:cs="宋体"/>
          <w:b/>
          <w:b/>
          <w:szCs w:val="21"/>
        </w:rPr>
      </w:pPr>
      <w:r>
        <w:rPr>
          <w:rFonts w:eastAsia="宋体" w:cs="宋体" w:ascii="宋体" w:hAnsi="宋体"/>
          <w:b/>
          <w:szCs w:val="21"/>
        </w:rPr>
        <w:t>7</w:t>
      </w:r>
      <w:r>
        <w:rPr>
          <w:rFonts w:ascii="宋体" w:hAnsi="宋体" w:cs="宋体" w:eastAsia="宋体"/>
          <w:b/>
          <w:szCs w:val="21"/>
        </w:rPr>
        <w:t>、文件变更履历</w:t>
      </w:r>
    </w:p>
    <w:tbl>
      <w:tblPr>
        <w:tblW w:w="9002" w:type="dxa"/>
        <w:jc w:val="left"/>
        <w:tblInd w:w="317" w:type="dxa"/>
        <w:tblLayout w:type="fixed"/>
        <w:tblCellMar>
          <w:top w:w="0" w:type="dxa"/>
          <w:left w:w="108" w:type="dxa"/>
          <w:bottom w:w="0" w:type="dxa"/>
          <w:right w:w="108" w:type="dxa"/>
        </w:tblCellMar>
      </w:tblPr>
      <w:tblGrid>
        <w:gridCol w:w="1101"/>
        <w:gridCol w:w="5494"/>
        <w:gridCol w:w="2407"/>
      </w:tblGrid>
      <w:tr>
        <w:trPr/>
        <w:tc>
          <w:tcPr>
            <w:tcW w:w="11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b/>
                <w:b/>
                <w:spacing w:val="-3"/>
                <w:szCs w:val="21"/>
              </w:rPr>
            </w:pPr>
            <w:r>
              <w:rPr>
                <w:rFonts w:ascii="宋体" w:hAnsi="宋体" w:cs="宋体" w:eastAsia="宋体"/>
                <w:b/>
                <w:spacing w:val="-3"/>
                <w:szCs w:val="21"/>
              </w:rPr>
              <w:t>版本号</w:t>
            </w:r>
          </w:p>
        </w:tc>
        <w:tc>
          <w:tcPr>
            <w:tcW w:w="54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b/>
                <w:b/>
                <w:spacing w:val="-3"/>
                <w:szCs w:val="21"/>
              </w:rPr>
            </w:pPr>
            <w:r>
              <w:rPr>
                <w:rFonts w:ascii="宋体" w:hAnsi="宋体" w:cs="宋体" w:eastAsia="宋体"/>
                <w:b/>
                <w:spacing w:val="-3"/>
                <w:szCs w:val="21"/>
              </w:rPr>
              <w:t>更改描述</w:t>
            </w:r>
          </w:p>
        </w:tc>
        <w:tc>
          <w:tcPr>
            <w:tcW w:w="24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b/>
                <w:b/>
                <w:spacing w:val="-3"/>
                <w:szCs w:val="21"/>
              </w:rPr>
            </w:pPr>
            <w:r>
              <w:rPr>
                <w:rFonts w:ascii="宋体" w:hAnsi="宋体" w:cs="宋体" w:eastAsia="宋体"/>
                <w:b/>
                <w:spacing w:val="-3"/>
                <w:szCs w:val="21"/>
              </w:rPr>
              <w:t>生效日期</w:t>
            </w:r>
          </w:p>
        </w:tc>
      </w:tr>
      <w:tr>
        <w:trPr/>
        <w:tc>
          <w:tcPr>
            <w:tcW w:w="11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spacing w:val="-3"/>
                <w:szCs w:val="21"/>
              </w:rPr>
            </w:pPr>
            <w:r>
              <w:rPr>
                <w:rFonts w:eastAsia="宋体" w:cs="宋体" w:ascii="宋体" w:hAnsi="宋体"/>
                <w:spacing w:val="-3"/>
                <w:szCs w:val="21"/>
              </w:rPr>
              <w:t>A00</w:t>
            </w:r>
          </w:p>
        </w:tc>
        <w:tc>
          <w:tcPr>
            <w:tcW w:w="54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spacing w:val="-3"/>
                <w:szCs w:val="21"/>
              </w:rPr>
            </w:pPr>
            <w:r>
              <w:rPr>
                <w:rFonts w:ascii="宋体" w:hAnsi="宋体" w:cs="宋体" w:eastAsia="宋体"/>
                <w:spacing w:val="-3"/>
                <w:szCs w:val="21"/>
              </w:rPr>
              <w:t>新程序</w:t>
            </w:r>
          </w:p>
        </w:tc>
        <w:tc>
          <w:tcPr>
            <w:tcW w:w="24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spacing w:val="-3"/>
                <w:szCs w:val="21"/>
              </w:rPr>
            </w:pPr>
            <w:r>
              <w:rPr>
                <w:rFonts w:eastAsia="宋体" w:ascii="宋体" w:hAnsi="宋体"/>
              </w:rPr>
              <w:t>20</w:t>
            </w:r>
            <w:r>
              <w:rPr>
                <w:rFonts w:eastAsia="宋体" w:ascii="宋体" w:hAnsi="宋体"/>
              </w:rPr>
              <w:t>20</w:t>
            </w:r>
            <w:r>
              <w:rPr>
                <w:rFonts w:eastAsia="宋体" w:ascii="宋体" w:hAnsi="宋体"/>
              </w:rPr>
              <w:t>-0</w:t>
            </w:r>
            <w:r>
              <w:rPr>
                <w:rFonts w:eastAsia="宋体" w:ascii="宋体" w:hAnsi="宋体"/>
              </w:rPr>
              <w:t>6</w:t>
            </w:r>
            <w:r>
              <w:rPr>
                <w:rFonts w:eastAsia="宋体" w:ascii="宋体" w:hAnsi="宋体"/>
              </w:rPr>
              <w:t>-</w:t>
            </w:r>
            <w:r>
              <w:rPr>
                <w:rFonts w:eastAsia="宋体" w:ascii="宋体" w:hAnsi="宋体"/>
              </w:rPr>
              <w:t>22</w:t>
            </w:r>
          </w:p>
        </w:tc>
      </w:tr>
    </w:tbl>
    <w:p>
      <w:pPr>
        <w:pStyle w:val="Normal"/>
        <w:autoSpaceDE w:val="false"/>
        <w:spacing w:lineRule="auto" w:line="360"/>
        <w:rPr>
          <w:rFonts w:ascii="宋体" w:hAnsi="宋体" w:eastAsia="宋体" w:cs="宋体"/>
        </w:rPr>
      </w:pPr>
      <w:r>
        <w:rPr>
          <w:rFonts w:eastAsia="宋体" w:cs="宋体" w:ascii="宋体" w:hAnsi="宋体"/>
        </w:rPr>
      </w:r>
    </w:p>
    <w:p>
      <w:pPr>
        <w:pStyle w:val="Normal"/>
        <w:autoSpaceDE w:val="false"/>
        <w:rPr>
          <w:rFonts w:ascii="宋体" w:hAnsi="宋体" w:eastAsia="宋体" w:cs="宋体"/>
          <w:b/>
          <w:b/>
          <w:sz w:val="24"/>
        </w:rPr>
      </w:pPr>
      <w:r>
        <w:rPr>
          <w:rFonts w:eastAsia="宋体" w:cs="宋体" w:ascii="宋体" w:hAnsi="宋体"/>
          <w:b/>
          <w:sz w:val="24"/>
        </w:rPr>
      </w:r>
    </w:p>
    <w:sectPr>
      <w:headerReference w:type="default" r:id="rId3"/>
      <w:headerReference w:type="first" r:id="rId4"/>
      <w:footerReference w:type="default" r:id="rId5"/>
      <w:footerReference w:type="first" r:id="rId6"/>
      <w:type w:val="nextPage"/>
      <w:pgSz w:w="11906" w:h="16838"/>
      <w:pgMar w:left="1276" w:right="1134" w:gutter="0" w:header="851" w:top="1134" w:footer="779" w:bottom="1134"/>
      <w:pgNumType w:start="1"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86"/>
    <w:family w:val="auto"/>
    <w:pitch w:val="default"/>
  </w:font>
  <w:font w:name="Arial Black">
    <w:charset w:val="00"/>
    <w:family w:val="swiss"/>
    <w:pitch w:val="default"/>
  </w:font>
  <w:font w:name="Liberation Sans">
    <w:altName w:val="Arial"/>
    <w:charset w:val="01"/>
    <w:family w:val="swiss"/>
    <w:pitch w:val="variable"/>
  </w:font>
  <w:font w:name="ËÎÌå">
    <w:altName w:val="宋体"/>
    <w:charset w:val="86"/>
    <w:family w:val="auto"/>
    <w:pitch w:val="default"/>
  </w:font>
  <w:font w:name="宋体">
    <w:charset w:val="86"/>
    <w:family w:val="auto"/>
    <w:pitch w:val="default"/>
  </w:font>
  <w:font w:name="Arial">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tbl>
    <w:tblPr>
      <w:tblW w:w="9137" w:type="dxa"/>
      <w:jc w:val="left"/>
      <w:tblInd w:w="250" w:type="dxa"/>
      <w:tblLayout w:type="fixed"/>
      <w:tblCellMar>
        <w:top w:w="0" w:type="dxa"/>
        <w:left w:w="108" w:type="dxa"/>
        <w:bottom w:w="0" w:type="dxa"/>
        <w:right w:w="108" w:type="dxa"/>
      </w:tblCellMar>
    </w:tblPr>
    <w:tblGrid>
      <w:gridCol w:w="1403"/>
      <w:gridCol w:w="4409"/>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 w:hAnsi="宋体" w:eastAsia="宋体" w:cs="宋体"/>
            </w:rPr>
          </w:pPr>
          <w:r>
            <w:rPr>
              <w:rFonts w:ascii="宋体" w:hAnsi="宋体" w:cs="宋体" w:eastAsia="宋体"/>
            </w:rPr>
            <w:t xml:space="preserve">文件名称 </w:t>
          </w:r>
        </w:p>
      </w:tc>
      <w:tc>
        <w:tcPr>
          <w:tcW w:w="4409"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 w:hAnsi="宋体" w:eastAsia="宋体" w:cs="宋体"/>
            </w:rPr>
          </w:pPr>
          <w:r>
            <w:rPr>
              <w:rFonts w:ascii="宋体" w:hAnsi="宋体" w:cs="宋体" w:eastAsia="宋体"/>
            </w:rPr>
            <w:t>产品召回控制程序</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文件编号：    </w:t>
          </w:r>
          <w:r>
            <w:rPr>
              <w:rFonts w:eastAsia="宋体" w:cs="宋体" w:ascii="宋体" w:hAnsi="宋体"/>
              <w:sz w:val="24"/>
              <w:szCs w:val="24"/>
            </w:rPr>
            <w:t>QMS-P19</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 w:hAnsi="宋体" w:eastAsia="宋体" w:cs="宋体"/>
              <w:sz w:val="24"/>
              <w:szCs w:val="24"/>
            </w:rPr>
          </w:pPr>
          <w:r>
            <w:rPr>
              <w:rFonts w:eastAsia="宋体" w:cs="宋体" w:ascii="宋体" w:hAnsi="宋体"/>
              <w:sz w:val="24"/>
              <w:szCs w:val="24"/>
            </w:rPr>
          </w:r>
        </w:p>
      </w:tc>
      <w:tc>
        <w:tcPr>
          <w:tcW w:w="4409"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 w:hAnsi="宋体" w:eastAsia="宋体" w:cs="宋体"/>
            </w:rPr>
          </w:pPr>
          <w:r>
            <w:rPr>
              <w:rFonts w:eastAsia="宋体" w:cs="宋体" w:ascii="宋体" w:hAnsi="宋体"/>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版本修订号：   </w:t>
          </w:r>
          <w:r>
            <w:rPr>
              <w:rFonts w:eastAsia="宋体" w:cs="宋体" w:ascii="宋体" w:hAnsi="宋体"/>
              <w:sz w:val="24"/>
              <w:szCs w:val="24"/>
            </w:rPr>
            <w:t>A00</w:t>
          </w:r>
        </w:p>
      </w:tc>
    </w:tr>
    <w:tr>
      <w:trPr>
        <w:trHeight w:val="399" w:hRule="atLeast"/>
      </w:trPr>
      <w:tc>
        <w:tcPr>
          <w:tcW w:w="5812"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 w:hAnsi="宋体" w:eastAsia="宋体" w:cs="宋体"/>
            </w:rPr>
          </w:pPr>
          <w:r>
            <w:rPr>
              <w:rFonts w:ascii="宋体" w:hAnsi="宋体" w:cs="宋体" w:eastAsia="宋体"/>
            </w:rPr>
            <w:t>上海深至信息科技有限公司程序文件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页      码：   </w:t>
          </w:r>
          <w:r>
            <w:rPr>
              <w:rFonts w:ascii="宋体" w:hAnsi="宋体" w:cs="宋体" w:eastAsia="宋体"/>
              <w:sz w:val="24"/>
              <w:szCs w:val="24"/>
            </w:rPr>
            <w:fldChar w:fldCharType="begin"/>
          </w:r>
          <w:r>
            <w:rPr>
              <w:sz w:val="24"/>
              <w:szCs w:val="24"/>
              <w:rFonts w:ascii="宋体" w:hAnsi="宋体" w:cs="宋体" w:eastAsia="宋体"/>
            </w:rPr>
            <w:instrText xml:space="preserve"> PAGE </w:instrText>
          </w:r>
          <w:r>
            <w:rPr>
              <w:sz w:val="24"/>
              <w:szCs w:val="24"/>
              <w:rFonts w:ascii="宋体" w:hAnsi="宋体" w:cs="宋体" w:eastAsia="宋体"/>
            </w:rPr>
            <w:fldChar w:fldCharType="separate"/>
          </w:r>
          <w:r>
            <w:rPr>
              <w:sz w:val="24"/>
              <w:szCs w:val="24"/>
              <w:rFonts w:ascii="宋体" w:hAnsi="宋体" w:cs="宋体" w:eastAsia="宋体"/>
            </w:rPr>
            <w:t>4</w:t>
          </w:r>
          <w:r>
            <w:rPr>
              <w:sz w:val="24"/>
              <w:szCs w:val="24"/>
              <w:rFonts w:ascii="宋体" w:hAnsi="宋体" w:cs="宋体" w:eastAsia="宋体"/>
            </w:rPr>
            <w:fldChar w:fldCharType="end"/>
          </w:r>
          <w:r>
            <w:rPr>
              <w:rFonts w:eastAsia="宋体" w:cs="宋体" w:ascii="宋体" w:hAnsi="宋体"/>
              <w:sz w:val="24"/>
              <w:szCs w:val="24"/>
            </w:rPr>
            <w:t>/4</w:t>
          </w:r>
        </w:p>
      </w:tc>
    </w:tr>
  </w:tbl>
  <w:p>
    <w:pPr>
      <w:pStyle w:val="Header"/>
      <w:pBdr>
        <w:bottom w:val="nil"/>
      </w:pBdr>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30"/>
  <w:defaultTabStop w:val="709"/>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等线" w:cs="等线"/>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Style13">
    <w:name w:val="默认段落字体"/>
    <w:qFormat/>
    <w:rPr/>
  </w:style>
  <w:style w:type="character" w:styleId="Style14">
    <w:name w:val="日期 字符"/>
    <w:qFormat/>
    <w:rPr>
      <w:kern w:val="2"/>
      <w:sz w:val="21"/>
    </w:rPr>
  </w:style>
  <w:style w:type="character" w:styleId="Style15">
    <w:name w:val="页眉 字符"/>
    <w:qFormat/>
    <w:rPr>
      <w:kern w:val="2"/>
      <w:sz w:val="18"/>
      <w:szCs w:val="18"/>
    </w:rPr>
  </w:style>
  <w:style w:type="character" w:styleId="PageNumber">
    <w:name w:val="Page Number"/>
    <w:basedOn w:val="Style13"/>
    <w:rPr/>
  </w:style>
  <w:style w:type="character" w:styleId="St1">
    <w:name w:val="st1"/>
    <w:basedOn w:val="Style13"/>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Indent">
    <w:name w:val="Body Text Indent"/>
    <w:basedOn w:val="Normal"/>
    <w:pPr>
      <w:spacing w:before="0" w:after="120"/>
      <w:ind w:left="420" w:hanging="0"/>
    </w:pPr>
    <w:rPr/>
  </w:style>
  <w:style w:type="paragraph" w:styleId="Style16">
    <w:name w:val="日期"/>
    <w:basedOn w:val="Normal"/>
    <w:next w:val="Normal"/>
    <w:qFormat/>
    <w:pPr/>
    <w:rPr>
      <w:szCs w:val="20"/>
    </w:rPr>
  </w:style>
  <w:style w:type="paragraph" w:styleId="2">
    <w:name w:val="正文文本缩进 2"/>
    <w:basedOn w:val="Normal"/>
    <w:qFormat/>
    <w:pPr>
      <w:widowControl/>
      <w:ind w:left="1260" w:hanging="180"/>
      <w:jc w:val="left"/>
    </w:pPr>
    <w:rPr>
      <w:rFonts w:ascii="ËÎÌå;宋体" w:hAnsi="ËÎÌå;宋体" w:eastAsia="ËÎÌå;宋体" w:cs="宋体"/>
      <w:kern w:val="0"/>
      <w:sz w:val="24"/>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widowControl/>
      <w:spacing w:before="0" w:after="120"/>
      <w:ind w:left="420" w:hanging="0"/>
      <w:jc w:val="left"/>
    </w:pPr>
    <w:rPr>
      <w:rFonts w:ascii="宋体" w:hAnsi="宋体" w:cs="宋体"/>
      <w:kern w:val="0"/>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2012-02-16T10:07:00Z</dcterms:created>
  <dc:creator>Hu</dc:creator>
  <dc:description/>
  <dc:language>en-US</dc:language>
  <cp:lastModifiedBy>M.Yu</cp:lastModifiedBy>
  <dcterms:modified xsi:type="dcterms:W3CDTF">2022-11-08T14:52:43Z</dcterms:modified>
  <cp:revision>2</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7F7205ECDB3F4534B2F28351EF3BF055</vt:lpwstr>
  </property>
  <property fmtid="{D5CDD505-2E9C-101B-9397-08002B2CF9AE}" pid="3" name="KSOProductBuildVer">
    <vt:lpwstr>2052-11.1.0.12763</vt:lpwstr>
  </property>
  <property fmtid="{D5CDD505-2E9C-101B-9397-08002B2CF9AE}" pid="4" name="commondata">
    <vt:lpwstr>commondata</vt:lpwstr>
  </property>
</Properties>
</file>