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footer3.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40"/>
        <w:jc w:val="center"/>
        <w:rPr>
          <w:rFonts w:ascii="宋体" w:hAnsi="宋体" w:eastAsia="宋体" w:cs="宋体"/>
          <w:b/>
          <w:b/>
          <w:sz w:val="32"/>
          <w:szCs w:val="32"/>
          <w:lang w:val="zh-CN"/>
        </w:rPr>
      </w:pPr>
      <w:r>
        <w:rPr>
          <w:rFonts w:eastAsia="宋体" w:cs="宋体" w:ascii="宋体" w:hAnsi="宋体"/>
          <w:b/>
          <w:sz w:val="32"/>
          <w:szCs w:val="32"/>
          <w:lang w:val="zh-CN"/>
        </w:rPr>
      </w:r>
    </w:p>
    <w:p>
      <w:pPr>
        <w:pStyle w:val="Normal"/>
        <w:autoSpaceDE w:val="false"/>
        <w:spacing w:lineRule="exact" w:line="440"/>
        <w:jc w:val="center"/>
        <w:rPr>
          <w:rFonts w:ascii="宋体" w:hAnsi="宋体" w:eastAsia="宋体" w:cs="宋体"/>
          <w:b/>
          <w:b/>
          <w:sz w:val="32"/>
          <w:szCs w:val="32"/>
          <w:lang w:val="zh-CN"/>
        </w:rPr>
      </w:pPr>
      <w:r>
        <w:rPr>
          <w:rFonts w:eastAsia="宋体" w:cs="宋体" w:ascii="宋体" w:hAnsi="宋体"/>
          <w:b/>
          <w:sz w:val="32"/>
          <w:szCs w:val="32"/>
          <w:lang w:val="zh-CN"/>
        </w:rPr>
      </w:r>
    </w:p>
    <w:p>
      <w:pPr>
        <w:pStyle w:val="Normal"/>
        <w:autoSpaceDE w:val="false"/>
        <w:spacing w:lineRule="exact" w:line="440"/>
        <w:jc w:val="center"/>
        <w:rPr>
          <w:rFonts w:ascii="宋体" w:hAnsi="宋体" w:eastAsia="宋体" w:cs="宋体"/>
          <w:b/>
          <w:b/>
          <w:sz w:val="32"/>
          <w:szCs w:val="32"/>
          <w:lang w:val="zh-CN"/>
        </w:rPr>
      </w:pPr>
      <w:r>
        <w:rPr>
          <w:rFonts w:ascii="宋体" w:hAnsi="宋体" w:cs="宋体" w:eastAsia="宋体"/>
          <w:b/>
          <w:sz w:val="32"/>
          <w:szCs w:val="32"/>
          <w:lang w:val="zh-CN"/>
        </w:rPr>
        <w:t>上海深至信息科技有限公司</w:t>
      </w:r>
    </w:p>
    <w:p>
      <w:pPr>
        <w:pStyle w:val="Normal"/>
        <w:autoSpaceDE w:val="false"/>
        <w:spacing w:lineRule="exact" w:line="440"/>
        <w:jc w:val="center"/>
        <w:rPr>
          <w:rFonts w:ascii="宋体" w:hAnsi="宋体" w:eastAsia="宋体" w:cs="宋体"/>
          <w:b/>
          <w:b/>
          <w:sz w:val="32"/>
          <w:szCs w:val="32"/>
          <w:lang w:val="zh-CN"/>
        </w:rPr>
      </w:pPr>
      <w:r>
        <w:rPr>
          <w:rFonts w:ascii="宋体" w:hAnsi="宋体" w:cs="宋体" w:eastAsia="宋体"/>
          <w:b/>
          <w:sz w:val="32"/>
          <w:szCs w:val="32"/>
          <w:lang w:val="zh-CN"/>
        </w:rPr>
        <w:t>质量管理体系文件</w:t>
      </w:r>
    </w:p>
    <w:p>
      <w:pPr>
        <w:pStyle w:val="Normal"/>
        <w:autoSpaceDE w:val="false"/>
        <w:spacing w:lineRule="exact" w:line="440"/>
        <w:jc w:val="center"/>
        <w:rPr>
          <w:rFonts w:ascii="宋体" w:hAnsi="宋体" w:eastAsia="宋体" w:cs="宋体"/>
          <w:b/>
          <w:b/>
          <w:sz w:val="32"/>
          <w:szCs w:val="32"/>
          <w:lang w:val="zh-CN"/>
        </w:rPr>
      </w:pPr>
      <w:r>
        <mc:AlternateContent>
          <mc:Choice Requires="wps">
            <w:drawing>
              <wp:anchor behindDoc="0" distT="0" distB="0" distL="114935" distR="114935" simplePos="0" locked="0" layoutInCell="0" allowOverlap="1" relativeHeight="2">
                <wp:simplePos x="0" y="0"/>
                <wp:positionH relativeFrom="column">
                  <wp:posOffset>22225</wp:posOffset>
                </wp:positionH>
                <wp:positionV relativeFrom="paragraph">
                  <wp:posOffset>422275</wp:posOffset>
                </wp:positionV>
                <wp:extent cx="5715000" cy="0"/>
                <wp:effectExtent l="0" t="38100" r="0" b="38100"/>
                <wp:wrapNone/>
                <wp:docPr id="1" name="直线 2"/>
                <a:graphic xmlns:a="http://schemas.openxmlformats.org/drawingml/2006/main">
                  <a:graphicData uri="http://schemas.microsoft.com/office/word/2010/wordprocessingShape">
                    <wps:wsp>
                      <wps:cNvSpPr/>
                      <wps:spPr>
                        <a:xfrm>
                          <a:off x="0" y="0"/>
                          <a:ext cx="5715000" cy="0"/>
                        </a:xfrm>
                        <a:prstGeom prst="line">
                          <a:avLst/>
                        </a:prstGeom>
                        <a:ln w="76320">
                          <a:solidFill>
                            <a:srgbClr val="000000"/>
                          </a:solidFill>
                          <a:miter/>
                        </a:ln>
                      </wps:spPr>
                      <wps:style>
                        <a:lnRef idx="0"/>
                        <a:fillRef idx="0"/>
                        <a:effectRef idx="0"/>
                        <a:fontRef idx="minor"/>
                      </wps:style>
                      <wps:bodyPr/>
                    </wps:wsp>
                  </a:graphicData>
                </a:graphic>
              </wp:anchor>
            </w:drawing>
          </mc:Choice>
          <mc:Fallback>
            <w:pict>
              <v:line id="shape_0" from="1.75pt,33.25pt" to="451.7pt,33.25pt" ID="直线 2" stroked="t" o:allowincell="f" style="position:absolute">
                <v:stroke color="black" weight="76320" joinstyle="miter" endcap="flat"/>
                <v:fill o:detectmouseclick="t" on="false"/>
                <w10:wrap type="none"/>
              </v:line>
            </w:pict>
          </mc:Fallback>
        </mc:AlternateContent>
      </w:r>
      <w:r>
        <w:rPr>
          <w:rFonts w:eastAsia="宋体" w:cs="宋体" w:ascii="宋体" w:hAnsi="宋体"/>
          <w:b/>
          <w:sz w:val="32"/>
          <w:szCs w:val="32"/>
          <w:lang w:val="zh-CN"/>
        </w:rPr>
        <w:t xml:space="preserve">  </w:t>
      </w:r>
    </w:p>
    <w:p>
      <w:pPr>
        <w:pStyle w:val="Normal"/>
        <w:autoSpaceDE w:val="false"/>
        <w:spacing w:lineRule="exact" w:line="440"/>
        <w:jc w:val="center"/>
        <w:rPr>
          <w:rFonts w:ascii="宋体" w:hAnsi="宋体" w:eastAsia="宋体" w:cs="宋体"/>
          <w:b/>
          <w:b/>
          <w:sz w:val="28"/>
          <w:szCs w:val="28"/>
          <w:lang w:val="zh-CN"/>
        </w:rPr>
      </w:pPr>
      <w:r>
        <w:rPr>
          <w:rFonts w:eastAsia="宋体" w:cs="宋体" w:ascii="宋体" w:hAnsi="宋体"/>
          <w:b/>
          <w:sz w:val="28"/>
          <w:szCs w:val="28"/>
          <w:lang w:val="zh-CN"/>
        </w:rPr>
      </w:r>
    </w:p>
    <w:p>
      <w:pPr>
        <w:pStyle w:val="Normal"/>
        <w:autoSpaceDE w:val="false"/>
        <w:spacing w:lineRule="exact" w:line="440"/>
        <w:rPr>
          <w:rFonts w:ascii="宋体" w:hAnsi="宋体" w:eastAsia="宋体" w:cs="宋体"/>
          <w:b/>
          <w:b/>
          <w:sz w:val="28"/>
          <w:szCs w:val="28"/>
          <w:lang w:val="zh-CN"/>
        </w:rPr>
      </w:pPr>
      <w:r>
        <w:rPr>
          <w:rFonts w:eastAsia="宋体" w:cs="宋体" w:ascii="宋体" w:hAnsi="宋体"/>
          <w:b/>
          <w:sz w:val="28"/>
          <w:szCs w:val="28"/>
          <w:lang w:val="zh-CN"/>
        </w:rPr>
      </w:r>
    </w:p>
    <w:p>
      <w:pPr>
        <w:pStyle w:val="Normal"/>
        <w:autoSpaceDE w:val="false"/>
        <w:spacing w:lineRule="exact" w:line="440"/>
        <w:jc w:val="center"/>
        <w:rPr>
          <w:rFonts w:ascii="宋体" w:hAnsi="宋体" w:eastAsia="宋体" w:cs="宋体"/>
          <w:b/>
          <w:b/>
          <w:sz w:val="32"/>
          <w:szCs w:val="32"/>
          <w:lang w:val="zh-CN"/>
        </w:rPr>
      </w:pPr>
      <w:r>
        <w:rPr>
          <w:rFonts w:ascii="宋体" w:hAnsi="宋体" w:cs="宋体" w:eastAsia="宋体"/>
          <w:b/>
          <w:sz w:val="32"/>
          <w:szCs w:val="32"/>
          <w:lang w:val="zh-CN"/>
        </w:rPr>
        <w:t>供方的选择和评价控制程序</w:t>
      </w:r>
    </w:p>
    <w:p>
      <w:pPr>
        <w:pStyle w:val="Normal"/>
        <w:tabs>
          <w:tab w:val="clear" w:pos="420"/>
          <w:tab w:val="left" w:pos="3420" w:leader="none"/>
        </w:tabs>
        <w:autoSpaceDE w:val="false"/>
        <w:spacing w:lineRule="exact" w:line="440"/>
        <w:jc w:val="center"/>
        <w:rPr>
          <w:rFonts w:ascii="宋体" w:hAnsi="宋体" w:eastAsia="宋体" w:cs="宋体"/>
          <w:b/>
          <w:b/>
          <w:sz w:val="30"/>
          <w:szCs w:val="30"/>
          <w:lang w:val="zh-CN"/>
        </w:rPr>
      </w:pPr>
      <w:r>
        <w:rPr>
          <w:rFonts w:eastAsia="宋体" w:cs="宋体" w:ascii="宋体" w:hAnsi="宋体"/>
          <w:b/>
          <w:sz w:val="30"/>
          <w:szCs w:val="30"/>
          <w:lang w:val="zh-CN"/>
        </w:rPr>
      </w:r>
    </w:p>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eastAsia="宋体" w:cs="宋体" w:ascii="宋体" w:hAnsi="宋体"/>
          <w:b/>
          <w:sz w:val="30"/>
          <w:szCs w:val="30"/>
        </w:rPr>
      </w:r>
    </w:p>
    <w:tbl>
      <w:tblPr>
        <w:tblW w:w="3960" w:type="dxa"/>
        <w:jc w:val="left"/>
        <w:tblInd w:w="2628" w:type="dxa"/>
        <w:tblLayout w:type="fixed"/>
        <w:tblCellMar>
          <w:top w:w="0" w:type="dxa"/>
          <w:left w:w="108" w:type="dxa"/>
          <w:bottom w:w="0" w:type="dxa"/>
          <w:right w:w="108" w:type="dxa"/>
        </w:tblCellMar>
      </w:tblPr>
      <w:tblGrid>
        <w:gridCol w:w="2015"/>
        <w:gridCol w:w="1945"/>
      </w:tblGrid>
      <w:tr>
        <w:trPr/>
        <w:tc>
          <w:tcPr>
            <w:tcW w:w="2015" w:type="dxa"/>
            <w:tcBorders>
              <w:top w:val="single" w:sz="18"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文件编号</w:t>
            </w:r>
          </w:p>
        </w:tc>
        <w:tc>
          <w:tcPr>
            <w:tcW w:w="1945" w:type="dxa"/>
            <w:tcBorders>
              <w:top w:val="single" w:sz="18"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eastAsia="宋体" w:cs="宋体"/>
                <w:sz w:val="30"/>
                <w:szCs w:val="30"/>
              </w:rPr>
            </w:pPr>
            <w:r>
              <w:rPr>
                <w:rFonts w:eastAsia="宋体" w:cs="宋体" w:ascii="宋体" w:hAnsi="宋体"/>
                <w:sz w:val="30"/>
                <w:szCs w:val="30"/>
              </w:rPr>
              <w:t>QMS-P10</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主管部门</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eastAsia="宋体" w:cs="宋体"/>
                <w:sz w:val="30"/>
                <w:szCs w:val="30"/>
              </w:rPr>
            </w:pPr>
            <w:r>
              <w:rPr>
                <w:rFonts w:ascii="宋体" w:hAnsi="宋体" w:cs="宋体" w:eastAsia="宋体"/>
                <w:sz w:val="30"/>
                <w:szCs w:val="30"/>
                <w:lang w:val="en-US" w:eastAsia="zh-CN"/>
              </w:rPr>
              <w:t>行政</w:t>
            </w:r>
            <w:r>
              <w:rPr>
                <w:rFonts w:ascii="宋体" w:hAnsi="宋体" w:cs="宋体" w:eastAsia="宋体"/>
                <w:sz w:val="30"/>
                <w:szCs w:val="30"/>
              </w:rPr>
              <w:t>部</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版本号</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eastAsia="宋体" w:cs="宋体"/>
                <w:sz w:val="30"/>
                <w:szCs w:val="30"/>
              </w:rPr>
            </w:pPr>
            <w:r>
              <w:rPr>
                <w:rFonts w:eastAsia="宋体" w:cs="宋体" w:ascii="宋体" w:hAnsi="宋体"/>
                <w:sz w:val="30"/>
                <w:szCs w:val="30"/>
              </w:rPr>
              <w:t>A00</w:t>
            </w:r>
          </w:p>
        </w:tc>
      </w:tr>
      <w:tr>
        <w:trPr/>
        <w:tc>
          <w:tcPr>
            <w:tcW w:w="2015" w:type="dxa"/>
            <w:tcBorders>
              <w:top w:val="single" w:sz="6" w:space="0" w:color="000000"/>
              <w:left w:val="single" w:sz="18" w:space="0" w:color="000000"/>
              <w:bottom w:val="single" w:sz="18"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发放号</w:t>
            </w:r>
          </w:p>
        </w:tc>
        <w:tc>
          <w:tcPr>
            <w:tcW w:w="1945" w:type="dxa"/>
            <w:tcBorders>
              <w:top w:val="single" w:sz="6" w:space="0" w:color="000000"/>
              <w:left w:val="single" w:sz="6" w:space="0" w:color="000000"/>
              <w:bottom w:val="single" w:sz="18" w:space="0" w:color="000000"/>
              <w:right w:val="single" w:sz="18" w:space="0" w:color="000000"/>
            </w:tcBorders>
          </w:tcPr>
          <w:p>
            <w:pPr>
              <w:pStyle w:val="Normal"/>
              <w:tabs>
                <w:tab w:val="clear" w:pos="420"/>
                <w:tab w:val="left" w:pos="3420" w:leader="none"/>
              </w:tabs>
              <w:autoSpaceDE w:val="false"/>
              <w:snapToGrid w:val="false"/>
              <w:spacing w:lineRule="exact" w:line="440"/>
              <w:jc w:val="center"/>
              <w:rPr>
                <w:rFonts w:ascii="宋体" w:hAnsi="宋体" w:eastAsia="宋体" w:cs="宋体"/>
                <w:b/>
                <w:b/>
                <w:sz w:val="30"/>
                <w:szCs w:val="30"/>
              </w:rPr>
            </w:pPr>
            <w:r>
              <w:rPr>
                <w:rFonts w:eastAsia="宋体" w:cs="宋体" w:ascii="宋体" w:hAnsi="宋体"/>
                <w:b/>
                <w:sz w:val="30"/>
                <w:szCs w:val="30"/>
              </w:rPr>
            </w:r>
          </w:p>
        </w:tc>
      </w:tr>
    </w:tbl>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eastAsia="宋体" w:cs="宋体" w:ascii="宋体" w:hAnsi="宋体"/>
          <w:b/>
          <w:sz w:val="30"/>
          <w:szCs w:val="30"/>
        </w:rPr>
      </w:r>
    </w:p>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eastAsia="宋体" w:cs="宋体" w:ascii="宋体" w:hAnsi="宋体"/>
          <w:b/>
          <w:sz w:val="30"/>
          <w:szCs w:val="30"/>
        </w:rPr>
      </w:r>
    </w:p>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eastAsia="宋体" w:cs="宋体" w:ascii="宋体" w:hAnsi="宋体"/>
          <w:b/>
          <w:sz w:val="30"/>
          <w:szCs w:val="30"/>
        </w:rPr>
      </w:r>
    </w:p>
    <w:p>
      <w:pPr>
        <w:pStyle w:val="Normal"/>
        <w:tabs>
          <w:tab w:val="clear" w:pos="420"/>
          <w:tab w:val="left" w:pos="3420" w:leader="none"/>
        </w:tabs>
        <w:autoSpaceDE w:val="false"/>
        <w:spacing w:lineRule="auto" w:line="480"/>
        <w:ind w:firstLine="1560"/>
        <w:rPr>
          <w:rFonts w:ascii="宋体" w:hAnsi="宋体" w:eastAsia="宋体" w:cs="宋体"/>
          <w:b/>
          <w:b/>
          <w:sz w:val="30"/>
          <w:szCs w:val="30"/>
        </w:rPr>
      </w:pPr>
      <w:bookmarkStart w:id="0" w:name="_Hlk72918764"/>
      <w:bookmarkEnd w:id="0"/>
      <w:r>
        <w:rPr>
          <w:rFonts w:ascii="宋体" w:hAnsi="宋体" w:cs="宋体" w:eastAsia="宋体"/>
          <w:b/>
          <w:sz w:val="30"/>
          <w:szCs w:val="30"/>
        </w:rPr>
        <w:t>起草人：</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rPr>
        <w:t>日期：</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p>
    <w:p>
      <w:pPr>
        <w:pStyle w:val="Normal"/>
        <w:tabs>
          <w:tab w:val="clear" w:pos="420"/>
          <w:tab w:val="left" w:pos="3420" w:leader="none"/>
        </w:tabs>
        <w:autoSpaceDE w:val="false"/>
        <w:spacing w:lineRule="auto" w:line="480"/>
        <w:ind w:firstLine="1560"/>
        <w:rPr>
          <w:rFonts w:ascii="宋体" w:hAnsi="宋体" w:eastAsia="宋体" w:cs="宋体"/>
          <w:b/>
          <w:b/>
          <w:sz w:val="30"/>
          <w:szCs w:val="30"/>
        </w:rPr>
      </w:pPr>
      <w:r>
        <w:rPr>
          <w:rFonts w:ascii="宋体" w:hAnsi="宋体" w:cs="宋体" w:eastAsia="宋体"/>
          <w:b/>
          <w:sz w:val="30"/>
          <w:szCs w:val="30"/>
        </w:rPr>
        <w:t>审核人：</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rPr>
        <w:t>日期：</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p>
    <w:p>
      <w:pPr>
        <w:pStyle w:val="Normal"/>
        <w:tabs>
          <w:tab w:val="clear" w:pos="420"/>
          <w:tab w:val="left" w:pos="3420" w:leader="none"/>
        </w:tabs>
        <w:autoSpaceDE w:val="false"/>
        <w:spacing w:lineRule="auto" w:line="480"/>
        <w:ind w:firstLine="1560"/>
        <w:rPr>
          <w:rFonts w:ascii="宋体" w:hAnsi="宋体" w:eastAsia="宋体" w:cs="宋体"/>
          <w:b/>
          <w:b/>
          <w:sz w:val="30"/>
          <w:szCs w:val="30"/>
        </w:rPr>
      </w:pPr>
      <w:r>
        <w:rPr>
          <w:rFonts w:ascii="宋体" w:hAnsi="宋体" w:cs="宋体" w:eastAsia="宋体"/>
          <w:b/>
          <w:sz w:val="30"/>
          <w:szCs w:val="30"/>
        </w:rPr>
        <w:t>批准人：</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rPr>
        <w:t>日期：</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p>
    <w:p>
      <w:pPr>
        <w:pStyle w:val="Normal"/>
        <w:ind w:right="-351" w:hanging="0"/>
        <w:rPr>
          <w:rFonts w:ascii="宋体" w:hAnsi="宋体" w:eastAsia="宋体" w:cs="宋体"/>
          <w:b/>
          <w:b/>
          <w:sz w:val="24"/>
          <w:szCs w:val="30"/>
        </w:rPr>
      </w:pPr>
      <w:r>
        <w:rPr>
          <w:rFonts w:eastAsia="宋体" w:cs="宋体" w:ascii="宋体" w:hAnsi="宋体"/>
          <w:b/>
          <w:sz w:val="24"/>
          <w:szCs w:val="30"/>
        </w:rPr>
      </w:r>
      <w:bookmarkStart w:id="1" w:name="_Hlk72918764"/>
      <w:bookmarkStart w:id="2" w:name="_Hlk72918764"/>
      <w:bookmarkEnd w:id="2"/>
    </w:p>
    <w:p>
      <w:pPr>
        <w:pStyle w:val="Normal"/>
        <w:rPr>
          <w:rFonts w:ascii="宋体" w:hAnsi="宋体" w:eastAsia="宋体" w:cs="宋体"/>
          <w:b/>
          <w:b/>
          <w:sz w:val="24"/>
        </w:rPr>
      </w:pPr>
      <w:r>
        <w:rPr>
          <w:rFonts w:eastAsia="宋体" w:cs="宋体" w:ascii="宋体" w:hAnsi="宋体"/>
          <w:b/>
          <w:sz w:val="24"/>
        </w:rPr>
      </w:r>
    </w:p>
    <w:p>
      <w:pPr>
        <w:pStyle w:val="Normal"/>
        <w:ind w:right="-351" w:hanging="0"/>
        <w:rPr>
          <w:rFonts w:ascii="宋体" w:hAnsi="宋体" w:eastAsia="宋体" w:cs="宋体"/>
          <w:b/>
          <w:b/>
          <w:sz w:val="24"/>
        </w:rPr>
      </w:pPr>
      <w:r>
        <w:rPr>
          <w:rFonts w:eastAsia="宋体" w:cs="宋体" w:ascii="宋体" w:hAnsi="宋体"/>
          <w:b/>
          <w:sz w:val="24"/>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2" w:hanging="0"/>
        <w:rPr>
          <w:rFonts w:ascii="宋体" w:hAnsi="宋体" w:eastAsia="宋体" w:cs="宋体"/>
          <w:b/>
          <w:b/>
          <w:sz w:val="24"/>
          <w:u w:val="single"/>
        </w:rPr>
      </w:pPr>
      <w:r>
        <w:rPr>
          <w:rFonts w:eastAsia="宋体" w:cs="宋体" w:ascii="宋体" w:hAnsi="宋体"/>
          <w:b/>
          <w:sz w:val="24"/>
          <w:u w:val="single"/>
        </w:rPr>
        <w:t xml:space="preserve">                                                                        </w:t>
      </w:r>
      <w:r>
        <w:rPr>
          <w:rFonts w:eastAsia="宋体" w:cs="宋体" w:ascii="宋体" w:hAnsi="宋体"/>
          <w:b/>
          <w:sz w:val="24"/>
          <w:u w:val="single"/>
        </w:rPr>
        <w:t xml:space="preserve">  </w:t>
      </w:r>
    </w:p>
    <w:p>
      <w:pPr>
        <w:pStyle w:val="Normal"/>
        <w:tabs>
          <w:tab w:val="clear" w:pos="420"/>
          <w:tab w:val="left" w:pos="7513" w:leader="none"/>
        </w:tabs>
        <w:ind w:right="420" w:firstLine="964"/>
        <w:rPr>
          <w:rFonts w:ascii="宋体" w:hAnsi="宋体" w:eastAsia="宋体" w:cs="宋体"/>
          <w:bCs/>
          <w:sz w:val="24"/>
        </w:rPr>
      </w:pPr>
      <w:r>
        <w:rPr>
          <w:rFonts w:ascii="宋体" w:hAnsi="宋体" w:cs="宋体" w:eastAsia="宋体"/>
          <w:b/>
          <w:sz w:val="24"/>
        </w:rPr>
        <w:t xml:space="preserve">分发部门：行政部、质量部、研发部      </w:t>
      </w:r>
      <w:r>
        <w:rPr>
          <w:rFonts w:ascii="宋体" w:hAnsi="宋体" w:cs="宋体" w:eastAsia="宋体"/>
          <w:b/>
          <w:sz w:val="24"/>
        </w:rPr>
        <w:t xml:space="preserve">  </w:t>
      </w:r>
      <w:r>
        <w:rPr>
          <w:rFonts w:ascii="宋体" w:hAnsi="宋体" w:cs="宋体" w:eastAsia="宋体"/>
          <w:b/>
          <w:sz w:val="24"/>
        </w:rPr>
        <w:t xml:space="preserve">  </w:t>
      </w:r>
      <w:r>
        <w:rPr>
          <w:rFonts w:ascii="宋体" w:hAnsi="宋体" w:cs="宋体" w:eastAsia="宋体"/>
          <w:b/>
          <w:color w:val="FF0000"/>
          <w:sz w:val="24"/>
        </w:rPr>
        <w:t>生效日期：</w:t>
      </w:r>
      <w:r>
        <w:rPr>
          <w:rFonts w:eastAsia="宋体" w:cs="宋体" w:ascii="宋体" w:hAnsi="宋体"/>
          <w:bCs/>
          <w:color w:val="FF0000"/>
          <w:sz w:val="24"/>
        </w:rPr>
        <w:t>20</w:t>
      </w:r>
      <w:r>
        <w:rPr>
          <w:rFonts w:eastAsia="宋体" w:cs="宋体" w:ascii="宋体" w:hAnsi="宋体"/>
          <w:bCs/>
          <w:color w:val="FF0000"/>
          <w:sz w:val="24"/>
        </w:rPr>
        <w:t>20</w:t>
      </w:r>
      <w:r>
        <w:rPr>
          <w:rFonts w:eastAsia="宋体" w:cs="宋体" w:ascii="宋体" w:hAnsi="宋体"/>
          <w:bCs/>
          <w:color w:val="FF0000"/>
          <w:sz w:val="24"/>
        </w:rPr>
        <w:t>-0</w:t>
      </w:r>
      <w:r>
        <w:rPr>
          <w:rFonts w:eastAsia="宋体" w:cs="宋体" w:ascii="宋体" w:hAnsi="宋体"/>
          <w:bCs/>
          <w:color w:val="FF0000"/>
          <w:sz w:val="24"/>
        </w:rPr>
        <w:t>6</w:t>
      </w:r>
      <w:r>
        <w:rPr>
          <w:rFonts w:eastAsia="宋体" w:cs="宋体" w:ascii="宋体" w:hAnsi="宋体"/>
          <w:bCs/>
          <w:color w:val="FF0000"/>
          <w:sz w:val="24"/>
        </w:rPr>
        <w:t>-</w:t>
      </w:r>
      <w:r>
        <w:rPr>
          <w:rFonts w:eastAsia="宋体" w:cs="宋体" w:ascii="宋体" w:hAnsi="宋体"/>
          <w:bCs/>
          <w:color w:val="FF0000"/>
          <w:sz w:val="24"/>
        </w:rPr>
        <w:t>22</w:t>
      </w:r>
    </w:p>
    <w:p>
      <w:pPr>
        <w:sectPr>
          <w:headerReference w:type="default" r:id="rId2"/>
          <w:headerReference w:type="first" r:id="rId3"/>
          <w:footerReference w:type="default" r:id="rId4"/>
          <w:footerReference w:type="first" r:id="rId5"/>
          <w:type w:val="nextPage"/>
          <w:pgSz w:w="11906" w:h="16838"/>
          <w:pgMar w:left="1418" w:right="1418" w:gutter="0" w:header="851" w:top="1134" w:footer="992" w:bottom="1134"/>
          <w:pgNumType w:fmt="decimal"/>
          <w:formProt w:val="false"/>
          <w:titlePg/>
          <w:textDirection w:val="lrTb"/>
          <w:docGrid w:type="lines" w:linePitch="312" w:charSpace="0"/>
        </w:sectPr>
      </w:pPr>
    </w:p>
    <w:p>
      <w:pPr>
        <w:pStyle w:val="Normal"/>
        <w:autoSpaceDE w:val="false"/>
        <w:spacing w:lineRule="auto" w:line="360"/>
        <w:rPr>
          <w:rFonts w:ascii="宋体" w:hAnsi="宋体" w:eastAsia="宋体" w:cs="宋体"/>
          <w:b/>
          <w:b/>
          <w:bCs/>
        </w:rPr>
      </w:pPr>
      <w:r>
        <w:rPr>
          <w:rFonts w:eastAsia="宋体" w:cs="宋体" w:ascii="宋体" w:hAnsi="宋体"/>
        </w:rPr>
        <w:t xml:space="preserve">1. </w:t>
      </w:r>
      <w:r>
        <w:rPr>
          <w:rFonts w:ascii="宋体" w:hAnsi="宋体" w:cs="宋体" w:eastAsia="宋体"/>
          <w:b/>
          <w:bCs/>
        </w:rPr>
        <w:t>目的：</w:t>
      </w:r>
      <w:r>
        <w:rPr>
          <w:rFonts w:ascii="宋体" w:hAnsi="宋体" w:cs="宋体" w:eastAsia="宋体"/>
        </w:rPr>
        <w:t>规定了对候选供方的评价及选择方法，并对合格供方进行年度业绩评审，确保采购物料的质量和供应。</w:t>
      </w:r>
    </w:p>
    <w:p>
      <w:pPr>
        <w:pStyle w:val="Normal"/>
        <w:autoSpaceDE w:val="false"/>
        <w:spacing w:lineRule="auto" w:line="360"/>
        <w:rPr>
          <w:rFonts w:ascii="宋体" w:hAnsi="宋体" w:eastAsia="宋体" w:cs="宋体"/>
          <w:b/>
          <w:b/>
          <w:bCs/>
        </w:rPr>
      </w:pPr>
      <w:r>
        <w:rPr>
          <w:rFonts w:eastAsia="宋体" w:cs="宋体" w:ascii="宋体" w:hAnsi="宋体"/>
        </w:rPr>
        <w:t xml:space="preserve">2. </w:t>
      </w:r>
      <w:r>
        <w:rPr>
          <w:rFonts w:ascii="宋体" w:hAnsi="宋体" w:cs="宋体" w:eastAsia="宋体"/>
          <w:b/>
          <w:bCs/>
        </w:rPr>
        <w:t>范围：</w:t>
      </w:r>
      <w:r>
        <w:rPr>
          <w:rFonts w:ascii="宋体" w:hAnsi="宋体" w:cs="宋体" w:eastAsia="宋体"/>
        </w:rPr>
        <w:t>适用于与产品相关的供方的评价、选择和年度业绩评审。</w:t>
      </w:r>
    </w:p>
    <w:p>
      <w:pPr>
        <w:pStyle w:val="Normal"/>
        <w:autoSpaceDE w:val="false"/>
        <w:spacing w:lineRule="auto" w:line="360"/>
        <w:rPr>
          <w:rFonts w:ascii="宋体" w:hAnsi="宋体" w:eastAsia="宋体" w:cs="宋体"/>
          <w:b/>
          <w:b/>
          <w:bCs/>
        </w:rPr>
      </w:pPr>
      <w:r>
        <w:rPr>
          <w:rFonts w:eastAsia="宋体" w:cs="宋体" w:ascii="宋体" w:hAnsi="宋体"/>
        </w:rPr>
        <w:t xml:space="preserve">3. </w:t>
      </w:r>
      <w:r>
        <w:rPr>
          <w:rFonts w:ascii="宋体" w:hAnsi="宋体" w:cs="宋体" w:eastAsia="宋体"/>
          <w:b/>
          <w:bCs/>
        </w:rPr>
        <w:t>定义</w:t>
      </w:r>
    </w:p>
    <w:p>
      <w:pPr>
        <w:pStyle w:val="Normal"/>
        <w:autoSpaceDE w:val="false"/>
        <w:spacing w:lineRule="auto" w:line="360"/>
        <w:ind w:firstLine="420"/>
        <w:jc w:val="left"/>
        <w:rPr>
          <w:rFonts w:ascii="宋体" w:hAnsi="宋体" w:eastAsia="宋体" w:cs="宋体"/>
        </w:rPr>
      </w:pPr>
      <w:r>
        <w:rPr>
          <w:rFonts w:eastAsia="宋体" w:cs="宋体" w:ascii="宋体" w:hAnsi="宋体"/>
        </w:rPr>
        <w:t xml:space="preserve">3.1 </w:t>
      </w:r>
      <w:r>
        <w:rPr>
          <w:rFonts w:ascii="宋体" w:hAnsi="宋体" w:cs="宋体" w:eastAsia="宋体"/>
        </w:rPr>
        <w:t>现成软件：公司未进行完整生存周期控制的软件，包括有遗留软件、成品软件、外部软件。</w:t>
      </w:r>
    </w:p>
    <w:p>
      <w:pPr>
        <w:pStyle w:val="Normal"/>
        <w:autoSpaceDE w:val="false"/>
        <w:spacing w:lineRule="auto" w:line="360"/>
        <w:ind w:firstLine="420"/>
        <w:jc w:val="left"/>
        <w:rPr>
          <w:rFonts w:ascii="宋体" w:hAnsi="宋体" w:eastAsia="宋体" w:cs="宋体"/>
        </w:rPr>
      </w:pPr>
      <w:r>
        <w:rPr>
          <w:rFonts w:eastAsia="宋体" w:cs="宋体" w:ascii="宋体" w:hAnsi="宋体"/>
        </w:rPr>
        <w:t>3</w:t>
      </w:r>
      <w:r>
        <w:rPr>
          <w:rFonts w:eastAsia="宋体" w:cs="宋体" w:ascii="宋体" w:hAnsi="宋体"/>
        </w:rPr>
        <w:t xml:space="preserve">.2 </w:t>
      </w:r>
      <w:r>
        <w:rPr>
          <w:rFonts w:ascii="宋体" w:hAnsi="宋体" w:cs="宋体" w:eastAsia="宋体"/>
        </w:rPr>
        <w:t>生产物料供方：提供与产品生产直接相关的物料供应商，根据生产物料的重要性又分为</w:t>
      </w:r>
      <w:r>
        <w:rPr>
          <w:rFonts w:eastAsia="宋体" w:cs="宋体" w:ascii="宋体" w:hAnsi="宋体"/>
        </w:rPr>
        <w:t>A</w:t>
      </w:r>
      <w:r>
        <w:rPr>
          <w:rFonts w:ascii="宋体" w:hAnsi="宋体" w:cs="宋体" w:eastAsia="宋体"/>
        </w:rPr>
        <w:t>类、</w:t>
      </w:r>
      <w:r>
        <w:rPr>
          <w:rFonts w:eastAsia="宋体" w:cs="宋体" w:ascii="宋体" w:hAnsi="宋体"/>
        </w:rPr>
        <w:t xml:space="preserve">B </w:t>
      </w:r>
      <w:r>
        <w:rPr>
          <w:rFonts w:ascii="宋体" w:hAnsi="宋体" w:cs="宋体" w:eastAsia="宋体"/>
        </w:rPr>
        <w:t>类和</w:t>
      </w:r>
      <w:r>
        <w:rPr>
          <w:rFonts w:eastAsia="宋体" w:cs="宋体" w:ascii="宋体" w:hAnsi="宋体"/>
        </w:rPr>
        <w:t>C</w:t>
      </w:r>
      <w:r>
        <w:rPr>
          <w:rFonts w:ascii="宋体" w:hAnsi="宋体" w:cs="宋体" w:eastAsia="宋体"/>
        </w:rPr>
        <w:t>类；其分类详见《采购控制程序》。</w:t>
      </w:r>
    </w:p>
    <w:p>
      <w:pPr>
        <w:pStyle w:val="Normal"/>
        <w:autoSpaceDE w:val="false"/>
        <w:spacing w:lineRule="auto" w:line="360"/>
        <w:rPr>
          <w:rFonts w:ascii="宋体" w:hAnsi="宋体" w:eastAsia="宋体" w:cs="宋体"/>
          <w:b/>
          <w:b/>
          <w:bCs/>
        </w:rPr>
      </w:pPr>
      <w:r>
        <w:rPr>
          <w:rFonts w:eastAsia="宋体" w:cs="宋体" w:ascii="宋体" w:hAnsi="宋体"/>
        </w:rPr>
        <w:t xml:space="preserve">4. </w:t>
      </w:r>
      <w:r>
        <w:rPr>
          <w:rFonts w:ascii="宋体" w:hAnsi="宋体" w:cs="宋体" w:eastAsia="宋体"/>
          <w:b/>
          <w:bCs/>
        </w:rPr>
        <w:t>职责</w:t>
      </w:r>
    </w:p>
    <w:p>
      <w:pPr>
        <w:pStyle w:val="Normal"/>
        <w:autoSpaceDE w:val="false"/>
        <w:spacing w:lineRule="auto" w:line="360"/>
        <w:rPr>
          <w:rFonts w:ascii="宋体" w:hAnsi="宋体" w:eastAsia="宋体" w:cs="宋体"/>
        </w:rPr>
      </w:pPr>
      <w:r>
        <w:rPr>
          <w:rFonts w:eastAsia="宋体" w:cs="宋体" w:ascii="宋体" w:hAnsi="宋体"/>
        </w:rPr>
        <w:t xml:space="preserve">4.1. </w:t>
      </w:r>
      <w:r>
        <w:rPr>
          <w:rFonts w:ascii="宋体" w:hAnsi="宋体" w:cs="宋体" w:eastAsia="宋体"/>
        </w:rPr>
        <w:t>企业负责人或者管理者代表负责生产物料供方年度合格供方名录最终批准。</w:t>
      </w:r>
    </w:p>
    <w:p>
      <w:pPr>
        <w:pStyle w:val="Normal"/>
        <w:autoSpaceDE w:val="false"/>
        <w:spacing w:lineRule="auto" w:line="360"/>
        <w:rPr>
          <w:rFonts w:ascii="宋体" w:hAnsi="宋体" w:eastAsia="宋体" w:cs="宋体"/>
        </w:rPr>
      </w:pPr>
      <w:r>
        <w:rPr>
          <w:rFonts w:eastAsia="宋体" w:cs="宋体" w:ascii="宋体" w:hAnsi="宋体"/>
        </w:rPr>
        <w:t xml:space="preserve">4.2. </w:t>
      </w:r>
      <w:r>
        <w:rPr>
          <w:rFonts w:ascii="宋体" w:hAnsi="宋体" w:cs="宋体" w:eastAsia="宋体"/>
        </w:rPr>
        <w:t>采购部：</w:t>
      </w:r>
    </w:p>
    <w:p>
      <w:pPr>
        <w:pStyle w:val="Normal"/>
        <w:numPr>
          <w:ilvl w:val="0"/>
          <w:numId w:val="2"/>
        </w:numPr>
        <w:tabs>
          <w:tab w:val="left" w:pos="420" w:leader="none"/>
        </w:tabs>
        <w:autoSpaceDE w:val="false"/>
        <w:spacing w:lineRule="auto" w:line="360"/>
        <w:ind w:left="420" w:firstLine="6"/>
        <w:jc w:val="left"/>
        <w:rPr>
          <w:rFonts w:ascii="宋体" w:hAnsi="宋体" w:eastAsia="宋体" w:cs="宋体"/>
        </w:rPr>
      </w:pPr>
      <w:r>
        <w:rPr>
          <w:rFonts w:ascii="宋体" w:hAnsi="宋体" w:cs="宋体" w:eastAsia="宋体"/>
        </w:rPr>
        <w:t>负责生产物料候选供方的寻找、评价、开发实施；</w:t>
      </w:r>
    </w:p>
    <w:p>
      <w:pPr>
        <w:pStyle w:val="Normal"/>
        <w:numPr>
          <w:ilvl w:val="0"/>
          <w:numId w:val="2"/>
        </w:numPr>
        <w:tabs>
          <w:tab w:val="left" w:pos="420" w:leader="none"/>
        </w:tabs>
        <w:autoSpaceDE w:val="false"/>
        <w:spacing w:lineRule="auto" w:line="360"/>
        <w:ind w:left="420" w:firstLine="6"/>
        <w:jc w:val="left"/>
        <w:rPr>
          <w:rFonts w:ascii="宋体" w:hAnsi="宋体" w:eastAsia="宋体" w:cs="宋体"/>
        </w:rPr>
      </w:pPr>
      <w:r>
        <w:rPr>
          <w:rFonts w:ascii="宋体" w:hAnsi="宋体" w:cs="宋体" w:eastAsia="宋体"/>
        </w:rPr>
        <w:t>负责组织对生产物料供方进行日常审核和年度供方评价。</w:t>
      </w:r>
    </w:p>
    <w:p>
      <w:pPr>
        <w:pStyle w:val="Normal"/>
        <w:numPr>
          <w:ilvl w:val="0"/>
          <w:numId w:val="2"/>
        </w:numPr>
        <w:tabs>
          <w:tab w:val="left" w:pos="420" w:leader="none"/>
        </w:tabs>
        <w:autoSpaceDE w:val="false"/>
        <w:spacing w:lineRule="auto" w:line="360"/>
        <w:ind w:left="420" w:firstLine="6"/>
        <w:jc w:val="left"/>
        <w:rPr>
          <w:rFonts w:ascii="宋体" w:hAnsi="宋体" w:eastAsia="宋体" w:cs="宋体"/>
        </w:rPr>
      </w:pPr>
      <w:r>
        <w:rPr>
          <w:rFonts w:ascii="宋体" w:hAnsi="宋体" w:cs="宋体" w:eastAsia="宋体"/>
        </w:rPr>
        <w:t>负责对生产物料供方商务方面进行评价；</w:t>
      </w:r>
    </w:p>
    <w:p>
      <w:pPr>
        <w:pStyle w:val="Normal"/>
        <w:numPr>
          <w:ilvl w:val="0"/>
          <w:numId w:val="2"/>
        </w:numPr>
        <w:tabs>
          <w:tab w:val="left" w:pos="420" w:leader="none"/>
        </w:tabs>
        <w:autoSpaceDE w:val="false"/>
        <w:spacing w:lineRule="auto" w:line="360"/>
        <w:ind w:left="420" w:firstLine="6"/>
        <w:jc w:val="left"/>
        <w:rPr>
          <w:rFonts w:ascii="宋体" w:hAnsi="宋体" w:eastAsia="宋体" w:cs="宋体"/>
        </w:rPr>
      </w:pPr>
      <w:r>
        <w:rPr>
          <w:rFonts w:ascii="宋体" w:hAnsi="宋体" w:cs="宋体" w:eastAsia="宋体"/>
        </w:rPr>
        <w:t>负责现有供方的采购业务实施；</w:t>
      </w:r>
    </w:p>
    <w:p>
      <w:pPr>
        <w:pStyle w:val="Normal"/>
        <w:numPr>
          <w:ilvl w:val="0"/>
          <w:numId w:val="2"/>
        </w:numPr>
        <w:tabs>
          <w:tab w:val="left" w:pos="420" w:leader="none"/>
        </w:tabs>
        <w:autoSpaceDE w:val="false"/>
        <w:spacing w:lineRule="auto" w:line="360"/>
        <w:ind w:left="420" w:firstLine="6"/>
        <w:jc w:val="left"/>
        <w:rPr>
          <w:rFonts w:ascii="宋体" w:hAnsi="宋体" w:eastAsia="宋体" w:cs="宋体"/>
        </w:rPr>
      </w:pPr>
      <w:r>
        <w:rPr>
          <w:rFonts w:ascii="宋体" w:hAnsi="宋体" w:cs="宋体" w:eastAsia="宋体"/>
        </w:rPr>
        <w:t>负责供方的年度业绩评审；</w:t>
      </w:r>
    </w:p>
    <w:p>
      <w:pPr>
        <w:pStyle w:val="Normal"/>
        <w:autoSpaceDE w:val="false"/>
        <w:spacing w:lineRule="auto" w:line="360"/>
        <w:rPr>
          <w:rFonts w:ascii="宋体" w:hAnsi="宋体" w:eastAsia="宋体" w:cs="宋体"/>
        </w:rPr>
      </w:pPr>
      <w:r>
        <w:rPr>
          <w:rFonts w:eastAsia="宋体" w:cs="宋体" w:ascii="宋体" w:hAnsi="宋体"/>
        </w:rPr>
        <w:t xml:space="preserve">4.3. </w:t>
      </w:r>
      <w:r>
        <w:rPr>
          <w:rFonts w:ascii="宋体" w:hAnsi="宋体" w:cs="宋体" w:eastAsia="宋体"/>
        </w:rPr>
        <w:t>研发部：负责对现成软件的供方选择、评价和管理。</w:t>
      </w:r>
    </w:p>
    <w:p>
      <w:pPr>
        <w:pStyle w:val="Normal"/>
        <w:autoSpaceDE w:val="false"/>
        <w:spacing w:lineRule="auto" w:line="360"/>
        <w:jc w:val="left"/>
        <w:rPr>
          <w:rFonts w:ascii="宋体" w:hAnsi="宋体" w:eastAsia="宋体" w:cs="宋体"/>
        </w:rPr>
      </w:pPr>
      <w:r>
        <w:rPr>
          <w:rFonts w:eastAsia="宋体" w:cs="宋体" w:ascii="宋体" w:hAnsi="宋体"/>
        </w:rPr>
        <w:t>4</w:t>
      </w:r>
      <w:r>
        <w:rPr>
          <w:rFonts w:eastAsia="宋体" w:cs="宋体" w:ascii="宋体" w:hAnsi="宋体"/>
        </w:rPr>
        <w:t xml:space="preserve">.4 </w:t>
      </w:r>
      <w:r>
        <w:rPr>
          <w:rFonts w:ascii="宋体" w:hAnsi="宋体" w:cs="宋体" w:eastAsia="宋体"/>
        </w:rPr>
        <w:t>生产</w:t>
      </w:r>
      <w:r>
        <w:rPr>
          <w:rFonts w:eastAsia="宋体" w:cs="宋体" w:ascii="宋体" w:hAnsi="宋体"/>
        </w:rPr>
        <w:t>/</w:t>
      </w:r>
      <w:r>
        <w:rPr>
          <w:rFonts w:ascii="宋体" w:hAnsi="宋体" w:cs="宋体" w:eastAsia="宋体"/>
        </w:rPr>
        <w:t>运维部：</w:t>
      </w:r>
    </w:p>
    <w:p>
      <w:pPr>
        <w:pStyle w:val="Normal"/>
        <w:numPr>
          <w:ilvl w:val="0"/>
          <w:numId w:val="4"/>
        </w:numPr>
        <w:tabs>
          <w:tab w:val="left" w:pos="420" w:leader="none"/>
        </w:tabs>
        <w:autoSpaceDE w:val="false"/>
        <w:spacing w:lineRule="auto" w:line="360"/>
        <w:ind w:left="420" w:firstLine="6"/>
        <w:jc w:val="left"/>
        <w:rPr>
          <w:rFonts w:ascii="宋体" w:hAnsi="宋体" w:eastAsia="宋体" w:cs="宋体"/>
        </w:rPr>
      </w:pPr>
      <w:r>
        <w:rPr>
          <w:rFonts w:ascii="宋体" w:hAnsi="宋体" w:cs="宋体" w:eastAsia="宋体"/>
        </w:rPr>
        <w:t>负责制定生产物料（</w:t>
      </w:r>
      <w:r>
        <w:rPr>
          <w:rFonts w:eastAsia="宋体" w:cs="宋体" w:ascii="宋体" w:hAnsi="宋体"/>
        </w:rPr>
        <w:t>A</w:t>
      </w:r>
      <w:r>
        <w:rPr>
          <w:rFonts w:ascii="宋体" w:hAnsi="宋体" w:cs="宋体" w:eastAsia="宋体"/>
        </w:rPr>
        <w:t>类、</w:t>
      </w:r>
      <w:r>
        <w:rPr>
          <w:rFonts w:eastAsia="宋体" w:cs="宋体" w:ascii="宋体" w:hAnsi="宋体"/>
        </w:rPr>
        <w:t>B</w:t>
      </w:r>
      <w:r>
        <w:rPr>
          <w:rFonts w:ascii="宋体" w:hAnsi="宋体" w:cs="宋体" w:eastAsia="宋体"/>
        </w:rPr>
        <w:t>类）的验证方案并实施验证，</w:t>
      </w:r>
    </w:p>
    <w:p>
      <w:pPr>
        <w:pStyle w:val="Normal"/>
        <w:numPr>
          <w:ilvl w:val="0"/>
          <w:numId w:val="4"/>
        </w:numPr>
        <w:tabs>
          <w:tab w:val="left" w:pos="420" w:leader="none"/>
        </w:tabs>
        <w:autoSpaceDE w:val="false"/>
        <w:spacing w:lineRule="auto" w:line="360"/>
        <w:ind w:left="420" w:firstLine="6"/>
        <w:jc w:val="left"/>
        <w:rPr>
          <w:rFonts w:ascii="宋体" w:hAnsi="宋体" w:eastAsia="宋体" w:cs="宋体"/>
        </w:rPr>
      </w:pPr>
      <w:r>
        <w:rPr>
          <w:rFonts w:ascii="宋体" w:hAnsi="宋体" w:cs="宋体" w:eastAsia="宋体"/>
        </w:rPr>
        <w:t>参与生产物料必需样品的确认；</w:t>
      </w:r>
    </w:p>
    <w:p>
      <w:pPr>
        <w:pStyle w:val="Normal"/>
        <w:autoSpaceDE w:val="false"/>
        <w:spacing w:lineRule="auto" w:line="360"/>
        <w:rPr>
          <w:rFonts w:ascii="宋体" w:hAnsi="宋体" w:eastAsia="宋体" w:cs="宋体"/>
        </w:rPr>
      </w:pPr>
      <w:r>
        <w:rPr>
          <w:rFonts w:eastAsia="宋体" w:cs="宋体" w:ascii="宋体" w:hAnsi="宋体"/>
        </w:rPr>
        <w:t>4.</w:t>
      </w:r>
      <w:r>
        <w:rPr>
          <w:rFonts w:eastAsia="宋体" w:cs="宋体" w:ascii="宋体" w:hAnsi="宋体"/>
        </w:rPr>
        <w:t>5</w:t>
      </w:r>
      <w:r>
        <w:rPr>
          <w:rFonts w:eastAsia="宋体" w:cs="宋体" w:ascii="宋体" w:hAnsi="宋体"/>
        </w:rPr>
        <w:t xml:space="preserve">. </w:t>
      </w:r>
      <w:r>
        <w:rPr>
          <w:rFonts w:ascii="宋体" w:hAnsi="宋体" w:cs="宋体" w:eastAsia="宋体"/>
        </w:rPr>
        <w:t>质量部：</w:t>
      </w:r>
    </w:p>
    <w:p>
      <w:pPr>
        <w:pStyle w:val="Normal"/>
        <w:numPr>
          <w:ilvl w:val="0"/>
          <w:numId w:val="3"/>
        </w:numPr>
        <w:tabs>
          <w:tab w:val="left" w:pos="420" w:leader="none"/>
        </w:tabs>
        <w:autoSpaceDE w:val="false"/>
        <w:spacing w:lineRule="auto" w:line="360"/>
        <w:ind w:left="420" w:firstLine="6"/>
        <w:jc w:val="left"/>
        <w:rPr>
          <w:rFonts w:ascii="宋体" w:hAnsi="宋体" w:eastAsia="宋体" w:cs="宋体"/>
        </w:rPr>
      </w:pPr>
      <w:r>
        <w:rPr>
          <w:rFonts w:ascii="宋体" w:hAnsi="宋体" w:cs="宋体" w:eastAsia="宋体"/>
        </w:rPr>
        <w:t>负责对生产物料的新供方质量体系的评价和审核，</w:t>
      </w:r>
    </w:p>
    <w:p>
      <w:pPr>
        <w:pStyle w:val="Normal"/>
        <w:numPr>
          <w:ilvl w:val="0"/>
          <w:numId w:val="3"/>
        </w:numPr>
        <w:tabs>
          <w:tab w:val="left" w:pos="420" w:leader="none"/>
        </w:tabs>
        <w:autoSpaceDE w:val="false"/>
        <w:spacing w:lineRule="auto" w:line="360"/>
        <w:ind w:left="420" w:firstLine="6"/>
        <w:jc w:val="left"/>
        <w:rPr>
          <w:rFonts w:ascii="宋体" w:hAnsi="宋体" w:eastAsia="宋体" w:cs="宋体"/>
        </w:rPr>
      </w:pPr>
      <w:r>
        <w:rPr>
          <w:rFonts w:ascii="宋体" w:hAnsi="宋体" w:cs="宋体" w:eastAsia="宋体"/>
        </w:rPr>
        <w:t>负责参与开发实施过程时必需样品的验证；</w:t>
      </w:r>
    </w:p>
    <w:p>
      <w:pPr>
        <w:pStyle w:val="Normal"/>
        <w:numPr>
          <w:ilvl w:val="0"/>
          <w:numId w:val="3"/>
        </w:numPr>
        <w:tabs>
          <w:tab w:val="left" w:pos="420" w:leader="none"/>
        </w:tabs>
        <w:autoSpaceDE w:val="false"/>
        <w:spacing w:lineRule="auto" w:line="360"/>
        <w:ind w:left="420" w:firstLine="6"/>
        <w:jc w:val="left"/>
        <w:rPr>
          <w:rFonts w:ascii="宋体" w:hAnsi="宋体" w:eastAsia="宋体" w:cs="宋体"/>
        </w:rPr>
      </w:pPr>
      <w:r>
        <w:rPr>
          <w:rFonts w:ascii="宋体" w:hAnsi="宋体" w:cs="宋体" w:eastAsia="宋体"/>
        </w:rPr>
        <w:t>负责对现有供方的物料进货检验和控制</w:t>
      </w:r>
      <w:r>
        <w:rPr>
          <w:rFonts w:eastAsia="宋体" w:cs="宋体" w:ascii="宋体" w:hAnsi="宋体"/>
        </w:rPr>
        <w:t xml:space="preserve">, </w:t>
      </w:r>
      <w:r>
        <w:rPr>
          <w:rFonts w:ascii="宋体" w:hAnsi="宋体" w:cs="宋体" w:eastAsia="宋体"/>
        </w:rPr>
        <w:t>提交供应商年度质量数据统计及分析报告。</w:t>
      </w:r>
    </w:p>
    <w:p>
      <w:pPr>
        <w:pStyle w:val="Normal"/>
        <w:numPr>
          <w:ilvl w:val="0"/>
          <w:numId w:val="3"/>
        </w:numPr>
        <w:tabs>
          <w:tab w:val="left" w:pos="420" w:leader="none"/>
        </w:tabs>
        <w:autoSpaceDE w:val="false"/>
        <w:spacing w:lineRule="auto" w:line="360"/>
        <w:ind w:left="420" w:firstLine="6"/>
        <w:jc w:val="left"/>
        <w:rPr>
          <w:rFonts w:ascii="宋体" w:hAnsi="宋体" w:eastAsia="宋体" w:cs="宋体"/>
        </w:rPr>
      </w:pPr>
      <w:r>
        <w:rPr>
          <w:rFonts w:ascii="宋体" w:hAnsi="宋体" w:cs="宋体" w:eastAsia="宋体"/>
        </w:rPr>
        <w:t>参与对生产物料供方进行日常审核和年度供方评价。</w:t>
      </w:r>
    </w:p>
    <w:p>
      <w:pPr>
        <w:pStyle w:val="Normal"/>
        <w:numPr>
          <w:ilvl w:val="0"/>
          <w:numId w:val="3"/>
        </w:numPr>
        <w:tabs>
          <w:tab w:val="left" w:pos="420" w:leader="none"/>
        </w:tabs>
        <w:autoSpaceDE w:val="false"/>
        <w:spacing w:lineRule="auto" w:line="360"/>
        <w:ind w:left="420" w:firstLine="6"/>
        <w:jc w:val="left"/>
        <w:rPr>
          <w:rFonts w:ascii="宋体" w:hAnsi="宋体" w:eastAsia="宋体" w:cs="宋体"/>
        </w:rPr>
      </w:pPr>
      <w:r>
        <w:rPr>
          <w:rFonts w:ascii="宋体" w:hAnsi="宋体" w:cs="宋体" w:eastAsia="宋体"/>
        </w:rPr>
        <w:t>负责对“欧盟授权代表”的资质以及授权书的相关内容审核，确保其符合</w:t>
      </w:r>
      <w:r>
        <w:rPr>
          <w:rFonts w:eastAsia="宋体" w:cs="宋体" w:ascii="宋体" w:hAnsi="宋体"/>
        </w:rPr>
        <w:t>M</w:t>
      </w:r>
      <w:r>
        <w:rPr>
          <w:rFonts w:eastAsia="宋体" w:cs="宋体" w:ascii="宋体" w:hAnsi="宋体"/>
        </w:rPr>
        <w:t>DR</w:t>
      </w:r>
      <w:r>
        <w:rPr>
          <w:rFonts w:ascii="宋体" w:hAnsi="宋体" w:cs="宋体" w:eastAsia="宋体"/>
        </w:rPr>
        <w:t>要求。</w:t>
      </w:r>
    </w:p>
    <w:p>
      <w:pPr>
        <w:pStyle w:val="Normal"/>
        <w:autoSpaceDE w:val="false"/>
        <w:spacing w:lineRule="auto" w:line="360"/>
        <w:rPr>
          <w:rFonts w:ascii="宋体" w:hAnsi="宋体" w:eastAsia="宋体" w:cs="宋体"/>
          <w:b/>
          <w:b/>
          <w:bCs/>
        </w:rPr>
      </w:pPr>
      <w:r>
        <w:rPr>
          <w:rFonts w:eastAsia="宋体" w:cs="宋体" w:ascii="宋体" w:hAnsi="宋体"/>
        </w:rPr>
        <w:t>5.</w:t>
      </w:r>
      <w:r>
        <w:rPr>
          <w:rFonts w:ascii="宋体" w:hAnsi="宋体" w:cs="宋体" w:eastAsia="宋体"/>
          <w:b/>
          <w:bCs/>
        </w:rPr>
        <w:t>工作流程</w:t>
      </w:r>
    </w:p>
    <w:p>
      <w:pPr>
        <w:pStyle w:val="Normal"/>
        <w:autoSpaceDE w:val="false"/>
        <w:spacing w:lineRule="auto" w:line="360"/>
        <w:rPr>
          <w:rFonts w:ascii="宋体" w:hAnsi="宋体" w:eastAsia="宋体" w:cs="宋体"/>
        </w:rPr>
      </w:pPr>
      <w:r>
        <w:rPr>
          <w:rFonts w:eastAsia="宋体" w:cs="宋体" w:ascii="宋体" w:hAnsi="宋体"/>
        </w:rPr>
        <w:t xml:space="preserve">5.1. </w:t>
      </w:r>
      <w:r>
        <w:rPr>
          <w:rFonts w:ascii="宋体" w:hAnsi="宋体" w:cs="宋体" w:eastAsia="宋体"/>
        </w:rPr>
        <w:t>供方初选</w:t>
      </w:r>
    </w:p>
    <w:p>
      <w:pPr>
        <w:pStyle w:val="Normal"/>
        <w:autoSpaceDE w:val="false"/>
        <w:spacing w:lineRule="auto" w:line="360"/>
        <w:ind w:firstLine="420"/>
        <w:rPr>
          <w:rFonts w:ascii="宋体" w:hAnsi="宋体" w:eastAsia="宋体" w:cs="宋体"/>
        </w:rPr>
      </w:pPr>
      <w:r>
        <w:rPr>
          <w:rFonts w:eastAsia="宋体" w:cs="宋体" w:ascii="宋体" w:hAnsi="宋体"/>
        </w:rPr>
        <w:t xml:space="preserve">5.1.1. </w:t>
      </w:r>
      <w:r>
        <w:rPr>
          <w:rFonts w:ascii="宋体" w:hAnsi="宋体" w:cs="宋体" w:eastAsia="宋体"/>
        </w:rPr>
        <w:t>生产类物资供方开发：</w:t>
      </w:r>
    </w:p>
    <w:p>
      <w:pPr>
        <w:pStyle w:val="Normal"/>
        <w:autoSpaceDE w:val="false"/>
        <w:spacing w:lineRule="auto" w:line="360"/>
        <w:ind w:firstLine="420"/>
        <w:rPr>
          <w:rFonts w:ascii="宋体" w:hAnsi="宋体" w:eastAsia="宋体" w:cs="宋体"/>
        </w:rPr>
      </w:pPr>
      <w:r>
        <w:rPr>
          <w:rFonts w:ascii="宋体" w:hAnsi="宋体" w:cs="宋体" w:eastAsia="宋体"/>
        </w:rPr>
        <w:t>遇新产品或供方结构改善需要时，采购部供方开发人员负责搜索潜在供方并进行先期联系，对其输入的信息进行分析和判断。</w:t>
      </w:r>
    </w:p>
    <w:p>
      <w:pPr>
        <w:pStyle w:val="Normal"/>
        <w:autoSpaceDE w:val="false"/>
        <w:spacing w:lineRule="auto" w:line="360"/>
        <w:ind w:firstLine="420"/>
        <w:rPr>
          <w:rFonts w:ascii="宋体" w:hAnsi="宋体" w:eastAsia="宋体" w:cs="宋体"/>
        </w:rPr>
      </w:pPr>
      <w:r>
        <w:rPr>
          <w:rFonts w:ascii="宋体" w:hAnsi="宋体" w:cs="宋体" w:eastAsia="宋体"/>
        </w:rPr>
        <w:t>符合度较高时，需要进一步调查和了解该潜在供方的公司介绍、产品范围、供货能力、投资规模、工程设备、管理水平并完成《供方调查和分析表》，视情况索要样品和初步报价等。因新产品需要而开发供方时，原则上应选择二家或二家以上。</w:t>
      </w:r>
    </w:p>
    <w:p>
      <w:pPr>
        <w:pStyle w:val="Normal"/>
        <w:autoSpaceDE w:val="false"/>
        <w:spacing w:lineRule="auto" w:line="360"/>
        <w:ind w:firstLine="420"/>
        <w:rPr>
          <w:rFonts w:ascii="宋体" w:hAnsi="宋体" w:eastAsia="宋体" w:cs="宋体"/>
        </w:rPr>
      </w:pPr>
      <w:r>
        <w:rPr>
          <w:rFonts w:ascii="宋体" w:hAnsi="宋体" w:cs="宋体" w:eastAsia="宋体"/>
        </w:rPr>
        <w:t>获取样品，提供给技术部门确认。样品基本符合要求且初选获取的供方信息符合公司的体系要求，则初选通过，进入供方评价阶段。</w:t>
      </w:r>
    </w:p>
    <w:p>
      <w:pPr>
        <w:pStyle w:val="Normal"/>
        <w:autoSpaceDE w:val="false"/>
        <w:spacing w:lineRule="auto" w:line="360"/>
        <w:ind w:firstLine="420"/>
        <w:rPr>
          <w:rFonts w:ascii="宋体" w:hAnsi="宋体" w:eastAsia="宋体" w:cs="宋体"/>
        </w:rPr>
      </w:pPr>
      <w:r>
        <w:rPr>
          <w:rFonts w:eastAsia="宋体" w:cs="宋体" w:ascii="宋体" w:hAnsi="宋体"/>
        </w:rPr>
        <w:t>5.1.</w:t>
      </w:r>
      <w:r>
        <w:rPr>
          <w:rFonts w:eastAsia="宋体" w:cs="宋体" w:ascii="宋体" w:hAnsi="宋体"/>
        </w:rPr>
        <w:t>2</w:t>
      </w:r>
      <w:r>
        <w:rPr>
          <w:rFonts w:eastAsia="宋体" w:cs="宋体" w:ascii="宋体" w:hAnsi="宋体"/>
        </w:rPr>
        <w:t xml:space="preserve">. </w:t>
      </w:r>
      <w:r>
        <w:rPr>
          <w:rFonts w:ascii="宋体" w:hAnsi="宋体" w:cs="宋体" w:eastAsia="宋体"/>
        </w:rPr>
        <w:t>现成软件的供方管理：</w:t>
      </w:r>
    </w:p>
    <w:p>
      <w:pPr>
        <w:pStyle w:val="Normal"/>
        <w:autoSpaceDE w:val="false"/>
        <w:spacing w:lineRule="auto" w:line="360"/>
        <w:ind w:firstLine="420"/>
        <w:rPr>
          <w:rFonts w:ascii="宋体" w:hAnsi="宋体" w:eastAsia="宋体" w:cs="宋体"/>
        </w:rPr>
      </w:pPr>
      <w:r>
        <w:rPr>
          <w:rFonts w:eastAsia="宋体" w:cs="宋体" w:ascii="宋体" w:hAnsi="宋体"/>
        </w:rPr>
        <w:t xml:space="preserve"> </w:t>
      </w:r>
      <w:r>
        <w:rPr>
          <w:rFonts w:eastAsia="宋体" w:cs="宋体" w:ascii="宋体" w:hAnsi="宋体"/>
        </w:rPr>
        <w:t xml:space="preserve"> </w:t>
      </w:r>
      <w:r>
        <w:rPr>
          <w:rFonts w:ascii="宋体" w:hAnsi="宋体" w:cs="宋体" w:eastAsia="宋体"/>
        </w:rPr>
        <w:t>本公司的现成软件有两种类型，分别为：现成软件组件和外部环境的成品软件，现成软件的管理由研发部进行供方选择和评价，并在产品开发或者软件维护阶段进行全生命周期的验证、评价和风险管理。</w:t>
      </w:r>
    </w:p>
    <w:p>
      <w:pPr>
        <w:pStyle w:val="Normal"/>
        <w:autoSpaceDE w:val="false"/>
        <w:spacing w:lineRule="auto" w:line="360"/>
        <w:ind w:firstLine="420"/>
        <w:rPr>
          <w:rFonts w:ascii="宋体" w:hAnsi="宋体" w:eastAsia="宋体" w:cs="宋体"/>
        </w:rPr>
      </w:pPr>
      <w:r>
        <w:rPr>
          <w:rFonts w:eastAsia="宋体" w:cs="宋体" w:ascii="宋体" w:hAnsi="宋体"/>
        </w:rPr>
        <w:t xml:space="preserve">5.2. </w:t>
      </w:r>
      <w:r>
        <w:rPr>
          <w:rFonts w:ascii="宋体" w:hAnsi="宋体" w:cs="宋体" w:eastAsia="宋体"/>
        </w:rPr>
        <w:t>供方评价和确定</w:t>
      </w:r>
    </w:p>
    <w:p>
      <w:pPr>
        <w:pStyle w:val="Normal"/>
        <w:autoSpaceDE w:val="false"/>
        <w:spacing w:lineRule="auto" w:line="360"/>
        <w:ind w:firstLine="388"/>
        <w:rPr>
          <w:rFonts w:ascii="宋体" w:hAnsi="宋体" w:eastAsia="宋体" w:cs="宋体"/>
        </w:rPr>
      </w:pPr>
      <w:r>
        <w:rPr>
          <w:rFonts w:eastAsia="宋体" w:cs="宋体" w:ascii="宋体" w:hAnsi="宋体"/>
        </w:rPr>
        <w:t>5.2.1.</w:t>
      </w:r>
      <w:r>
        <w:rPr>
          <w:rFonts w:ascii="宋体" w:hAnsi="宋体" w:cs="宋体" w:eastAsia="宋体"/>
        </w:rPr>
        <w:t>对通过初选的生产物料</w:t>
      </w:r>
      <w:r>
        <w:rPr>
          <w:rFonts w:eastAsia="宋体" w:cs="宋体" w:ascii="宋体" w:hAnsi="宋体"/>
        </w:rPr>
        <w:t>A</w:t>
      </w:r>
      <w:r>
        <w:rPr>
          <w:rFonts w:ascii="宋体" w:hAnsi="宋体" w:cs="宋体" w:eastAsia="宋体"/>
        </w:rPr>
        <w:t>、</w:t>
      </w:r>
      <w:r>
        <w:rPr>
          <w:rFonts w:eastAsia="宋体" w:cs="宋体" w:ascii="宋体" w:hAnsi="宋体"/>
        </w:rPr>
        <w:t>B</w:t>
      </w:r>
      <w:r>
        <w:rPr>
          <w:rFonts w:ascii="宋体" w:hAnsi="宋体" w:cs="宋体" w:eastAsia="宋体"/>
        </w:rPr>
        <w:t>两类供方，根据已取得的供方支持资料、信息和项目</w:t>
      </w:r>
      <w:r>
        <w:rPr>
          <w:rFonts w:eastAsia="宋体" w:cs="宋体" w:ascii="宋体" w:hAnsi="宋体"/>
        </w:rPr>
        <w:t>/</w:t>
      </w:r>
      <w:r>
        <w:rPr>
          <w:rFonts w:ascii="宋体" w:hAnsi="宋体" w:cs="宋体" w:eastAsia="宋体"/>
        </w:rPr>
        <w:t>产品开发需要，原则上进行现场审核；如果认为难以进行现场审核的，由审核小组与供方联系取得必须的证据或资料进行审核，最终由审核小组出具《供方评定审批表》。审核通过的，对</w:t>
      </w:r>
      <w:r>
        <w:rPr>
          <w:rFonts w:eastAsia="宋体" w:cs="宋体" w:ascii="宋体" w:hAnsi="宋体"/>
        </w:rPr>
        <w:t>A</w:t>
      </w:r>
      <w:r>
        <w:rPr>
          <w:rFonts w:ascii="宋体" w:hAnsi="宋体" w:cs="宋体" w:eastAsia="宋体"/>
        </w:rPr>
        <w:t>类、</w:t>
      </w:r>
      <w:r>
        <w:rPr>
          <w:rFonts w:eastAsia="宋体" w:cs="宋体" w:ascii="宋体" w:hAnsi="宋体"/>
        </w:rPr>
        <w:t>B</w:t>
      </w:r>
      <w:r>
        <w:rPr>
          <w:rFonts w:ascii="宋体" w:hAnsi="宋体" w:cs="宋体" w:eastAsia="宋体"/>
        </w:rPr>
        <w:t>类生产物料进行验证或确认，附加验证或确认报告，进行终审批，纳入合格供方。</w:t>
      </w:r>
    </w:p>
    <w:p>
      <w:pPr>
        <w:pStyle w:val="Normal"/>
        <w:autoSpaceDE w:val="false"/>
        <w:spacing w:lineRule="auto" w:line="360"/>
        <w:ind w:firstLine="420"/>
        <w:rPr>
          <w:rFonts w:ascii="宋体" w:hAnsi="宋体" w:eastAsia="宋体" w:cs="宋体"/>
        </w:rPr>
      </w:pPr>
      <w:r>
        <w:rPr>
          <w:rFonts w:eastAsia="宋体" w:cs="宋体" w:ascii="宋体" w:hAnsi="宋体"/>
        </w:rPr>
        <w:t xml:space="preserve">5.2.2. </w:t>
      </w:r>
      <w:r>
        <w:rPr>
          <w:rFonts w:ascii="宋体" w:hAnsi="宋体" w:cs="宋体" w:eastAsia="宋体"/>
        </w:rPr>
        <w:t>对通过初评的生产物料</w:t>
      </w:r>
      <w:r>
        <w:rPr>
          <w:rFonts w:eastAsia="宋体" w:cs="宋体" w:ascii="宋体" w:hAnsi="宋体"/>
        </w:rPr>
        <w:t>C</w:t>
      </w:r>
      <w:r>
        <w:rPr>
          <w:rFonts w:ascii="宋体" w:hAnsi="宋体" w:cs="宋体" w:eastAsia="宋体"/>
        </w:rPr>
        <w:t>类供方，由采购部、质量部进行合同评审，纳入合格供方。</w:t>
      </w:r>
    </w:p>
    <w:p>
      <w:pPr>
        <w:pStyle w:val="Normal"/>
        <w:autoSpaceDE w:val="false"/>
        <w:spacing w:lineRule="auto" w:line="360"/>
        <w:rPr>
          <w:rFonts w:ascii="宋体" w:hAnsi="宋体" w:eastAsia="宋体" w:cs="宋体"/>
        </w:rPr>
      </w:pPr>
      <w:r>
        <w:rPr>
          <w:rFonts w:eastAsia="宋体" w:cs="宋体" w:ascii="宋体" w:hAnsi="宋体"/>
        </w:rPr>
        <w:t xml:space="preserve">5.3. </w:t>
      </w:r>
      <w:r>
        <w:rPr>
          <w:rFonts w:ascii="宋体" w:hAnsi="宋体" w:cs="宋体" w:eastAsia="宋体"/>
        </w:rPr>
        <w:t>合格供方名录</w:t>
      </w:r>
    </w:p>
    <w:p>
      <w:pPr>
        <w:pStyle w:val="Normal"/>
        <w:autoSpaceDE w:val="false"/>
        <w:spacing w:lineRule="auto" w:line="360"/>
        <w:ind w:firstLine="420"/>
        <w:rPr>
          <w:rFonts w:ascii="宋体" w:hAnsi="宋体" w:eastAsia="宋体" w:cs="宋体"/>
        </w:rPr>
      </w:pPr>
      <w:r>
        <w:rPr>
          <w:rFonts w:eastAsia="宋体" w:cs="宋体" w:ascii="宋体" w:hAnsi="宋体"/>
        </w:rPr>
        <w:t xml:space="preserve">5.3.1 </w:t>
      </w:r>
      <w:r>
        <w:rPr>
          <w:rFonts w:ascii="宋体" w:hAnsi="宋体" w:cs="宋体" w:eastAsia="宋体"/>
        </w:rPr>
        <w:t>经确认合格的生产物料供方，由采购部按物料类别建立《合格供方名录》，经采购部和质量部评审以及企业负责人或者管理者代表批准后生效。同时，合格供方名录按照年度评价结果进行更新。</w:t>
      </w:r>
    </w:p>
    <w:p>
      <w:pPr>
        <w:pStyle w:val="Normal"/>
        <w:autoSpaceDE w:val="false"/>
        <w:spacing w:lineRule="auto" w:line="360"/>
        <w:ind w:firstLine="420"/>
        <w:rPr>
          <w:rFonts w:ascii="宋体" w:hAnsi="宋体" w:eastAsia="宋体" w:cs="宋体"/>
        </w:rPr>
      </w:pPr>
      <w:r>
        <w:rPr>
          <w:rFonts w:eastAsia="宋体" w:cs="宋体" w:ascii="宋体" w:hAnsi="宋体"/>
        </w:rPr>
        <w:t>5.3.2</w:t>
      </w:r>
      <w:r>
        <w:rPr>
          <w:rFonts w:eastAsia="宋体" w:cs="宋体" w:ascii="宋体" w:hAnsi="宋体"/>
        </w:rPr>
        <w:t xml:space="preserve"> </w:t>
      </w:r>
      <w:r>
        <w:rPr>
          <w:rFonts w:ascii="宋体" w:hAnsi="宋体" w:cs="宋体" w:eastAsia="宋体"/>
        </w:rPr>
        <w:t>现成软件的清单和供方由研发部进行整理和管理。</w:t>
      </w:r>
    </w:p>
    <w:p>
      <w:pPr>
        <w:pStyle w:val="Normal"/>
        <w:autoSpaceDE w:val="false"/>
        <w:spacing w:lineRule="auto" w:line="360"/>
        <w:ind w:firstLine="420"/>
        <w:rPr>
          <w:rFonts w:ascii="宋体" w:hAnsi="宋体" w:eastAsia="宋体" w:cs="宋体"/>
        </w:rPr>
      </w:pPr>
      <w:r>
        <w:rPr>
          <w:rFonts w:eastAsia="宋体" w:cs="宋体" w:ascii="宋体" w:hAnsi="宋体"/>
        </w:rPr>
        <w:t>5.3.</w:t>
      </w:r>
      <w:r>
        <w:rPr>
          <w:rFonts w:eastAsia="宋体" w:cs="宋体" w:ascii="宋体" w:hAnsi="宋体"/>
        </w:rPr>
        <w:t>3</w:t>
      </w:r>
      <w:r>
        <w:rPr>
          <w:rFonts w:eastAsia="宋体" w:cs="宋体" w:ascii="宋体" w:hAnsi="宋体"/>
        </w:rPr>
        <w:t xml:space="preserve"> </w:t>
      </w:r>
      <w:r>
        <w:rPr>
          <w:rFonts w:ascii="宋体" w:hAnsi="宋体" w:cs="宋体" w:eastAsia="宋体"/>
        </w:rPr>
        <w:t>合格供方档案由采购部收集整理，服务类合格供方档案由相关部门收集整理。</w:t>
      </w:r>
    </w:p>
    <w:p>
      <w:pPr>
        <w:pStyle w:val="Normal"/>
        <w:autoSpaceDE w:val="false"/>
        <w:spacing w:lineRule="auto" w:line="360"/>
        <w:rPr>
          <w:rFonts w:ascii="宋体" w:hAnsi="宋体" w:eastAsia="宋体" w:cs="宋体"/>
        </w:rPr>
      </w:pPr>
      <w:r>
        <w:rPr>
          <w:rFonts w:eastAsia="宋体" w:cs="宋体" w:ascii="宋体" w:hAnsi="宋体"/>
        </w:rPr>
        <w:t xml:space="preserve">5.4. </w:t>
      </w:r>
      <w:r>
        <w:rPr>
          <w:rFonts w:ascii="宋体" w:hAnsi="宋体" w:cs="宋体" w:eastAsia="宋体"/>
        </w:rPr>
        <w:t>合格供方审核、评价</w:t>
      </w:r>
    </w:p>
    <w:p>
      <w:pPr>
        <w:pStyle w:val="Normal"/>
        <w:autoSpaceDE w:val="false"/>
        <w:spacing w:lineRule="auto" w:line="360"/>
        <w:ind w:firstLine="420"/>
        <w:rPr>
          <w:rFonts w:ascii="宋体" w:hAnsi="宋体" w:eastAsia="宋体" w:cs="宋体"/>
        </w:rPr>
      </w:pPr>
      <w:r>
        <w:rPr>
          <w:rFonts w:eastAsia="宋体" w:cs="宋体" w:ascii="宋体" w:hAnsi="宋体"/>
        </w:rPr>
        <w:t xml:space="preserve">5.4.1. </w:t>
      </w:r>
      <w:r>
        <w:rPr>
          <w:rFonts w:ascii="宋体" w:hAnsi="宋体" w:cs="宋体" w:eastAsia="宋体"/>
        </w:rPr>
        <w:t>如果生产物料合格供方涉及重要的工艺或其他重要变更，必要时，应对其进行重新审核。</w:t>
      </w:r>
    </w:p>
    <w:p>
      <w:pPr>
        <w:pStyle w:val="Normal"/>
        <w:autoSpaceDE w:val="false"/>
        <w:spacing w:lineRule="auto" w:line="360"/>
        <w:ind w:firstLine="420"/>
        <w:rPr>
          <w:rFonts w:ascii="宋体" w:hAnsi="宋体" w:eastAsia="宋体" w:cs="宋体"/>
        </w:rPr>
      </w:pPr>
      <w:r>
        <w:rPr>
          <w:rFonts w:eastAsia="宋体" w:cs="宋体" w:ascii="宋体" w:hAnsi="宋体"/>
        </w:rPr>
        <w:t xml:space="preserve">5.4.2. </w:t>
      </w:r>
      <w:r>
        <w:rPr>
          <w:rFonts w:ascii="宋体" w:hAnsi="宋体" w:cs="宋体" w:eastAsia="宋体"/>
        </w:rPr>
        <w:t>生产物料合格供方应进行年度评价，评价的内容包括质量状况、供货及时率、服务以及价格等方面。详细内容按照《供方年度业绩评价表》执行。</w:t>
      </w:r>
    </w:p>
    <w:p>
      <w:pPr>
        <w:pStyle w:val="Normal"/>
        <w:autoSpaceDE w:val="false"/>
        <w:spacing w:lineRule="auto" w:line="360"/>
        <w:ind w:firstLine="420"/>
        <w:rPr>
          <w:rFonts w:ascii="宋体" w:hAnsi="宋体" w:eastAsia="宋体" w:cs="宋体"/>
        </w:rPr>
      </w:pPr>
      <w:r>
        <w:rPr>
          <w:rFonts w:eastAsia="宋体" w:cs="宋体" w:ascii="宋体" w:hAnsi="宋体"/>
        </w:rPr>
        <w:t xml:space="preserve">5.4.3. </w:t>
      </w:r>
      <w:r>
        <w:rPr>
          <w:rFonts w:ascii="宋体" w:hAnsi="宋体" w:cs="宋体" w:eastAsia="宋体"/>
        </w:rPr>
        <w:t>对于生产物料供方，采购部和质量部根据评价结果，分别做出决定（继续供货、警告、限期整改、暂停供货或取消资格等）。</w:t>
      </w:r>
    </w:p>
    <w:p>
      <w:pPr>
        <w:pStyle w:val="Normal"/>
        <w:autoSpaceDE w:val="false"/>
        <w:spacing w:lineRule="auto" w:line="360"/>
        <w:ind w:firstLine="420"/>
        <w:rPr>
          <w:rFonts w:ascii="宋体" w:hAnsi="宋体" w:eastAsia="宋体" w:cs="宋体"/>
        </w:rPr>
      </w:pPr>
      <w:r>
        <w:rPr>
          <w:rFonts w:eastAsia="宋体" w:cs="宋体" w:ascii="宋体" w:hAnsi="宋体"/>
        </w:rPr>
        <w:t xml:space="preserve">5.4.4. </w:t>
      </w:r>
      <w:r>
        <w:rPr>
          <w:rFonts w:ascii="宋体" w:hAnsi="宋体" w:cs="宋体" w:eastAsia="宋体"/>
        </w:rPr>
        <w:t>现成软件的管理，应包含在全生命周期的 “软件维护”中，由研发部进行版本升级和确认。</w:t>
      </w:r>
    </w:p>
    <w:p>
      <w:pPr>
        <w:pStyle w:val="Normal"/>
        <w:autoSpaceDE w:val="false"/>
        <w:spacing w:lineRule="auto" w:line="360"/>
        <w:rPr>
          <w:rFonts w:ascii="宋体" w:hAnsi="宋体" w:eastAsia="宋体" w:cs="宋体"/>
          <w:b/>
          <w:b/>
          <w:bCs/>
        </w:rPr>
      </w:pPr>
      <w:r>
        <w:rPr>
          <w:rFonts w:eastAsia="宋体" w:cs="宋体" w:ascii="宋体" w:hAnsi="宋体"/>
          <w:b/>
        </w:rPr>
        <w:t xml:space="preserve">6. </w:t>
      </w:r>
      <w:r>
        <w:rPr>
          <w:rFonts w:ascii="宋体" w:hAnsi="宋体" w:cs="宋体" w:eastAsia="宋体"/>
          <w:b/>
          <w:bCs/>
        </w:rPr>
        <w:t>相关文件</w:t>
      </w:r>
    </w:p>
    <w:p>
      <w:pPr>
        <w:pStyle w:val="Normal"/>
        <w:autoSpaceDE w:val="false"/>
        <w:spacing w:lineRule="auto" w:line="360"/>
        <w:ind w:firstLine="283"/>
        <w:rPr>
          <w:rFonts w:ascii="宋体" w:hAnsi="宋体" w:eastAsia="宋体" w:cs="宋体"/>
        </w:rPr>
      </w:pPr>
      <w:r>
        <w:rPr>
          <w:rFonts w:eastAsia="宋体" w:cs="宋体" w:ascii="宋体" w:hAnsi="宋体"/>
        </w:rPr>
        <w:t>QMS-P11</w:t>
      </w:r>
      <w:r>
        <w:rPr>
          <w:rFonts w:ascii="宋体" w:hAnsi="宋体" w:cs="宋体" w:eastAsia="宋体"/>
        </w:rPr>
        <w:t>《采购控制程序》</w:t>
      </w:r>
    </w:p>
    <w:p>
      <w:pPr>
        <w:pStyle w:val="Normal"/>
        <w:autoSpaceDE w:val="false"/>
        <w:spacing w:lineRule="auto" w:line="360"/>
        <w:rPr>
          <w:rFonts w:ascii="宋体" w:hAnsi="宋体" w:eastAsia="宋体" w:cs="宋体"/>
          <w:b/>
          <w:b/>
          <w:bCs/>
        </w:rPr>
      </w:pPr>
      <w:r>
        <w:rPr>
          <w:rFonts w:eastAsia="宋体" w:cs="宋体" w:ascii="宋体" w:hAnsi="宋体"/>
        </w:rPr>
        <w:t xml:space="preserve">7. </w:t>
      </w:r>
      <w:r>
        <w:rPr>
          <w:rFonts w:ascii="宋体" w:hAnsi="宋体" w:cs="宋体" w:eastAsia="宋体"/>
          <w:b/>
          <w:bCs/>
        </w:rPr>
        <w:t>记录</w:t>
      </w:r>
    </w:p>
    <w:p>
      <w:pPr>
        <w:pStyle w:val="Normal"/>
        <w:autoSpaceDE w:val="false"/>
        <w:spacing w:lineRule="auto" w:line="360"/>
        <w:ind w:firstLine="283"/>
        <w:rPr>
          <w:rFonts w:ascii="宋体" w:hAnsi="宋体" w:eastAsia="宋体" w:cs="宋体"/>
        </w:rPr>
      </w:pPr>
      <w:r>
        <w:rPr>
          <w:rFonts w:eastAsia="宋体" w:cs="宋体" w:ascii="宋体" w:hAnsi="宋体"/>
        </w:rPr>
        <w:t xml:space="preserve">QP-10-R1 </w:t>
      </w:r>
      <w:r>
        <w:rPr>
          <w:rFonts w:ascii="宋体" w:hAnsi="宋体" w:cs="宋体" w:eastAsia="宋体"/>
        </w:rPr>
        <w:t>《供方调查和分析表》</w:t>
      </w:r>
    </w:p>
    <w:p>
      <w:pPr>
        <w:pStyle w:val="Normal"/>
        <w:autoSpaceDE w:val="false"/>
        <w:spacing w:lineRule="auto" w:line="360"/>
        <w:ind w:firstLine="283"/>
        <w:rPr>
          <w:rFonts w:ascii="宋体" w:hAnsi="宋体" w:eastAsia="宋体" w:cs="宋体"/>
        </w:rPr>
      </w:pPr>
      <w:r>
        <w:rPr>
          <w:rFonts w:eastAsia="宋体" w:cs="宋体" w:ascii="宋体" w:hAnsi="宋体"/>
        </w:rPr>
        <w:t xml:space="preserve">QP-10-R2 </w:t>
      </w:r>
      <w:r>
        <w:rPr>
          <w:rFonts w:ascii="宋体" w:hAnsi="宋体" w:cs="宋体" w:eastAsia="宋体"/>
        </w:rPr>
        <w:t>《供方评定审批表》</w:t>
      </w:r>
    </w:p>
    <w:p>
      <w:pPr>
        <w:pStyle w:val="Normal"/>
        <w:autoSpaceDE w:val="false"/>
        <w:spacing w:lineRule="auto" w:line="360"/>
        <w:ind w:firstLine="283"/>
        <w:rPr>
          <w:rFonts w:ascii="宋体" w:hAnsi="宋体" w:eastAsia="宋体" w:cs="宋体"/>
        </w:rPr>
      </w:pPr>
      <w:r>
        <w:rPr>
          <w:rFonts w:eastAsia="宋体" w:cs="宋体" w:ascii="宋体" w:hAnsi="宋体"/>
        </w:rPr>
        <w:t xml:space="preserve">QP-10-R3 </w:t>
      </w:r>
      <w:r>
        <w:rPr>
          <w:rFonts w:ascii="宋体" w:hAnsi="宋体" w:cs="宋体" w:eastAsia="宋体"/>
        </w:rPr>
        <w:t>《合格供方名录》</w:t>
      </w:r>
    </w:p>
    <w:p>
      <w:pPr>
        <w:pStyle w:val="Normal"/>
        <w:autoSpaceDE w:val="false"/>
        <w:spacing w:lineRule="auto" w:line="360"/>
        <w:ind w:firstLine="283"/>
        <w:rPr>
          <w:rFonts w:ascii="宋体" w:hAnsi="宋体" w:eastAsia="宋体" w:cs="宋体"/>
        </w:rPr>
      </w:pPr>
      <w:r>
        <w:rPr>
          <w:rFonts w:eastAsia="宋体" w:cs="宋体" w:ascii="宋体" w:hAnsi="宋体"/>
        </w:rPr>
        <w:t xml:space="preserve">QP-10-R4 </w:t>
      </w:r>
      <w:r>
        <w:rPr>
          <w:rFonts w:ascii="宋体" w:hAnsi="宋体" w:cs="宋体" w:eastAsia="宋体"/>
        </w:rPr>
        <w:t>《供方年度业绩评价表》</w:t>
      </w:r>
    </w:p>
    <w:p>
      <w:pPr>
        <w:pStyle w:val="Normal"/>
        <w:autoSpaceDE w:val="false"/>
        <w:rPr>
          <w:rFonts w:ascii="宋体" w:hAnsi="宋体" w:eastAsia="宋体" w:cs="宋体"/>
          <w:b/>
          <w:b/>
          <w:szCs w:val="21"/>
        </w:rPr>
      </w:pPr>
      <w:r>
        <w:rPr>
          <w:rFonts w:eastAsia="宋体" w:cs="宋体" w:ascii="宋体" w:hAnsi="宋体"/>
          <w:b/>
          <w:szCs w:val="21"/>
        </w:rPr>
        <w:t xml:space="preserve">8. </w:t>
      </w:r>
      <w:r>
        <w:rPr>
          <w:rFonts w:ascii="宋体" w:hAnsi="宋体" w:cs="宋体" w:eastAsia="宋体"/>
          <w:b/>
          <w:szCs w:val="21"/>
        </w:rPr>
        <w:t>文件更改履历</w:t>
      </w:r>
    </w:p>
    <w:tbl>
      <w:tblPr>
        <w:tblW w:w="9828" w:type="dxa"/>
        <w:jc w:val="left"/>
        <w:tblInd w:w="0" w:type="dxa"/>
        <w:tblLayout w:type="fixed"/>
        <w:tblCellMar>
          <w:top w:w="0" w:type="dxa"/>
          <w:left w:w="108" w:type="dxa"/>
          <w:bottom w:w="0" w:type="dxa"/>
          <w:right w:w="108" w:type="dxa"/>
        </w:tblCellMar>
      </w:tblPr>
      <w:tblGrid>
        <w:gridCol w:w="1559"/>
        <w:gridCol w:w="6177"/>
        <w:gridCol w:w="2092"/>
      </w:tblGrid>
      <w:tr>
        <w:trPr>
          <w:trHeight w:val="459" w:hRule="atLeast"/>
        </w:trPr>
        <w:tc>
          <w:tcPr>
            <w:tcW w:w="1559" w:type="dxa"/>
            <w:tcBorders>
              <w:top w:val="single" w:sz="12" w:space="0" w:color="000000"/>
              <w:left w:val="single" w:sz="12" w:space="0" w:color="000000"/>
              <w:bottom w:val="single" w:sz="6" w:space="0" w:color="000000"/>
              <w:right w:val="single" w:sz="6" w:space="0" w:color="000000"/>
            </w:tcBorders>
            <w:vAlign w:val="center"/>
          </w:tcPr>
          <w:p>
            <w:pPr>
              <w:pStyle w:val="Normal"/>
              <w:spacing w:lineRule="auto" w:line="360"/>
              <w:ind w:firstLine="316"/>
              <w:rPr>
                <w:rFonts w:ascii="宋体" w:hAnsi="宋体" w:eastAsia="宋体" w:cs="宋体"/>
                <w:b/>
                <w:b/>
                <w:szCs w:val="21"/>
              </w:rPr>
            </w:pPr>
            <w:r>
              <w:rPr>
                <w:rFonts w:ascii="宋体" w:hAnsi="宋体" w:cs="宋体" w:eastAsia="宋体"/>
                <w:b/>
                <w:szCs w:val="21"/>
              </w:rPr>
              <w:t>版本号</w:t>
            </w:r>
          </w:p>
        </w:tc>
        <w:tc>
          <w:tcPr>
            <w:tcW w:w="6177" w:type="dxa"/>
            <w:tcBorders>
              <w:top w:val="single" w:sz="12" w:space="0" w:color="000000"/>
              <w:left w:val="single" w:sz="6" w:space="0" w:color="000000"/>
              <w:bottom w:val="single" w:sz="6" w:space="0" w:color="000000"/>
              <w:right w:val="single" w:sz="4" w:space="0" w:color="000000"/>
            </w:tcBorders>
            <w:vAlign w:val="center"/>
          </w:tcPr>
          <w:p>
            <w:pPr>
              <w:pStyle w:val="Normal"/>
              <w:autoSpaceDE w:val="false"/>
              <w:spacing w:lineRule="auto" w:line="360"/>
              <w:jc w:val="center"/>
              <w:rPr>
                <w:rFonts w:ascii="宋体" w:hAnsi="宋体" w:eastAsia="宋体" w:cs="宋体"/>
                <w:b/>
                <w:b/>
                <w:color w:val="000000"/>
                <w:szCs w:val="21"/>
              </w:rPr>
            </w:pPr>
            <w:r>
              <w:rPr>
                <w:rFonts w:ascii="宋体" w:hAnsi="宋体" w:cs="宋体" w:eastAsia="宋体"/>
                <w:b/>
                <w:szCs w:val="21"/>
              </w:rPr>
              <w:t>更改描述</w:t>
            </w:r>
          </w:p>
        </w:tc>
        <w:tc>
          <w:tcPr>
            <w:tcW w:w="2092" w:type="dxa"/>
            <w:tcBorders>
              <w:top w:val="single" w:sz="12" w:space="0" w:color="000000"/>
              <w:left w:val="single" w:sz="4" w:space="0" w:color="000000"/>
              <w:bottom w:val="single" w:sz="6" w:space="0" w:color="000000"/>
              <w:right w:val="single" w:sz="12" w:space="0" w:color="000000"/>
            </w:tcBorders>
            <w:vAlign w:val="center"/>
          </w:tcPr>
          <w:p>
            <w:pPr>
              <w:pStyle w:val="Normal"/>
              <w:autoSpaceDE w:val="false"/>
              <w:spacing w:lineRule="auto" w:line="360"/>
              <w:jc w:val="center"/>
              <w:rPr>
                <w:rFonts w:ascii="宋体" w:hAnsi="宋体" w:eastAsia="宋体" w:cs="宋体"/>
                <w:b/>
                <w:b/>
                <w:color w:val="000000"/>
                <w:szCs w:val="21"/>
              </w:rPr>
            </w:pPr>
            <w:r>
              <w:rPr>
                <w:rFonts w:ascii="宋体" w:hAnsi="宋体" w:cs="宋体" w:eastAsia="宋体"/>
                <w:b/>
                <w:color w:val="000000"/>
                <w:szCs w:val="21"/>
              </w:rPr>
              <w:t>生效日期</w:t>
            </w:r>
          </w:p>
        </w:tc>
      </w:tr>
      <w:tr>
        <w:trPr/>
        <w:tc>
          <w:tcPr>
            <w:tcW w:w="1559" w:type="dxa"/>
            <w:tcBorders>
              <w:top w:val="single" w:sz="6" w:space="0" w:color="000000"/>
              <w:left w:val="single" w:sz="12" w:space="0" w:color="000000"/>
              <w:bottom w:val="single" w:sz="12" w:space="0" w:color="000000"/>
              <w:right w:val="single" w:sz="6" w:space="0" w:color="000000"/>
            </w:tcBorders>
          </w:tcPr>
          <w:p>
            <w:pPr>
              <w:pStyle w:val="2"/>
              <w:spacing w:lineRule="auto" w:line="360"/>
              <w:ind w:left="0" w:hanging="0"/>
              <w:jc w:val="center"/>
              <w:rPr>
                <w:rFonts w:ascii="宋体" w:hAnsi="宋体" w:eastAsia="宋体" w:cs="宋体"/>
                <w:sz w:val="21"/>
              </w:rPr>
            </w:pPr>
            <w:r>
              <w:rPr>
                <w:rFonts w:eastAsia="宋体" w:cs="宋体" w:ascii="宋体" w:hAnsi="宋体"/>
                <w:sz w:val="21"/>
              </w:rPr>
              <w:t>A00</w:t>
            </w:r>
          </w:p>
        </w:tc>
        <w:tc>
          <w:tcPr>
            <w:tcW w:w="6177" w:type="dxa"/>
            <w:tcBorders>
              <w:top w:val="single" w:sz="6" w:space="0" w:color="000000"/>
              <w:left w:val="single" w:sz="6" w:space="0" w:color="000000"/>
              <w:bottom w:val="single" w:sz="12" w:space="0" w:color="000000"/>
              <w:right w:val="single" w:sz="4" w:space="0" w:color="000000"/>
            </w:tcBorders>
          </w:tcPr>
          <w:p>
            <w:pPr>
              <w:pStyle w:val="2"/>
              <w:spacing w:lineRule="auto" w:line="360"/>
              <w:ind w:left="0" w:hanging="0"/>
              <w:jc w:val="center"/>
              <w:rPr>
                <w:rFonts w:ascii="宋体" w:hAnsi="宋体" w:eastAsia="宋体" w:cs="宋体"/>
                <w:sz w:val="21"/>
              </w:rPr>
            </w:pPr>
            <w:r>
              <w:rPr>
                <w:rFonts w:ascii="宋体" w:hAnsi="宋体" w:cs="宋体" w:eastAsia="宋体"/>
                <w:sz w:val="21"/>
              </w:rPr>
              <w:t>新文件</w:t>
            </w:r>
          </w:p>
        </w:tc>
        <w:tc>
          <w:tcPr>
            <w:tcW w:w="2092" w:type="dxa"/>
            <w:tcBorders>
              <w:top w:val="single" w:sz="6" w:space="0" w:color="000000"/>
              <w:left w:val="single" w:sz="4" w:space="0" w:color="000000"/>
              <w:bottom w:val="single" w:sz="12" w:space="0" w:color="000000"/>
              <w:right w:val="single" w:sz="12" w:space="0" w:color="000000"/>
            </w:tcBorders>
          </w:tcPr>
          <w:p>
            <w:pPr>
              <w:pStyle w:val="2"/>
              <w:spacing w:lineRule="auto" w:line="360"/>
              <w:ind w:left="0" w:hanging="180"/>
              <w:jc w:val="center"/>
              <w:rPr>
                <w:rFonts w:ascii="宋体" w:hAnsi="宋体" w:eastAsia="宋体" w:cs="宋体"/>
                <w:sz w:val="21"/>
              </w:rPr>
            </w:pPr>
            <w:r>
              <w:rPr>
                <w:rFonts w:eastAsia="宋体" w:cs="宋体" w:ascii="宋体" w:hAnsi="宋体"/>
                <w:sz w:val="21"/>
              </w:rPr>
              <w:t>20</w:t>
            </w:r>
            <w:r>
              <w:rPr>
                <w:rFonts w:eastAsia="宋体" w:cs="宋体" w:ascii="宋体" w:hAnsi="宋体"/>
                <w:sz w:val="21"/>
              </w:rPr>
              <w:t>20</w:t>
            </w:r>
            <w:r>
              <w:rPr>
                <w:rFonts w:eastAsia="宋体" w:cs="宋体" w:ascii="宋体" w:hAnsi="宋体"/>
                <w:sz w:val="21"/>
              </w:rPr>
              <w:t>-0</w:t>
            </w:r>
            <w:r>
              <w:rPr>
                <w:rFonts w:eastAsia="宋体" w:cs="宋体" w:ascii="宋体" w:hAnsi="宋体"/>
                <w:sz w:val="21"/>
              </w:rPr>
              <w:t>6</w:t>
            </w:r>
            <w:r>
              <w:rPr>
                <w:rFonts w:eastAsia="宋体" w:cs="宋体" w:ascii="宋体" w:hAnsi="宋体"/>
                <w:sz w:val="21"/>
              </w:rPr>
              <w:t>-</w:t>
            </w:r>
            <w:r>
              <w:rPr>
                <w:rFonts w:eastAsia="宋体" w:cs="宋体" w:ascii="宋体" w:hAnsi="宋体"/>
                <w:sz w:val="21"/>
              </w:rPr>
              <w:t>22</w:t>
            </w:r>
          </w:p>
        </w:tc>
      </w:tr>
    </w:tbl>
    <w:p>
      <w:pPr>
        <w:pStyle w:val="Normal"/>
        <w:spacing w:lineRule="exact" w:line="460"/>
        <w:rPr>
          <w:rFonts w:ascii="宋体" w:hAnsi="宋体" w:eastAsia="宋体" w:cs="宋体"/>
          <w:szCs w:val="21"/>
        </w:rPr>
      </w:pPr>
      <w:r>
        <w:rPr>
          <w:rFonts w:eastAsia="宋体" w:cs="宋体" w:ascii="宋体" w:hAnsi="宋体"/>
          <w:szCs w:val="21"/>
        </w:rPr>
      </w:r>
    </w:p>
    <w:sectPr>
      <w:headerReference w:type="default" r:id="rId6"/>
      <w:footerReference w:type="default" r:id="rId7"/>
      <w:type w:val="nextPage"/>
      <w:pgSz w:w="11906" w:h="16838"/>
      <w:pgMar w:left="1134" w:right="1134" w:gutter="0" w:header="851" w:top="1134" w:footer="992" w:bottom="113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charset w:val="86"/>
    <w:family w:val="auto"/>
    <w:pitch w:val="default"/>
  </w:font>
  <w:font w:name="Arial Black">
    <w:charset w:val="00"/>
    <w:family w:val="swiss"/>
    <w:pitch w:val="default"/>
  </w:font>
  <w:font w:name="Wingdings">
    <w:charset w:val="02"/>
    <w:family w:val="auto"/>
    <w:pitch w:val="default"/>
  </w:font>
  <w:font w:name="Liberation Sans">
    <w:altName w:val="Arial"/>
    <w:charset w:val="01"/>
    <w:family w:val="swiss"/>
    <w:pitch w:val="variable"/>
  </w:font>
  <w:font w:name="ËÎÌå">
    <w:altName w:val="宋体"/>
    <w:charset w:val="86"/>
    <w:family w:val="auto"/>
    <w:pitch w:val="default"/>
  </w:font>
  <w:font w:name="宋体">
    <w:charset w:val="86"/>
    <w:family w:val="auto"/>
    <w:pitch w:val="default"/>
  </w:font>
  <w:font w:name="Arial">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49" w:type="dxa"/>
      <w:jc w:val="left"/>
      <w:tblInd w:w="250" w:type="dxa"/>
      <w:tblLayout w:type="fixed"/>
      <w:tblCellMar>
        <w:top w:w="0" w:type="dxa"/>
        <w:left w:w="108" w:type="dxa"/>
        <w:bottom w:w="0" w:type="dxa"/>
        <w:right w:w="108" w:type="dxa"/>
      </w:tblCellMar>
    </w:tblPr>
    <w:tblGrid>
      <w:gridCol w:w="1403"/>
      <w:gridCol w:w="4621"/>
      <w:gridCol w:w="3325"/>
    </w:tblGrid>
    <w:tr>
      <w:trPr>
        <w:trHeight w:val="327" w:hRule="atLeast"/>
      </w:trPr>
      <w:tc>
        <w:tcPr>
          <w:tcW w:w="1403" w:type="dxa"/>
          <w:vMerge w:val="restart"/>
          <w:tcBorders>
            <w:top w:val="double" w:sz="4" w:space="0" w:color="000000"/>
            <w:left w:val="double" w:sz="4" w:space="0" w:color="000000"/>
            <w:bottom w:val="single" w:sz="6" w:space="0" w:color="000000"/>
            <w:right w:val="single" w:sz="4" w:space="0" w:color="000000"/>
          </w:tcBorders>
          <w:vAlign w:val="center"/>
        </w:tcPr>
        <w:p>
          <w:pPr>
            <w:pStyle w:val="Normal"/>
            <w:jc w:val="center"/>
            <w:rPr/>
          </w:pPr>
          <w:r>
            <w:rPr/>
            <w:t xml:space="preserve">文件名称 </w:t>
          </w:r>
        </w:p>
      </w:tc>
      <w:tc>
        <w:tcPr>
          <w:tcW w:w="4621"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pPr>
          <w:r>
            <w:rPr/>
            <w:t xml:space="preserve">供方的选择和评价控制程序 </w:t>
          </w:r>
        </w:p>
      </w:tc>
      <w:tc>
        <w:tcPr>
          <w:tcW w:w="3325" w:type="dxa"/>
          <w:tcBorders>
            <w:top w:val="double" w:sz="4" w:space="0" w:color="000000"/>
            <w:left w:val="single" w:sz="6" w:space="0" w:color="000000"/>
            <w:bottom w:val="single" w:sz="6" w:space="0" w:color="000000"/>
            <w:right w:val="double" w:sz="4" w:space="0" w:color="000000"/>
          </w:tcBorders>
          <w:vAlign w:val="center"/>
        </w:tcPr>
        <w:p>
          <w:pPr>
            <w:pStyle w:val="Header"/>
            <w:jc w:val="both"/>
            <w:rPr>
              <w:sz w:val="24"/>
              <w:szCs w:val="24"/>
            </w:rPr>
          </w:pPr>
          <w:r>
            <w:rPr>
              <w:sz w:val="24"/>
              <w:szCs w:val="24"/>
            </w:rPr>
            <w:t xml:space="preserve">文件编号：    </w:t>
          </w:r>
          <w:r>
            <w:rPr>
              <w:sz w:val="24"/>
              <w:szCs w:val="24"/>
            </w:rPr>
            <w:t>QMS-P10</w:t>
          </w:r>
        </w:p>
      </w:tc>
    </w:tr>
    <w:tr>
      <w:trPr>
        <w:trHeight w:val="331" w:hRule="atLeast"/>
      </w:trPr>
      <w:tc>
        <w:tcPr>
          <w:tcW w:w="1403" w:type="dxa"/>
          <w:vMerge w:val="continue"/>
          <w:tcBorders>
            <w:top w:val="double" w:sz="4" w:space="0" w:color="000000"/>
            <w:left w:val="double" w:sz="4" w:space="0" w:color="000000"/>
            <w:bottom w:val="single" w:sz="6" w:space="0" w:color="000000"/>
            <w:right w:val="single" w:sz="4" w:space="0" w:color="000000"/>
          </w:tcBorders>
          <w:vAlign w:val="center"/>
        </w:tcPr>
        <w:p>
          <w:pPr>
            <w:pStyle w:val="Header"/>
            <w:snapToGrid w:val="false"/>
            <w:rPr>
              <w:sz w:val="24"/>
              <w:szCs w:val="24"/>
            </w:rPr>
          </w:pPr>
          <w:r>
            <w:rPr>
              <w:sz w:val="24"/>
              <w:szCs w:val="24"/>
            </w:rPr>
          </w:r>
        </w:p>
      </w:tc>
      <w:tc>
        <w:tcPr>
          <w:tcW w:w="4621" w:type="dxa"/>
          <w:vMerge w:val="continue"/>
          <w:tcBorders>
            <w:top w:val="double" w:sz="4" w:space="0" w:color="000000"/>
            <w:left w:val="single" w:sz="4" w:space="0" w:color="000000"/>
            <w:bottom w:val="single" w:sz="6" w:space="0" w:color="000000"/>
            <w:right w:val="single" w:sz="6" w:space="0" w:color="000000"/>
          </w:tcBorders>
          <w:vAlign w:val="center"/>
        </w:tcPr>
        <w:p>
          <w:pPr>
            <w:pStyle w:val="Header"/>
            <w:snapToGrid w:val="false"/>
            <w:rPr/>
          </w:pPr>
          <w:r>
            <w:rPr/>
          </w:r>
        </w:p>
      </w:tc>
      <w:tc>
        <w:tcPr>
          <w:tcW w:w="3325" w:type="dxa"/>
          <w:tcBorders>
            <w:top w:val="single" w:sz="6" w:space="0" w:color="000000"/>
            <w:left w:val="single" w:sz="6" w:space="0" w:color="000000"/>
            <w:bottom w:val="single" w:sz="6" w:space="0" w:color="000000"/>
            <w:right w:val="double" w:sz="4" w:space="0" w:color="000000"/>
          </w:tcBorders>
          <w:vAlign w:val="center"/>
        </w:tcPr>
        <w:p>
          <w:pPr>
            <w:pStyle w:val="Header"/>
            <w:jc w:val="both"/>
            <w:rPr>
              <w:sz w:val="24"/>
              <w:szCs w:val="24"/>
            </w:rPr>
          </w:pPr>
          <w:r>
            <w:rPr>
              <w:sz w:val="24"/>
              <w:szCs w:val="24"/>
            </w:rPr>
            <w:t xml:space="preserve">版本修订号：   </w:t>
          </w:r>
          <w:r>
            <w:rPr>
              <w:sz w:val="24"/>
              <w:szCs w:val="24"/>
            </w:rPr>
            <w:t>A0</w:t>
          </w:r>
          <w:r>
            <w:rPr>
              <w:sz w:val="24"/>
              <w:szCs w:val="24"/>
            </w:rPr>
            <w:t>0</w:t>
          </w:r>
        </w:p>
      </w:tc>
    </w:tr>
    <w:tr>
      <w:trPr>
        <w:trHeight w:val="399" w:hRule="atLeast"/>
      </w:trPr>
      <w:tc>
        <w:tcPr>
          <w:tcW w:w="6024" w:type="dxa"/>
          <w:gridSpan w:val="2"/>
          <w:tcBorders>
            <w:top w:val="single" w:sz="4" w:space="0" w:color="000000"/>
            <w:left w:val="double" w:sz="4" w:space="0" w:color="000000"/>
            <w:bottom w:val="double" w:sz="4" w:space="0" w:color="000000"/>
            <w:right w:val="single" w:sz="6" w:space="0" w:color="000000"/>
          </w:tcBorders>
        </w:tcPr>
        <w:p>
          <w:pPr>
            <w:pStyle w:val="Normal"/>
            <w:jc w:val="center"/>
            <w:rPr/>
          </w:pPr>
          <w:r>
            <w:rPr/>
            <w:t>杭州依图医疗技术有限公司程序文件</w:t>
          </w:r>
        </w:p>
      </w:tc>
      <w:tc>
        <w:tcPr>
          <w:tcW w:w="3325" w:type="dxa"/>
          <w:tcBorders>
            <w:top w:val="single" w:sz="6" w:space="0" w:color="000000"/>
            <w:left w:val="single" w:sz="6" w:space="0" w:color="000000"/>
            <w:bottom w:val="double" w:sz="4" w:space="0" w:color="000000"/>
            <w:right w:val="double" w:sz="4" w:space="0" w:color="000000"/>
          </w:tcBorders>
          <w:vAlign w:val="center"/>
        </w:tcPr>
        <w:p>
          <w:pPr>
            <w:pStyle w:val="Header"/>
            <w:jc w:val="both"/>
            <w:rPr>
              <w:sz w:val="24"/>
              <w:szCs w:val="24"/>
            </w:rPr>
          </w:pPr>
          <w:r>
            <w:rPr>
              <w:sz w:val="24"/>
              <w:szCs w:val="24"/>
            </w:rPr>
            <w:t xml:space="preserve">页      码：   </w:t>
          </w:r>
          <w:r>
            <w:rPr>
              <w:sz w:val="24"/>
              <w:szCs w:val="24"/>
            </w:rPr>
            <w:fldChar w:fldCharType="begin"/>
          </w:r>
          <w:r>
            <w:rPr>
              <w:sz w:val="24"/>
              <w:szCs w:val="24"/>
            </w:rPr>
            <w:instrText xml:space="preserve"> PAGE </w:instrText>
          </w:r>
          <w:r>
            <w:rPr>
              <w:sz w:val="24"/>
              <w:szCs w:val="24"/>
            </w:rPr>
            <w:fldChar w:fldCharType="separate"/>
          </w:r>
          <w:r>
            <w:rPr>
              <w:sz w:val="24"/>
              <w:szCs w:val="24"/>
            </w:rPr>
            <w:t>2</w:t>
          </w:r>
          <w:r>
            <w:rPr>
              <w:sz w:val="24"/>
              <w:szCs w:val="24"/>
            </w:rPr>
            <w:fldChar w:fldCharType="end"/>
          </w:r>
          <w:r>
            <w:rPr>
              <w:sz w:val="24"/>
              <w:szCs w:val="24"/>
            </w:rPr>
            <w:t>/3</w:t>
          </w:r>
        </w:p>
      </w:tc>
    </w:tr>
  </w:tbl>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49" w:type="dxa"/>
      <w:jc w:val="left"/>
      <w:tblInd w:w="250" w:type="dxa"/>
      <w:tblLayout w:type="fixed"/>
      <w:tblCellMar>
        <w:top w:w="0" w:type="dxa"/>
        <w:left w:w="108" w:type="dxa"/>
        <w:bottom w:w="0" w:type="dxa"/>
        <w:right w:w="108" w:type="dxa"/>
      </w:tblCellMar>
    </w:tblPr>
    <w:tblGrid>
      <w:gridCol w:w="1403"/>
      <w:gridCol w:w="4621"/>
      <w:gridCol w:w="3325"/>
    </w:tblGrid>
    <w:tr>
      <w:trPr>
        <w:trHeight w:val="327" w:hRule="atLeast"/>
      </w:trPr>
      <w:tc>
        <w:tcPr>
          <w:tcW w:w="1403" w:type="dxa"/>
          <w:vMerge w:val="restart"/>
          <w:tcBorders>
            <w:top w:val="double" w:sz="4" w:space="0" w:color="000000"/>
            <w:left w:val="double" w:sz="4" w:space="0" w:color="000000"/>
            <w:bottom w:val="single" w:sz="6" w:space="0" w:color="000000"/>
            <w:right w:val="single" w:sz="4" w:space="0" w:color="000000"/>
          </w:tcBorders>
          <w:vAlign w:val="center"/>
        </w:tcPr>
        <w:p>
          <w:pPr>
            <w:pStyle w:val="Normal"/>
            <w:jc w:val="center"/>
            <w:rPr>
              <w:rFonts w:eastAsia="宋体"/>
            </w:rPr>
          </w:pPr>
          <w:r>
            <w:rPr>
              <w:rFonts w:eastAsia="宋体"/>
            </w:rPr>
            <w:t>文件名称</w:t>
          </w:r>
          <w:r>
            <w:rPr/>
            <w:t xml:space="preserve"> </w:t>
          </w:r>
        </w:p>
      </w:tc>
      <w:tc>
        <w:tcPr>
          <w:tcW w:w="4621"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eastAsia="宋体"/>
            </w:rPr>
          </w:pPr>
          <w:r>
            <w:rPr>
              <w:rFonts w:eastAsia="宋体"/>
            </w:rPr>
            <w:t>供方的选择和评价控制程序</w:t>
          </w:r>
          <w:r>
            <w:rPr/>
            <w:t xml:space="preserve"> </w:t>
          </w:r>
        </w:p>
      </w:tc>
      <w:tc>
        <w:tcPr>
          <w:tcW w:w="3325" w:type="dxa"/>
          <w:tcBorders>
            <w:top w:val="double" w:sz="4" w:space="0" w:color="000000"/>
            <w:left w:val="single" w:sz="6" w:space="0" w:color="000000"/>
            <w:bottom w:val="single" w:sz="6" w:space="0" w:color="000000"/>
            <w:right w:val="double" w:sz="4" w:space="0" w:color="000000"/>
          </w:tcBorders>
          <w:vAlign w:val="center"/>
        </w:tcPr>
        <w:p>
          <w:pPr>
            <w:pStyle w:val="Header"/>
            <w:jc w:val="both"/>
            <w:rPr>
              <w:rFonts w:eastAsia="宋体"/>
              <w:sz w:val="24"/>
              <w:szCs w:val="24"/>
            </w:rPr>
          </w:pPr>
          <w:r>
            <w:rPr>
              <w:rFonts w:eastAsia="宋体"/>
              <w:sz w:val="24"/>
              <w:szCs w:val="24"/>
            </w:rPr>
            <w:t>文件编号：</w:t>
          </w:r>
          <w:r>
            <w:rPr>
              <w:sz w:val="24"/>
              <w:szCs w:val="24"/>
            </w:rPr>
            <w:t xml:space="preserve">    </w:t>
          </w:r>
          <w:r>
            <w:rPr>
              <w:rFonts w:eastAsia="宋体"/>
              <w:sz w:val="24"/>
              <w:szCs w:val="24"/>
            </w:rPr>
            <w:t>QMS-P10</w:t>
          </w:r>
        </w:p>
      </w:tc>
    </w:tr>
    <w:tr>
      <w:trPr>
        <w:trHeight w:val="331" w:hRule="atLeast"/>
      </w:trPr>
      <w:tc>
        <w:tcPr>
          <w:tcW w:w="1403" w:type="dxa"/>
          <w:vMerge w:val="continue"/>
          <w:tcBorders>
            <w:top w:val="double" w:sz="4" w:space="0" w:color="000000"/>
            <w:left w:val="double" w:sz="4" w:space="0" w:color="000000"/>
            <w:bottom w:val="single" w:sz="6" w:space="0" w:color="000000"/>
            <w:right w:val="single" w:sz="4" w:space="0" w:color="000000"/>
          </w:tcBorders>
          <w:vAlign w:val="center"/>
        </w:tcPr>
        <w:p>
          <w:pPr>
            <w:pStyle w:val="Header"/>
            <w:snapToGrid w:val="false"/>
            <w:rPr>
              <w:rFonts w:eastAsia="宋体"/>
              <w:sz w:val="24"/>
              <w:szCs w:val="24"/>
            </w:rPr>
          </w:pPr>
          <w:r>
            <w:rPr>
              <w:rFonts w:eastAsia="宋体"/>
              <w:sz w:val="24"/>
              <w:szCs w:val="24"/>
            </w:rPr>
          </w:r>
        </w:p>
      </w:tc>
      <w:tc>
        <w:tcPr>
          <w:tcW w:w="4621" w:type="dxa"/>
          <w:vMerge w:val="continue"/>
          <w:tcBorders>
            <w:top w:val="double" w:sz="4" w:space="0" w:color="000000"/>
            <w:left w:val="single" w:sz="4" w:space="0" w:color="000000"/>
            <w:bottom w:val="single" w:sz="6" w:space="0" w:color="000000"/>
            <w:right w:val="single" w:sz="6" w:space="0" w:color="000000"/>
          </w:tcBorders>
          <w:vAlign w:val="center"/>
        </w:tcPr>
        <w:p>
          <w:pPr>
            <w:pStyle w:val="Header"/>
            <w:snapToGrid w:val="false"/>
            <w:rPr>
              <w:rFonts w:eastAsia="宋体"/>
            </w:rPr>
          </w:pPr>
          <w:r>
            <w:rPr>
              <w:rFonts w:eastAsia="宋体"/>
            </w:rPr>
          </w:r>
        </w:p>
      </w:tc>
      <w:tc>
        <w:tcPr>
          <w:tcW w:w="3325" w:type="dxa"/>
          <w:tcBorders>
            <w:top w:val="single" w:sz="6" w:space="0" w:color="000000"/>
            <w:left w:val="single" w:sz="6" w:space="0" w:color="000000"/>
            <w:bottom w:val="single" w:sz="6" w:space="0" w:color="000000"/>
            <w:right w:val="double" w:sz="4" w:space="0" w:color="000000"/>
          </w:tcBorders>
          <w:vAlign w:val="center"/>
        </w:tcPr>
        <w:p>
          <w:pPr>
            <w:pStyle w:val="Header"/>
            <w:jc w:val="both"/>
            <w:rPr>
              <w:rFonts w:eastAsia="宋体"/>
              <w:sz w:val="24"/>
              <w:szCs w:val="24"/>
            </w:rPr>
          </w:pPr>
          <w:r>
            <w:rPr>
              <w:rFonts w:eastAsia="宋体"/>
              <w:sz w:val="24"/>
              <w:szCs w:val="24"/>
            </w:rPr>
            <w:t>版本修订号：</w:t>
          </w:r>
          <w:r>
            <w:rPr>
              <w:sz w:val="24"/>
              <w:szCs w:val="24"/>
            </w:rPr>
            <w:t xml:space="preserve">   </w:t>
          </w:r>
          <w:r>
            <w:rPr>
              <w:rFonts w:eastAsia="宋体"/>
              <w:sz w:val="24"/>
              <w:szCs w:val="24"/>
            </w:rPr>
            <w:t>A00</w:t>
          </w:r>
        </w:p>
      </w:tc>
    </w:tr>
    <w:tr>
      <w:trPr>
        <w:trHeight w:val="399" w:hRule="atLeast"/>
      </w:trPr>
      <w:tc>
        <w:tcPr>
          <w:tcW w:w="6024" w:type="dxa"/>
          <w:gridSpan w:val="2"/>
          <w:tcBorders>
            <w:top w:val="single" w:sz="4" w:space="0" w:color="000000"/>
            <w:left w:val="double" w:sz="4" w:space="0" w:color="000000"/>
            <w:bottom w:val="double" w:sz="4" w:space="0" w:color="000000"/>
            <w:right w:val="single" w:sz="6" w:space="0" w:color="000000"/>
          </w:tcBorders>
        </w:tcPr>
        <w:p>
          <w:pPr>
            <w:pStyle w:val="Normal"/>
            <w:jc w:val="center"/>
            <w:rPr>
              <w:rFonts w:eastAsia="宋体"/>
            </w:rPr>
          </w:pPr>
          <w:r>
            <w:rPr>
              <w:rFonts w:ascii="宋体" w:hAnsi="宋体" w:cs="宋体" w:eastAsia="宋体"/>
            </w:rPr>
            <w:t>上海深至信息科技有限公司</w:t>
          </w:r>
          <w:r>
            <w:rPr>
              <w:rFonts w:eastAsia="宋体"/>
            </w:rPr>
            <w:t>程序文件</w:t>
          </w:r>
        </w:p>
      </w:tc>
      <w:tc>
        <w:tcPr>
          <w:tcW w:w="3325" w:type="dxa"/>
          <w:tcBorders>
            <w:top w:val="single" w:sz="6" w:space="0" w:color="000000"/>
            <w:left w:val="single" w:sz="6" w:space="0" w:color="000000"/>
            <w:bottom w:val="double" w:sz="4" w:space="0" w:color="000000"/>
            <w:right w:val="double" w:sz="4" w:space="0" w:color="000000"/>
          </w:tcBorders>
          <w:vAlign w:val="center"/>
        </w:tcPr>
        <w:p>
          <w:pPr>
            <w:pStyle w:val="Header"/>
            <w:jc w:val="both"/>
            <w:rPr>
              <w:rFonts w:eastAsia="宋体"/>
              <w:sz w:val="24"/>
              <w:szCs w:val="24"/>
            </w:rPr>
          </w:pPr>
          <w:r>
            <w:rPr>
              <w:rFonts w:eastAsia="宋体"/>
              <w:sz w:val="24"/>
              <w:szCs w:val="24"/>
            </w:rPr>
            <w:t>页</w:t>
          </w:r>
          <w:r>
            <w:rPr>
              <w:sz w:val="24"/>
              <w:szCs w:val="24"/>
            </w:rPr>
            <w:t xml:space="preserve">      </w:t>
          </w:r>
          <w:r>
            <w:rPr>
              <w:rFonts w:eastAsia="宋体"/>
              <w:sz w:val="24"/>
              <w:szCs w:val="24"/>
            </w:rPr>
            <w:t>码：</w:t>
          </w:r>
          <w:r>
            <w:rPr>
              <w:sz w:val="24"/>
              <w:szCs w:val="24"/>
            </w:rPr>
            <w:t xml:space="preserve">   </w:t>
          </w:r>
          <w:r>
            <w:rPr>
              <w:rFonts w:eastAsia="宋体"/>
              <w:sz w:val="24"/>
              <w:szCs w:val="24"/>
            </w:rPr>
            <w:fldChar w:fldCharType="begin"/>
          </w:r>
          <w:r>
            <w:rPr>
              <w:sz w:val="24"/>
              <w:szCs w:val="24"/>
              <w:rFonts w:eastAsia="宋体"/>
            </w:rPr>
            <w:instrText xml:space="preserve"> PAGE </w:instrText>
          </w:r>
          <w:r>
            <w:rPr>
              <w:sz w:val="24"/>
              <w:szCs w:val="24"/>
              <w:rFonts w:eastAsia="宋体"/>
            </w:rPr>
            <w:fldChar w:fldCharType="separate"/>
          </w:r>
          <w:r>
            <w:rPr>
              <w:sz w:val="24"/>
              <w:szCs w:val="24"/>
              <w:rFonts w:eastAsia="宋体"/>
            </w:rPr>
            <w:t>3</w:t>
          </w:r>
          <w:r>
            <w:rPr>
              <w:sz w:val="24"/>
              <w:szCs w:val="24"/>
              <w:rFonts w:eastAsia="宋体"/>
            </w:rPr>
            <w:fldChar w:fldCharType="end"/>
          </w:r>
          <w:r>
            <w:rPr>
              <w:rFonts w:eastAsia="宋体"/>
              <w:sz w:val="24"/>
              <w:szCs w:val="24"/>
            </w:rPr>
            <w:t>/3</w:t>
          </w:r>
        </w:p>
      </w:tc>
    </w:tr>
  </w:tbl>
  <w:p>
    <w:pPr>
      <w:pStyle w:val="Header"/>
      <w:pBdr>
        <w:bottom w:val="nil"/>
      </w:pBdr>
      <w:ind w:firstLine="140"/>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42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3">
    <w:lvl w:ilvl="0">
      <w:start w:val="1"/>
      <w:numFmt w:val="bullet"/>
      <w:lvlText w:val=""/>
      <w:lvlJc w:val="left"/>
      <w:pPr>
        <w:tabs>
          <w:tab w:val="num" w:pos="42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4">
    <w:lvl w:ilvl="0">
      <w:start w:val="1"/>
      <w:numFmt w:val="bullet"/>
      <w:lvlText w:val=""/>
      <w:lvlJc w:val="left"/>
      <w:pPr>
        <w:tabs>
          <w:tab w:val="num" w:pos="42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 w:hAnsi="等线" w:eastAsia="等线" w:cs="等线"/>
      <w:color w:val="auto"/>
      <w:kern w:val="2"/>
      <w:sz w:val="21"/>
      <w:szCs w:val="24"/>
      <w:lang w:val="en-US" w:eastAsia="zh-CN" w:bidi="ar-SA"/>
    </w:rPr>
  </w:style>
  <w:style w:type="paragraph" w:styleId="Heading1">
    <w:name w:val="Heading 1"/>
    <w:basedOn w:val="Normal"/>
    <w:next w:val="Normal"/>
    <w:qFormat/>
    <w:pPr>
      <w:keepNext w:val="true"/>
      <w:numPr>
        <w:ilvl w:val="0"/>
        <w:numId w:val="1"/>
      </w:numPr>
      <w:spacing w:lineRule="auto" w:line="360"/>
      <w:jc w:val="center"/>
      <w:outlineLvl w:val="0"/>
    </w:pPr>
    <w:rPr>
      <w:rFonts w:ascii="Arial Black" w:hAnsi="Arial Black" w:cs="Arial Black"/>
      <w:b/>
      <w:bCs/>
    </w:rPr>
  </w:style>
  <w:style w:type="character" w:styleId="WW8Num1z0">
    <w:name w:val="WW8Num1z0"/>
    <w:qFormat/>
    <w:rPr>
      <w:rFonts w:ascii="Wingdings" w:hAnsi="Wingdings" w:cs="Wingdings"/>
    </w:rPr>
  </w:style>
  <w:style w:type="character" w:styleId="WW8Num2z0">
    <w:name w:val="WW8Num2z0"/>
    <w:qFormat/>
    <w:rPr>
      <w:rFonts w:ascii="Wingdings" w:hAnsi="Wingdings" w:cs="Wingdings"/>
    </w:rPr>
  </w:style>
  <w:style w:type="character" w:styleId="WW8Num3z0">
    <w:name w:val="WW8Num3z0"/>
    <w:qFormat/>
    <w:rPr>
      <w:rFonts w:ascii="Wingdings" w:hAnsi="Wingdings" w:cs="Wingdings"/>
    </w:rPr>
  </w:style>
  <w:style w:type="character" w:styleId="Style13">
    <w:name w:val="默认段落字体"/>
    <w:qFormat/>
    <w:rPr/>
  </w:style>
  <w:style w:type="character" w:styleId="Style14">
    <w:name w:val="日期 字符"/>
    <w:qFormat/>
    <w:rPr>
      <w:kern w:val="2"/>
      <w:sz w:val="21"/>
    </w:rPr>
  </w:style>
  <w:style w:type="character" w:styleId="Style15">
    <w:name w:val="页眉 字符"/>
    <w:qFormat/>
    <w:rPr>
      <w:kern w:val="2"/>
      <w:sz w:val="18"/>
      <w:szCs w:val="18"/>
    </w:rPr>
  </w:style>
  <w:style w:type="character" w:styleId="PageNumber">
    <w:name w:val="Page Number"/>
    <w:basedOn w:val="Style13"/>
    <w:rPr/>
  </w:style>
  <w:style w:type="character" w:styleId="St1">
    <w:name w:val="st1"/>
    <w:basedOn w:val="Style13"/>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extBodyIndent">
    <w:name w:val="Body Text Indent"/>
    <w:basedOn w:val="Normal"/>
    <w:pPr>
      <w:spacing w:before="0" w:after="120"/>
      <w:ind w:left="420" w:hanging="0"/>
    </w:pPr>
    <w:rPr/>
  </w:style>
  <w:style w:type="paragraph" w:styleId="Style16">
    <w:name w:val="日期"/>
    <w:basedOn w:val="Normal"/>
    <w:next w:val="Normal"/>
    <w:qFormat/>
    <w:pPr/>
    <w:rPr>
      <w:kern w:val="2"/>
      <w:sz w:val="21"/>
    </w:rPr>
  </w:style>
  <w:style w:type="paragraph" w:styleId="2">
    <w:name w:val="正文文本缩进 2"/>
    <w:basedOn w:val="Normal"/>
    <w:qFormat/>
    <w:pPr>
      <w:widowControl/>
      <w:ind w:left="1260" w:hanging="180"/>
      <w:jc w:val="left"/>
    </w:pPr>
    <w:rPr>
      <w:rFonts w:ascii="ËÎÌå;宋体" w:hAnsi="ËÎÌå;宋体" w:eastAsia="ËÎÌå;宋体" w:cs="宋体"/>
      <w:kern w:val="0"/>
      <w:sz w:val="24"/>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widowControl/>
      <w:spacing w:before="0" w:after="120"/>
      <w:ind w:left="420" w:hanging="0"/>
      <w:jc w:val="left"/>
    </w:pPr>
    <w:rPr>
      <w:rFonts w:ascii="宋体" w:hAnsi="宋体" w:cs="宋体"/>
      <w:kern w:val="0"/>
      <w:sz w:val="16"/>
      <w:szCs w:val="1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Arial" w:hAnsi="Arial" w:cs="Arial"/>
      <w:kern w:val="0"/>
      <w:sz w:val="24"/>
    </w:rPr>
  </w:style>
  <w:style w:type="paragraph" w:styleId="Style17">
    <w:name w:val="列表段落"/>
    <w:basedOn w:val="Normal"/>
    <w:qFormat/>
    <w:pPr>
      <w:autoSpaceDE w:val="false"/>
      <w:spacing w:before="149" w:after="0"/>
      <w:ind w:left="999" w:hanging="567"/>
      <w:jc w:val="left"/>
    </w:pPr>
    <w:rPr>
      <w:rFonts w:ascii="宋体" w:hAnsi="宋体" w:eastAsia="宋体" w:cs="宋体"/>
      <w:kern w:val="0"/>
      <w:sz w:val="22"/>
      <w:szCs w:val="22"/>
      <w:lang w:val="zh-CN" w:bidi="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2020-11-23T16:59:00Z</dcterms:created>
  <dc:creator>Hu</dc:creator>
  <dc:description/>
  <dc:language>en-US</dc:language>
  <cp:lastModifiedBy>M.Yu</cp:lastModifiedBy>
  <cp:lastPrinted>2021-07-21T15:17:00Z</cp:lastPrinted>
  <dcterms:modified xsi:type="dcterms:W3CDTF">2022-12-01T11:00:09Z</dcterms:modified>
  <cp:revision>2</cp:revision>
  <dc:subject/>
  <dc:title>文件控制程序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EE0B077C1B8A41C2A9FA945E6F2D6AEB</vt:lpwstr>
  </property>
  <property fmtid="{D5CDD505-2E9C-101B-9397-08002B2CF9AE}" pid="3" name="KSOProductBuildVer">
    <vt:lpwstr>2052-11.1.0.12763</vt:lpwstr>
  </property>
  <property fmtid="{D5CDD505-2E9C-101B-9397-08002B2CF9AE}" pid="4" name="commondata">
    <vt:lpwstr>commondata</vt:lpwstr>
  </property>
</Properties>
</file>