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32"/>
          <w:szCs w:val="32"/>
        </w:rPr>
      </w:pPr>
      <w:r>
        <w:rPr>
          <w:b/>
          <w:sz w:val="32"/>
          <w:szCs w:val="32"/>
        </w:rPr>
        <w:t>医疗器械不良事件补充报告表</w:t>
      </w:r>
    </w:p>
    <w:p>
      <w:pPr>
        <w:pStyle w:val="Normal"/>
        <w:rPr>
          <w:szCs w:val="21"/>
        </w:rPr>
      </w:pPr>
      <w:r>
        <w:rPr>
          <w:szCs w:val="21"/>
        </w:rPr>
        <w:t>报告日期：</w:t>
      </w:r>
      <w:r>
        <w:rPr>
          <w:rFonts w:eastAsia="Times New Roman"/>
          <w:szCs w:val="21"/>
        </w:rPr>
        <w:t xml:space="preserve">         </w:t>
      </w:r>
      <w:r>
        <w:rPr>
          <w:szCs w:val="21"/>
        </w:rPr>
        <w:t>年</w:t>
      </w:r>
      <w:r>
        <w:rPr>
          <w:rFonts w:eastAsia="Times New Roman"/>
          <w:szCs w:val="21"/>
        </w:rPr>
        <w:t xml:space="preserve">   </w:t>
      </w:r>
      <w:r>
        <w:rPr>
          <w:szCs w:val="21"/>
        </w:rPr>
        <w:t>月</w:t>
      </w:r>
      <w:r>
        <w:rPr>
          <w:rFonts w:eastAsia="Times New Roman"/>
          <w:szCs w:val="21"/>
        </w:rPr>
        <w:t xml:space="preserve">   </w:t>
      </w:r>
      <w:r>
        <w:rPr>
          <w:szCs w:val="21"/>
        </w:rPr>
        <w:t>日</w:t>
      </w:r>
    </w:p>
    <w:p>
      <w:pPr>
        <w:pStyle w:val="Normal"/>
        <w:rPr>
          <w:szCs w:val="21"/>
        </w:rPr>
      </w:pPr>
      <w:r>
        <w:rPr>
          <w:szCs w:val="21"/>
        </w:rPr>
        <w:t>首次报告日期：</w:t>
      </w:r>
      <w:r>
        <w:rPr>
          <w:rFonts w:eastAsia="Times New Roman"/>
          <w:szCs w:val="21"/>
        </w:rPr>
        <w:t xml:space="preserve">     </w:t>
      </w:r>
      <w:r>
        <w:rPr>
          <w:szCs w:val="21"/>
        </w:rPr>
        <w:t>年</w:t>
      </w:r>
      <w:r>
        <w:rPr>
          <w:rFonts w:eastAsia="Times New Roman"/>
          <w:szCs w:val="21"/>
        </w:rPr>
        <w:t xml:space="preserve">   </w:t>
      </w:r>
      <w:r>
        <w:rPr>
          <w:szCs w:val="21"/>
        </w:rPr>
        <w:t>月</w:t>
      </w:r>
      <w:r>
        <w:rPr>
          <w:rFonts w:eastAsia="Times New Roman"/>
          <w:szCs w:val="21"/>
        </w:rPr>
        <w:t xml:space="preserve">   </w:t>
      </w:r>
      <w:r>
        <w:rPr>
          <w:szCs w:val="21"/>
        </w:rPr>
        <w:t>日</w:t>
      </w:r>
    </w:p>
    <w:tbl>
      <w:tblPr>
        <w:tblW w:w="9893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2636"/>
        <w:gridCol w:w="1758"/>
        <w:gridCol w:w="1563"/>
        <w:gridCol w:w="2552"/>
      </w:tblGrid>
      <w:tr>
        <w:trPr/>
        <w:tc>
          <w:tcPr>
            <w:tcW w:w="98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A</w:t>
            </w:r>
            <w:r>
              <w:rPr>
                <w:szCs w:val="21"/>
              </w:rPr>
              <w:t>．企业信息</w:t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1</w:t>
            </w:r>
            <w:r>
              <w:rPr>
                <w:szCs w:val="21"/>
              </w:rPr>
              <w:t>．企业名称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4</w:t>
            </w:r>
            <w:r>
              <w:rPr>
                <w:szCs w:val="21"/>
              </w:rPr>
              <w:t>．传真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2</w:t>
            </w:r>
            <w:r>
              <w:rPr>
                <w:szCs w:val="21"/>
              </w:rPr>
              <w:t>．企业地址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5</w:t>
            </w:r>
            <w:r>
              <w:rPr>
                <w:szCs w:val="21"/>
              </w:rPr>
              <w:t>．邮编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/>
        <w:tc>
          <w:tcPr>
            <w:tcW w:w="13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3</w:t>
            </w:r>
            <w:r>
              <w:rPr>
                <w:szCs w:val="21"/>
              </w:rPr>
              <w:t>．联系人</w:t>
            </w:r>
          </w:p>
        </w:tc>
        <w:tc>
          <w:tcPr>
            <w:tcW w:w="439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Cs w:val="21"/>
              </w:rPr>
            </w:pPr>
            <w:r>
              <w:rPr>
                <w:szCs w:val="21"/>
              </w:rPr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6</w:t>
            </w:r>
            <w:r>
              <w:rPr>
                <w:szCs w:val="21"/>
              </w:rPr>
              <w:t>．电话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szCs w:val="21"/>
              </w:rPr>
            </w:pPr>
            <w:r>
              <w:rPr>
                <w:szCs w:val="21"/>
              </w:rPr>
            </w:r>
          </w:p>
        </w:tc>
      </w:tr>
      <w:tr>
        <w:trPr/>
        <w:tc>
          <w:tcPr>
            <w:tcW w:w="98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B</w:t>
            </w:r>
            <w:r>
              <w:rPr>
                <w:szCs w:val="21"/>
              </w:rPr>
              <w:t>．事件跟踪信息</w:t>
            </w:r>
          </w:p>
        </w:tc>
      </w:tr>
      <w:tr>
        <w:trPr>
          <w:trHeight w:val="2779" w:hRule="atLeast"/>
        </w:trPr>
        <w:tc>
          <w:tcPr>
            <w:tcW w:w="98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（至少包括：患者转归、调查分析及控制）</w:t>
            </w:r>
          </w:p>
        </w:tc>
      </w:tr>
      <w:tr>
        <w:trPr/>
        <w:tc>
          <w:tcPr>
            <w:tcW w:w="98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C</w:t>
            </w:r>
            <w:r>
              <w:rPr>
                <w:szCs w:val="21"/>
              </w:rPr>
              <w:t>．产品信息</w:t>
            </w:r>
          </w:p>
        </w:tc>
      </w:tr>
      <w:tr>
        <w:trPr/>
        <w:tc>
          <w:tcPr>
            <w:tcW w:w="98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>
                <w:szCs w:val="21"/>
              </w:rPr>
              <w:t>材料要求：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医疗器械生产许可证；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医疗器械产品注册；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医疗器械产品技术要求；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医疗器械检测机构出具的检测报告；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产品标签；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使用说明书；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产品年产量、销量；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用户分布及联系方式；</w:t>
            </w:r>
          </w:p>
          <w:p>
            <w:pPr>
              <w:pStyle w:val="ListParagraph"/>
              <w:numPr>
                <w:ilvl w:val="0"/>
                <w:numId w:val="2"/>
              </w:numPr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本企业生产同类产品名称及临床应用情况。</w:t>
            </w:r>
          </w:p>
        </w:tc>
      </w:tr>
      <w:tr>
        <w:trPr/>
        <w:tc>
          <w:tcPr>
            <w:tcW w:w="989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szCs w:val="21"/>
              </w:rPr>
              <w:t>D</w:t>
            </w:r>
            <w:r>
              <w:rPr>
                <w:szCs w:val="21"/>
                <w:highlight w:val="lightGray"/>
              </w:rPr>
              <w:t>．监测技术机构评价意见</w:t>
            </w:r>
          </w:p>
        </w:tc>
      </w:tr>
      <w:tr>
        <w:trPr>
          <w:trHeight w:val="2015" w:hRule="atLeast"/>
        </w:trPr>
        <w:tc>
          <w:tcPr>
            <w:tcW w:w="40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省级监测技术机构评价意见（可另附页）：</w:t>
            </w:r>
          </w:p>
        </w:tc>
        <w:tc>
          <w:tcPr>
            <w:tcW w:w="587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rPr>
                <w:szCs w:val="21"/>
              </w:rPr>
            </w:pPr>
            <w:r>
              <w:rPr>
                <w:rFonts w:ascii="宋体;SimSun" w:hAnsi="宋体;SimSun" w:cs="宋体;SimSun"/>
                <w:szCs w:val="21"/>
              </w:rPr>
              <w:t>国家监测技术机构评价意见（可另附页）：</w:t>
            </w:r>
          </w:p>
        </w:tc>
      </w:tr>
    </w:tbl>
    <w:p>
      <w:pPr>
        <w:pStyle w:val="Normal"/>
        <w:rPr>
          <w:rFonts w:ascii="宋体;SimSun" w:hAnsi="宋体;SimSun"/>
          <w:szCs w:val="21"/>
        </w:rPr>
      </w:pPr>
      <w:r>
        <w:rPr>
          <w:szCs w:val="21"/>
        </w:rPr>
        <w:t>报告人：</w:t>
      </w:r>
      <w:r>
        <w:rPr>
          <w:rFonts w:eastAsia="Times New Roman"/>
          <w:szCs w:val="21"/>
        </w:rPr>
        <w:t xml:space="preserve">             </w:t>
      </w:r>
      <w:r>
        <w:rPr>
          <w:rFonts w:ascii="宋体;SimSun" w:hAnsi="宋体;SimSun" w:cs="宋体;SimSun"/>
          <w:szCs w:val="21"/>
        </w:rPr>
        <w:t>省级监测技术机构接收日期：</w:t>
      </w:r>
      <w:r>
        <w:rPr>
          <w:rFonts w:ascii="宋体;SimSun" w:hAnsi="宋体;SimSun" w:cs="宋体;SimSun"/>
          <w:szCs w:val="21"/>
        </w:rPr>
        <w:t xml:space="preserve">      </w:t>
      </w:r>
      <w:r>
        <w:rPr>
          <w:rFonts w:ascii="宋体;SimSun" w:hAnsi="宋体;SimSun" w:cs="宋体;SimSun"/>
          <w:szCs w:val="21"/>
        </w:rPr>
        <w:t>国家监测技术机构接收日期：</w:t>
      </w:r>
    </w:p>
    <w:p>
      <w:pPr>
        <w:pStyle w:val="Normal"/>
        <w:rPr>
          <w:rFonts w:ascii="宋体;SimSun" w:hAnsi="宋体;SimSun" w:cs="宋体;SimSun"/>
          <w:szCs w:val="21"/>
        </w:rPr>
      </w:pPr>
      <w:r>
        <w:rPr>
          <w:rFonts w:ascii="宋体;SimSun" w:hAnsi="宋体;SimSun" w:cs="宋体;SimSun"/>
          <w:szCs w:val="21"/>
        </w:rPr>
        <w:t>生产企业（签章）</w:t>
      </w:r>
    </w:p>
    <w:sectPr>
      <w:headerReference w:type="default" r:id="rId2"/>
      <w:footerReference w:type="default" r:id="rId3"/>
      <w:type w:val="nextPage"/>
      <w:pgSz w:w="11906" w:h="16838"/>
      <w:pgMar w:left="737" w:right="926" w:gutter="454" w:header="737" w:top="793" w:footer="496" w:bottom="552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eastAsia="Times New Roman"/>
      </w:rPr>
    </w:pPr>
    <w:r>
      <w:rPr>
        <w:rFonts w:eastAsia="Times New Roman"/>
      </w:rPr>
      <w:t xml:space="preserve">                    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firstLine="7455"/>
      <w:rPr>
        <w:color w:val="FF0000"/>
      </w:rPr>
    </w:pPr>
    <w:r>
      <w:rPr>
        <w:color w:val="FF0000"/>
      </w:rPr>
      <w:t>生效日期：</w:t>
    </w:r>
    <w:r>
      <w:rPr>
        <w:color w:val="FF0000"/>
      </w:rPr>
      <w:t>2020-06-22</w:t>
    </w:r>
  </w:p>
  <w:tbl>
    <w:tblPr>
      <w:tblW w:w="9815" w:type="dxa"/>
      <w:jc w:val="left"/>
      <w:tblInd w:w="108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68"/>
      <w:gridCol w:w="4853"/>
      <w:gridCol w:w="1477"/>
      <w:gridCol w:w="1817"/>
    </w:tblGrid>
    <w:tr>
      <w:trPr/>
      <w:tc>
        <w:tcPr>
          <w:tcW w:w="1668" w:type="dxa"/>
          <w:tcBorders>
            <w:top w:val="single" w:sz="8" w:space="0" w:color="000000"/>
            <w:left w:val="single" w:sz="8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文件名称</w:t>
          </w:r>
        </w:p>
      </w:tc>
      <w:tc>
        <w:tcPr>
          <w:tcW w:w="4853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医疗器械不良事件补充报告表</w:t>
          </w:r>
        </w:p>
      </w:tc>
      <w:tc>
        <w:tcPr>
          <w:tcW w:w="147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文件编号</w:t>
          </w:r>
        </w:p>
      </w:tc>
      <w:tc>
        <w:tcPr>
          <w:tcW w:w="1817" w:type="dxa"/>
          <w:tcBorders>
            <w:top w:val="single" w:sz="8" w:space="0" w:color="000000"/>
            <w:left w:val="single" w:sz="6" w:space="0" w:color="000000"/>
            <w:bottom w:val="single" w:sz="6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QMS-P18-R2</w:t>
          </w:r>
        </w:p>
      </w:tc>
    </w:tr>
    <w:tr>
      <w:trPr/>
      <w:tc>
        <w:tcPr>
          <w:tcW w:w="6521" w:type="dxa"/>
          <w:gridSpan w:val="2"/>
          <w:tcBorders>
            <w:top w:val="single" w:sz="6" w:space="0" w:color="000000"/>
            <w:left w:val="single" w:sz="8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>
              <w:rFonts w:ascii="宋体;SimSun" w:hAnsi="宋体;SimSun" w:cs="宋体;SimSun"/>
              <w:szCs w:val="24"/>
            </w:rPr>
            <w:t>上海深至信息科技有限公司</w:t>
          </w:r>
          <w:r>
            <w:rPr/>
            <w:t>质量管理体系文件</w:t>
          </w:r>
        </w:p>
      </w:tc>
      <w:tc>
        <w:tcPr>
          <w:tcW w:w="147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6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版本</w:t>
          </w:r>
          <w:r>
            <w:rPr/>
            <w:t>号</w:t>
          </w:r>
        </w:p>
      </w:tc>
      <w:tc>
        <w:tcPr>
          <w:tcW w:w="1817" w:type="dxa"/>
          <w:tcBorders>
            <w:top w:val="single" w:sz="6" w:space="0" w:color="000000"/>
            <w:left w:val="single" w:sz="6" w:space="0" w:color="000000"/>
            <w:bottom w:val="single" w:sz="8" w:space="0" w:color="000000"/>
            <w:right w:val="single" w:sz="8" w:space="0" w:color="000000"/>
          </w:tcBorders>
        </w:tcPr>
        <w:p>
          <w:pPr>
            <w:pStyle w:val="Normal"/>
            <w:spacing w:lineRule="auto" w:line="360"/>
            <w:jc w:val="center"/>
            <w:rPr/>
          </w:pPr>
          <w:r>
            <w:rPr/>
            <w:t>A00</w:t>
          </w:r>
        </w:p>
      </w:tc>
    </w:tr>
  </w:tbl>
  <w:p>
    <w:pPr>
      <w:pStyle w:val="Normal"/>
      <w:jc w:val="left"/>
      <w:rPr>
        <w:sz w:val="10"/>
        <w:szCs w:val="10"/>
      </w:rPr>
    </w:pPr>
    <w:r>
      <w:rPr>
        <w:sz w:val="10"/>
        <w:szCs w:val="1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、"/>
      <w:lvlJc w:val="left"/>
      <w:pPr>
        <w:tabs>
          <w:tab w:val="num" w:pos="0"/>
        </w:tabs>
        <w:ind w:left="360" w:hanging="360"/>
      </w:pPr>
      <w:rPr>
        <w:rFonts w:cs="Times New Roman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425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0"/>
      <w:lang w:val="en-US" w:eastAsia="zh-CN" w:bidi="ar-SA"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3"/>
        <w:numId w:val="1"/>
      </w:numPr>
      <w:spacing w:lineRule="auto" w:line="374" w:before="280" w:after="290"/>
      <w:outlineLvl w:val="3"/>
    </w:pPr>
    <w:rPr>
      <w:rFonts w:ascii="Arial" w:hAnsi="Arial" w:eastAsia="黑体;SimHei" w:cs="Arial"/>
      <w:b/>
      <w:bCs/>
      <w:sz w:val="28"/>
      <w:szCs w:val="28"/>
    </w:rPr>
  </w:style>
  <w:style w:type="character" w:styleId="WW8Num1z0">
    <w:name w:val="WW8Num1z0"/>
    <w:qFormat/>
    <w:rPr>
      <w:rFonts w:cs="Times New Roman"/>
    </w:rPr>
  </w:style>
  <w:style w:type="character" w:styleId="WW8Num1z1">
    <w:name w:val="WW8Num1z1"/>
    <w:qFormat/>
    <w:rPr>
      <w:rFonts w:cs="Times New Roman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Style14">
    <w:name w:val="页眉 字符"/>
    <w:qFormat/>
    <w:rPr>
      <w:kern w:val="2"/>
      <w:sz w:val="18"/>
      <w:szCs w:val="18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jc w:val="center"/>
    </w:pPr>
    <w:rPr>
      <w:kern w:val="2"/>
      <w:sz w:val="18"/>
      <w:szCs w:val="18"/>
    </w:rPr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DOCNO">
    <w:name w:val="DOCNO"/>
    <w:basedOn w:val="Normal"/>
    <w:qFormat/>
    <w:pPr>
      <w:widowControl/>
      <w:tabs>
        <w:tab w:val="clear" w:pos="425"/>
        <w:tab w:val="left" w:pos="1890" w:leader="none"/>
        <w:tab w:val="left" w:pos="2520" w:leader="none"/>
      </w:tabs>
      <w:spacing w:lineRule="atLeast" w:line="240"/>
      <w:ind w:right="-72" w:hanging="0"/>
      <w:jc w:val="left"/>
    </w:pPr>
    <w:rPr>
      <w:rFonts w:ascii="Arial" w:hAnsi="Arial" w:cs="Arial"/>
      <w:b/>
      <w:caps/>
      <w:kern w:val="0"/>
      <w:sz w:val="22"/>
      <w:szCs w:val="21"/>
    </w:rPr>
  </w:style>
  <w:style w:type="paragraph" w:styleId="DOCTITLE">
    <w:name w:val="DOCTITLE"/>
    <w:basedOn w:val="DOCNO"/>
    <w:qFormat/>
    <w:pPr>
      <w:tabs>
        <w:tab w:val="clear" w:pos="1890"/>
        <w:tab w:val="clear" w:pos="2520"/>
      </w:tabs>
      <w:ind w:left="900" w:right="-72" w:hanging="900"/>
    </w:pPr>
    <w:rPr>
      <w:i/>
    </w:rPr>
  </w:style>
  <w:style w:type="paragraph" w:styleId="ListParagraph">
    <w:name w:val="List Paragraph"/>
    <w:basedOn w:val="Normal"/>
    <w:qFormat/>
    <w:pPr>
      <w:ind w:firstLine="420"/>
    </w:pPr>
    <w:rPr>
      <w:rFonts w:ascii="Calibri" w:hAnsi="Calibri" w:cs="Calibri"/>
      <w:szCs w:val="2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2018-11-28T16:46:00Z</dcterms:created>
  <dc:creator>q</dc:creator>
  <dc:description/>
  <cp:keywords/>
  <dc:language>en-US</dc:language>
  <cp:lastModifiedBy>胡 杨</cp:lastModifiedBy>
  <cp:lastPrinted>2010-05-27T10:37:00Z</cp:lastPrinted>
  <dcterms:modified xsi:type="dcterms:W3CDTF">2021-05-26T11:38:00Z</dcterms:modified>
  <cp:revision>11</cp:revision>
  <dc:subject/>
  <dc:title>文件名称：忠告性通知                  文件编号：QP-18-R1               版本号：00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