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Arial" w:hAnsi="Arial" w:cs="黑体"/>
          <w:b/>
          <w:b/>
          <w:sz w:val="32"/>
          <w:szCs w:val="32"/>
          <w:lang w:val="zh-CN"/>
        </w:rPr>
      </w:pPr>
      <w:r>
        <w:rPr>
          <w:rFonts w:cs="黑体" w:ascii="Arial" w:hAnsi="Arial"/>
          <w:b/>
          <w:sz w:val="32"/>
          <w:szCs w:val="32"/>
          <w:lang w:val="zh-CN"/>
        </w:rPr>
      </w:r>
    </w:p>
    <w:p>
      <w:pPr>
        <w:pStyle w:val="Normal"/>
        <w:autoSpaceDE w:val="false"/>
        <w:spacing w:lineRule="exact" w:line="440"/>
        <w:jc w:val="center"/>
        <w:rPr>
          <w:rFonts w:ascii="Arial" w:hAnsi="Arial" w:cs="黑体"/>
          <w:b/>
          <w:b/>
          <w:sz w:val="32"/>
          <w:szCs w:val="32"/>
          <w:lang w:val="zh-CN"/>
        </w:rPr>
      </w:pPr>
      <w:r>
        <w:rPr>
          <w:rFonts w:cs="黑体" w:ascii="Arial" w:hAnsi="Arial"/>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en-US" w:eastAsia="zh-CN"/>
        </w:rPr>
        <w:t>上海深至信息科技</w:t>
      </w:r>
      <w:r>
        <w:rPr>
          <w:rFonts w:ascii="宋体" w:hAnsi="宋体" w:cs="宋体" w:eastAsia="宋体"/>
          <w:b/>
          <w:sz w:val="32"/>
          <w:szCs w:val="32"/>
          <w:lang w:val="zh-CN"/>
        </w:rPr>
        <w:t>有限公司</w:t>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质量管理体系文件</w:t>
      </w:r>
    </w:p>
    <w:p>
      <w:pPr>
        <w:pStyle w:val="Normal"/>
        <w:autoSpaceDE w:val="false"/>
        <w:spacing w:lineRule="exact" w:line="440"/>
        <w:jc w:val="center"/>
        <w:rPr>
          <w:rFonts w:ascii="Arial" w:hAnsi="Arial" w:cs="黑体"/>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eastAsia="Arial" w:cs="Arial" w:ascii="Arial" w:hAnsi="Arial"/>
          <w:b/>
          <w:sz w:val="32"/>
          <w:szCs w:val="32"/>
          <w:lang w:val="zh-CN"/>
        </w:rPr>
        <w:t xml:space="preserve">  </w:t>
      </w:r>
    </w:p>
    <w:p>
      <w:pPr>
        <w:pStyle w:val="Normal"/>
        <w:autoSpaceDE w:val="false"/>
        <w:spacing w:lineRule="exact" w:line="440"/>
        <w:jc w:val="center"/>
        <w:rPr>
          <w:rFonts w:ascii="Arial" w:hAnsi="Arial" w:cs="黑体"/>
          <w:b/>
          <w:b/>
          <w:sz w:val="28"/>
          <w:szCs w:val="28"/>
          <w:lang w:val="zh-CN"/>
        </w:rPr>
      </w:pPr>
      <w:r>
        <w:rPr>
          <w:rFonts w:cs="黑体" w:ascii="Arial" w:hAnsi="Arial"/>
          <w:b/>
          <w:sz w:val="28"/>
          <w:szCs w:val="28"/>
          <w:lang w:val="zh-CN"/>
        </w:rPr>
      </w:r>
    </w:p>
    <w:p>
      <w:pPr>
        <w:pStyle w:val="Normal"/>
        <w:autoSpaceDE w:val="false"/>
        <w:spacing w:lineRule="exact" w:line="440"/>
        <w:rPr>
          <w:rFonts w:ascii="Arial" w:hAnsi="Arial" w:cs="黑体"/>
          <w:b/>
          <w:b/>
          <w:sz w:val="28"/>
          <w:szCs w:val="28"/>
          <w:lang w:val="zh-CN"/>
        </w:rPr>
      </w:pPr>
      <w:r>
        <w:rPr>
          <w:rFonts w:cs="黑体" w:ascii="Arial" w:hAnsi="Arial"/>
          <w:b/>
          <w:sz w:val="28"/>
          <w:szCs w:val="28"/>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标签和说明书管理制度</w:t>
      </w:r>
    </w:p>
    <w:p>
      <w:pPr>
        <w:pStyle w:val="Normal"/>
        <w:tabs>
          <w:tab w:val="clear" w:pos="420"/>
          <w:tab w:val="left" w:pos="3420" w:leader="none"/>
        </w:tabs>
        <w:autoSpaceDE w:val="false"/>
        <w:spacing w:lineRule="exact" w:line="440"/>
        <w:jc w:val="center"/>
        <w:rPr>
          <w:rFonts w:ascii="Arial" w:hAnsi="Arial" w:eastAsia="宋体" w:cs="Arial"/>
          <w:b/>
          <w:b/>
          <w:sz w:val="30"/>
          <w:szCs w:val="30"/>
          <w:lang w:val="zh-CN"/>
        </w:rPr>
      </w:pPr>
      <w:r>
        <w:rPr>
          <w:rFonts w:eastAsia="宋体" w:cs="Arial" w:ascii="Arial" w:hAnsi="Arial"/>
          <w:b/>
          <w:sz w:val="30"/>
          <w:szCs w:val="30"/>
          <w:lang w:val="zh-CN"/>
        </w:rPr>
      </w:r>
    </w:p>
    <w:p>
      <w:pPr>
        <w:pStyle w:val="Normal"/>
        <w:tabs>
          <w:tab w:val="clear" w:pos="420"/>
          <w:tab w:val="left" w:pos="3420" w:leader="none"/>
        </w:tabs>
        <w:autoSpaceDE w:val="false"/>
        <w:spacing w:lineRule="exact" w:line="440"/>
        <w:jc w:val="center"/>
        <w:rPr>
          <w:rFonts w:ascii="Arial" w:hAnsi="Arial" w:cs="Arial"/>
          <w:b/>
          <w:b/>
          <w:sz w:val="30"/>
          <w:szCs w:val="30"/>
        </w:rPr>
      </w:pPr>
      <w:r>
        <w:rPr>
          <w:rFonts w:cs="Arial" w:ascii="Arial" w:hAnsi="Arial"/>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QMS-R03</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ascii="宋体" w:hAnsi="宋体" w:cs="宋体" w:eastAsia="宋体"/>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lang w:val="en-US" w:eastAsia="zh-CN"/>
              </w:rPr>
              <w:t>A</w:t>
            </w:r>
            <w:r>
              <w:rPr>
                <w:rFonts w:eastAsia="宋体" w:cs="宋体" w:ascii="宋体" w:hAnsi="宋体"/>
                <w:sz w:val="30"/>
                <w:szCs w:val="30"/>
              </w:rPr>
              <w:t>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 w:hAnsi="宋体" w:eastAsia="宋体" w:cs="宋体"/>
                <w:b/>
                <w:b/>
                <w:sz w:val="30"/>
                <w:szCs w:val="30"/>
              </w:rPr>
            </w:pPr>
            <w:r>
              <w:rPr>
                <w:rFonts w:eastAsia="宋体" w:cs="宋体" w:ascii="宋体" w:hAnsi="宋体"/>
                <w:b/>
                <w:sz w:val="30"/>
                <w:szCs w:val="30"/>
              </w:rPr>
            </w:r>
          </w:p>
        </w:tc>
      </w:tr>
    </w:tbl>
    <w:p>
      <w:pPr>
        <w:pStyle w:val="Normal"/>
        <w:tabs>
          <w:tab w:val="clear" w:pos="420"/>
          <w:tab w:val="left" w:pos="3420" w:leader="none"/>
        </w:tabs>
        <w:autoSpaceDE w:val="false"/>
        <w:spacing w:lineRule="exact" w:line="440"/>
        <w:jc w:val="center"/>
        <w:rPr>
          <w:rFonts w:ascii="Arial" w:hAnsi="Arial" w:cs="Arial"/>
          <w:b/>
          <w:b/>
          <w:sz w:val="30"/>
          <w:szCs w:val="30"/>
        </w:rPr>
      </w:pPr>
      <w:r>
        <w:rPr>
          <w:rFonts w:cs="Arial" w:ascii="Arial" w:hAnsi="Arial"/>
          <w:b/>
          <w:sz w:val="30"/>
          <w:szCs w:val="30"/>
        </w:rPr>
      </w:r>
    </w:p>
    <w:p>
      <w:pPr>
        <w:pStyle w:val="Normal"/>
        <w:tabs>
          <w:tab w:val="clear" w:pos="420"/>
          <w:tab w:val="left" w:pos="3420" w:leader="none"/>
        </w:tabs>
        <w:autoSpaceDE w:val="false"/>
        <w:spacing w:lineRule="exact" w:line="440"/>
        <w:jc w:val="center"/>
        <w:rPr>
          <w:rFonts w:ascii="Arial" w:hAnsi="Arial" w:cs="Arial"/>
          <w:b/>
          <w:b/>
          <w:sz w:val="30"/>
          <w:szCs w:val="30"/>
        </w:rPr>
      </w:pPr>
      <w:r>
        <w:rPr>
          <w:rFonts w:cs="Arial" w:ascii="Arial" w:hAnsi="Arial"/>
          <w:b/>
          <w:sz w:val="30"/>
          <w:szCs w:val="30"/>
        </w:rPr>
      </w:r>
    </w:p>
    <w:p>
      <w:pPr>
        <w:pStyle w:val="Normal"/>
        <w:tabs>
          <w:tab w:val="clear" w:pos="420"/>
          <w:tab w:val="left" w:pos="3420" w:leader="none"/>
        </w:tabs>
        <w:autoSpaceDE w:val="false"/>
        <w:spacing w:lineRule="exact" w:line="440"/>
        <w:jc w:val="center"/>
        <w:rPr>
          <w:rFonts w:ascii="Arial" w:hAnsi="Arial" w:cs="Arial"/>
          <w:b/>
          <w:b/>
          <w:sz w:val="30"/>
          <w:szCs w:val="30"/>
        </w:rPr>
      </w:pPr>
      <w:r>
        <w:rPr>
          <w:rFonts w:cs="Arial" w:ascii="Arial" w:hAnsi="Arial"/>
          <w:b/>
          <w:sz w:val="30"/>
          <w:szCs w:val="30"/>
        </w:rPr>
      </w:r>
    </w:p>
    <w:p>
      <w:pPr>
        <w:pStyle w:val="Normal"/>
        <w:tabs>
          <w:tab w:val="clear" w:pos="420"/>
          <w:tab w:val="left" w:pos="3420" w:leader="none"/>
        </w:tabs>
        <w:autoSpaceDE w:val="false"/>
        <w:spacing w:lineRule="auto" w:line="480"/>
        <w:ind w:firstLine="1557"/>
        <w:rPr>
          <w:rFonts w:ascii="宋体" w:hAnsi="宋体" w:eastAsia="宋体" w:cs="宋体"/>
          <w:b/>
          <w:b/>
          <w:sz w:val="30"/>
          <w:szCs w:val="30"/>
        </w:rPr>
      </w:pPr>
      <w:bookmarkStart w:id="0" w:name="_Hlk41750231"/>
      <w:bookmarkEnd w:id="0"/>
      <w:r>
        <w:rPr>
          <w:rFonts w:ascii="宋体" w:hAnsi="宋体" w:cs="宋体" w:eastAsia="宋体"/>
          <w:b/>
          <w:sz w:val="30"/>
          <w:szCs w:val="30"/>
        </w:rPr>
        <w:t>起草人：</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57"/>
        <w:rPr>
          <w:rFonts w:ascii="宋体" w:hAnsi="宋体" w:eastAsia="宋体" w:cs="宋体"/>
          <w:b/>
          <w:b/>
          <w:sz w:val="30"/>
          <w:szCs w:val="30"/>
          <w:u w:val="single"/>
        </w:rPr>
      </w:pPr>
      <w:r>
        <w:rPr>
          <w:rFonts w:ascii="宋体" w:hAnsi="宋体" w:cs="宋体" w:eastAsia="宋体"/>
          <w:b/>
          <w:sz w:val="30"/>
          <w:szCs w:val="30"/>
        </w:rPr>
        <w:t>审核人：</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57"/>
        <w:rPr>
          <w:rFonts w:ascii="宋体" w:hAnsi="宋体" w:eastAsia="宋体" w:cs="宋体"/>
          <w:b/>
          <w:b/>
          <w:sz w:val="30"/>
          <w:szCs w:val="30"/>
        </w:rPr>
      </w:pPr>
      <w:r>
        <w:rPr>
          <w:rFonts w:ascii="宋体" w:hAnsi="宋体" w:cs="宋体" w:eastAsia="宋体"/>
          <w:b/>
          <w:sz w:val="30"/>
          <w:szCs w:val="30"/>
        </w:rPr>
        <w:t>批准人：</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485"/>
        <w:rPr>
          <w:rFonts w:ascii="宋体" w:hAnsi="宋体" w:eastAsia="宋体" w:cs="宋体"/>
          <w:b/>
          <w:b/>
          <w:sz w:val="30"/>
          <w:szCs w:val="30"/>
        </w:rPr>
      </w:pPr>
      <w:r>
        <w:rPr>
          <w:rFonts w:eastAsia="宋体" w:cs="宋体" w:ascii="宋体" w:hAnsi="宋体"/>
          <w:b/>
          <w:sz w:val="30"/>
          <w:szCs w:val="30"/>
        </w:rPr>
      </w:r>
    </w:p>
    <w:p>
      <w:pPr>
        <w:pStyle w:val="Normal"/>
        <w:ind w:right="-351" w:hanging="0"/>
        <w:rPr>
          <w:rFonts w:ascii="Arial" w:hAnsi="Arial" w:eastAsia="宋体" w:cs="Arial"/>
          <w:b/>
          <w:b/>
          <w:sz w:val="24"/>
          <w:szCs w:val="30"/>
        </w:rPr>
      </w:pPr>
      <w:r>
        <w:rPr>
          <w:rFonts w:eastAsia="宋体" w:cs="Arial" w:ascii="Arial" w:hAnsi="Arial"/>
          <w:b/>
          <w:sz w:val="24"/>
          <w:szCs w:val="30"/>
        </w:rPr>
      </w:r>
      <w:bookmarkStart w:id="1" w:name="_Hlk41750231"/>
      <w:bookmarkStart w:id="2" w:name="_Hlk41750231"/>
      <w:bookmarkEnd w:id="2"/>
    </w:p>
    <w:p>
      <w:pPr>
        <w:pStyle w:val="Normal"/>
        <w:rPr>
          <w:rFonts w:ascii="Arial" w:hAnsi="Arial" w:cs="Arial"/>
          <w:b/>
          <w:b/>
          <w:sz w:val="24"/>
        </w:rPr>
      </w:pPr>
      <w:r>
        <w:rPr>
          <w:rFonts w:cs="Arial" w:ascii="Arial" w:hAnsi="Arial"/>
          <w:b/>
          <w:sz w:val="24"/>
        </w:rPr>
      </w:r>
    </w:p>
    <w:p>
      <w:pPr>
        <w:pStyle w:val="Normal"/>
        <w:ind w:right="-351" w:hanging="0"/>
        <w:rPr>
          <w:rFonts w:ascii="Arial" w:hAnsi="Arial" w:cs="Arial"/>
          <w:b/>
          <w:b/>
          <w:sz w:val="24"/>
        </w:rPr>
      </w:pPr>
      <w:r>
        <w:rPr>
          <w:rFonts w:cs="Arial" w:ascii="Arial" w:hAnsi="Arial"/>
          <w:b/>
          <w:sz w:val="24"/>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420" w:hanging="0"/>
        <w:rPr>
          <w:rFonts w:ascii="Arial" w:hAnsi="Arial" w:cs="Arial"/>
          <w:b/>
          <w:b/>
          <w:sz w:val="24"/>
          <w:u w:val="single"/>
        </w:rPr>
      </w:pPr>
      <w:r>
        <w:rPr>
          <w:rFonts w:cs="Arial" w:ascii="Arial" w:hAnsi="Arial"/>
          <w:b/>
          <w:sz w:val="24"/>
          <w:u w:val="single"/>
        </w:rPr>
      </w:r>
    </w:p>
    <w:p>
      <w:pPr>
        <w:pStyle w:val="Normal"/>
        <w:tabs>
          <w:tab w:val="clear" w:pos="420"/>
          <w:tab w:val="left" w:pos="7513" w:leader="none"/>
        </w:tabs>
        <w:ind w:right="-144" w:hanging="0"/>
        <w:rPr>
          <w:rFonts w:ascii="Arial" w:hAnsi="Arial" w:cs="Arial"/>
          <w:b/>
          <w:b/>
          <w:sz w:val="24"/>
          <w:u w:val="single"/>
        </w:rPr>
      </w:pPr>
      <w:r>
        <w:rPr>
          <w:rFonts w:eastAsia="Arial" w:cs="Arial" w:ascii="Arial" w:hAnsi="Arial"/>
          <w:b/>
          <w:sz w:val="24"/>
          <w:u w:val="single"/>
        </w:rPr>
        <w:t xml:space="preserve">                                                                               </w:t>
      </w:r>
    </w:p>
    <w:p>
      <w:pPr>
        <w:pStyle w:val="Normal"/>
        <w:tabs>
          <w:tab w:val="clear" w:pos="420"/>
          <w:tab w:val="left" w:pos="7513" w:leader="none"/>
        </w:tabs>
        <w:ind w:right="420" w:firstLine="1060"/>
        <w:rPr>
          <w:rFonts w:ascii="宋体" w:hAnsi="宋体" w:eastAsia="宋体" w:cs="宋体"/>
          <w:bCs/>
          <w:color w:val="FF0000"/>
          <w:sz w:val="24"/>
        </w:rPr>
      </w:pPr>
      <w:r>
        <w:rPr>
          <w:rFonts w:ascii="宋体" w:hAnsi="宋体" w:cs="宋体" w:eastAsia="宋体"/>
          <w:b/>
          <w:sz w:val="24"/>
        </w:rPr>
        <w:t>分发部门：</w:t>
      </w:r>
      <w:r>
        <w:rPr>
          <w:rFonts w:ascii="宋体" w:hAnsi="宋体" w:cs="宋体" w:eastAsia="宋体"/>
          <w:bCs/>
          <w:sz w:val="24"/>
        </w:rPr>
        <w:t>生产部、质量部、</w:t>
      </w:r>
      <w:r>
        <w:rPr>
          <w:rFonts w:ascii="宋体" w:hAnsi="宋体" w:cs="宋体" w:eastAsia="宋体"/>
          <w:bCs/>
          <w:sz w:val="24"/>
          <w:lang w:val="en-US" w:eastAsia="zh-CN"/>
        </w:rPr>
        <w:t>行政</w:t>
      </w:r>
      <w:r>
        <w:rPr>
          <w:rFonts w:ascii="宋体" w:hAnsi="宋体" w:cs="宋体" w:eastAsia="宋体"/>
          <w:bCs/>
          <w:sz w:val="24"/>
        </w:rPr>
        <w:t>部</w:t>
      </w:r>
      <w:r>
        <w:rPr>
          <w:rFonts w:ascii="宋体" w:hAnsi="宋体" w:cs="宋体" w:eastAsia="宋体"/>
          <w:b/>
          <w:sz w:val="24"/>
        </w:rPr>
        <w:t xml:space="preserve">        </w:t>
      </w:r>
      <w:r>
        <w:rPr>
          <w:rFonts w:ascii="宋体" w:hAnsi="宋体" w:cs="宋体" w:eastAsia="宋体"/>
          <w:b/>
          <w:sz w:val="24"/>
        </w:rPr>
        <w:t xml:space="preserve">  </w:t>
      </w:r>
      <w:r>
        <w:rPr>
          <w:rFonts w:ascii="宋体" w:hAnsi="宋体" w:cs="宋体" w:eastAsia="宋体"/>
          <w:b/>
          <w:color w:val="FF0000"/>
          <w:sz w:val="24"/>
        </w:rPr>
        <w:t>生效日期：</w:t>
      </w:r>
      <w:r>
        <w:rPr>
          <w:rFonts w:eastAsia="宋体" w:cs="宋体" w:ascii="宋体" w:hAnsi="宋体"/>
          <w:bCs/>
          <w:color w:val="FF0000"/>
          <w:sz w:val="24"/>
        </w:rPr>
        <w:t>20</w:t>
      </w:r>
      <w:r>
        <w:rPr>
          <w:rFonts w:eastAsia="宋体" w:cs="宋体" w:ascii="宋体" w:hAnsi="宋体"/>
          <w:bCs/>
          <w:color w:val="FF0000"/>
          <w:sz w:val="24"/>
        </w:rPr>
        <w:t>20</w:t>
      </w:r>
      <w:r>
        <w:rPr>
          <w:rFonts w:eastAsia="宋体" w:cs="宋体" w:ascii="宋体" w:hAnsi="宋体"/>
          <w:bCs/>
          <w:color w:val="FF0000"/>
          <w:sz w:val="24"/>
        </w:rPr>
        <w:t>-0</w:t>
      </w:r>
      <w:r>
        <w:rPr>
          <w:rFonts w:eastAsia="宋体" w:cs="宋体" w:ascii="宋体" w:hAnsi="宋体"/>
          <w:bCs/>
          <w:color w:val="FF0000"/>
          <w:sz w:val="24"/>
        </w:rPr>
        <w:t>6</w:t>
      </w:r>
      <w:r>
        <w:rPr>
          <w:rFonts w:eastAsia="宋体" w:cs="宋体" w:ascii="宋体" w:hAnsi="宋体"/>
          <w:bCs/>
          <w:color w:val="FF0000"/>
          <w:sz w:val="24"/>
        </w:rPr>
        <w:t>-</w:t>
      </w:r>
      <w:r>
        <w:rPr>
          <w:rFonts w:eastAsia="宋体" w:cs="宋体" w:ascii="宋体" w:hAnsi="宋体"/>
          <w:bCs/>
          <w:color w:val="FF0000"/>
          <w:sz w:val="24"/>
        </w:rPr>
        <w:t>22</w:t>
      </w:r>
    </w:p>
    <w:p>
      <w:pPr>
        <w:pStyle w:val="Normal"/>
        <w:tabs>
          <w:tab w:val="clear" w:pos="420"/>
          <w:tab w:val="left" w:pos="7513" w:leader="none"/>
        </w:tabs>
        <w:ind w:right="420" w:firstLine="1057"/>
        <w:rPr>
          <w:rFonts w:ascii="Arial" w:hAnsi="Arial" w:eastAsia="宋体" w:cs="Arial"/>
          <w:b/>
          <w:b/>
          <w:bCs/>
          <w:color w:val="FF0000"/>
          <w:sz w:val="24"/>
        </w:rPr>
      </w:pPr>
      <w:r>
        <w:rPr>
          <w:rFonts w:eastAsia="宋体" w:cs="Arial" w:ascii="Arial" w:hAnsi="Arial"/>
          <w:b/>
          <w:bCs/>
          <w:color w:val="FF0000"/>
          <w:sz w:val="24"/>
        </w:rPr>
      </w:r>
    </w:p>
    <w:p>
      <w:pPr>
        <w:sectPr>
          <w:footerReference w:type="default" r:id="rId2"/>
          <w:type w:val="nextPage"/>
          <w:pgSz w:w="11906" w:h="16838"/>
          <w:pgMar w:left="1418" w:right="1418" w:gutter="0" w:header="0" w:top="1134" w:footer="992" w:bottom="1134"/>
          <w:pgNumType w:fmt="decimal"/>
          <w:formProt w:val="false"/>
          <w:textDirection w:val="lrTb"/>
          <w:docGrid w:type="lines" w:linePitch="312" w:charSpace="0"/>
        </w:sectPr>
      </w:pPr>
    </w:p>
    <w:p>
      <w:pPr>
        <w:pStyle w:val="Normal"/>
        <w:autoSpaceDE w:val="false"/>
        <w:spacing w:lineRule="auto" w:line="360"/>
        <w:ind w:left="945" w:hanging="945"/>
        <w:rPr>
          <w:rFonts w:ascii="宋体" w:hAnsi="宋体" w:eastAsia="宋体" w:cs="宋体"/>
          <w:b/>
          <w:b/>
          <w:bCs/>
        </w:rPr>
      </w:pPr>
      <w:r>
        <w:rPr>
          <w:rFonts w:eastAsia="宋体" w:cs="宋体" w:ascii="宋体" w:hAnsi="宋体"/>
        </w:rPr>
        <w:t xml:space="preserve">1. </w:t>
      </w:r>
      <w:r>
        <w:rPr>
          <w:rFonts w:ascii="宋体" w:hAnsi="宋体" w:cs="宋体" w:eastAsia="宋体"/>
          <w:b/>
          <w:bCs/>
        </w:rPr>
        <w:t>目的：</w:t>
      </w:r>
      <w:r>
        <w:rPr>
          <w:rFonts w:ascii="宋体" w:hAnsi="宋体" w:cs="宋体" w:eastAsia="宋体"/>
        </w:rPr>
        <w:t xml:space="preserve">本程序规定了生产中所用的所有标签及说明书控制流程，对标签及说明书的生成、来料、发放和废弃的管理规定了相应的程序职责和权限。 </w:t>
      </w:r>
    </w:p>
    <w:p>
      <w:pPr>
        <w:pStyle w:val="Normal"/>
        <w:autoSpaceDE w:val="false"/>
        <w:spacing w:lineRule="auto" w:line="360"/>
        <w:rPr>
          <w:rFonts w:ascii="宋体" w:hAnsi="宋体" w:eastAsia="宋体" w:cs="宋体"/>
          <w:b/>
          <w:b/>
          <w:bCs/>
        </w:rPr>
      </w:pPr>
      <w:r>
        <w:rPr>
          <w:rFonts w:eastAsia="宋体" w:cs="宋体" w:ascii="宋体" w:hAnsi="宋体"/>
        </w:rPr>
        <w:t xml:space="preserve">2. </w:t>
      </w:r>
      <w:r>
        <w:rPr>
          <w:rFonts w:ascii="宋体" w:hAnsi="宋体" w:cs="宋体" w:eastAsia="宋体"/>
          <w:b/>
          <w:bCs/>
        </w:rPr>
        <w:t>适用范围：</w:t>
      </w:r>
      <w:r>
        <w:rPr>
          <w:rFonts w:ascii="宋体" w:hAnsi="宋体" w:cs="宋体" w:eastAsia="宋体"/>
        </w:rPr>
        <w:t>适用于所有的医疗器械产品标签及说明书。</w:t>
      </w:r>
    </w:p>
    <w:p>
      <w:pPr>
        <w:pStyle w:val="Normal"/>
        <w:autoSpaceDE w:val="false"/>
        <w:spacing w:lineRule="auto" w:line="360"/>
        <w:rPr>
          <w:rFonts w:ascii="宋体" w:hAnsi="宋体" w:eastAsia="宋体" w:cs="宋体"/>
          <w:b/>
          <w:b/>
          <w:bCs/>
        </w:rPr>
      </w:pPr>
      <w:r>
        <w:rPr>
          <w:rFonts w:eastAsia="宋体" w:cs="宋体" w:ascii="宋体" w:hAnsi="宋体"/>
        </w:rPr>
        <w:t xml:space="preserve">3. </w:t>
      </w:r>
      <w:r>
        <w:rPr>
          <w:rFonts w:ascii="宋体" w:hAnsi="宋体" w:cs="宋体" w:eastAsia="宋体"/>
          <w:b/>
          <w:bCs/>
        </w:rPr>
        <w:t>职责</w:t>
      </w:r>
    </w:p>
    <w:p>
      <w:pPr>
        <w:pStyle w:val="Normal"/>
        <w:spacing w:lineRule="auto" w:line="360"/>
        <w:ind w:firstLine="567"/>
        <w:rPr>
          <w:rFonts w:ascii="宋体" w:hAnsi="宋体" w:eastAsia="宋体" w:cs="宋体"/>
        </w:rPr>
      </w:pPr>
      <w:r>
        <w:rPr>
          <w:rFonts w:eastAsia="宋体" w:cs="宋体" w:ascii="宋体" w:hAnsi="宋体"/>
        </w:rPr>
        <w:t>3.1</w:t>
      </w:r>
      <w:r>
        <w:rPr>
          <w:rFonts w:ascii="宋体" w:hAnsi="宋体" w:cs="宋体" w:eastAsia="宋体"/>
        </w:rPr>
        <w:t>储运部、生产部及相关人员执行本制度。</w:t>
      </w:r>
    </w:p>
    <w:p>
      <w:pPr>
        <w:pStyle w:val="Normal"/>
        <w:spacing w:lineRule="auto" w:line="360"/>
        <w:ind w:firstLine="567"/>
        <w:rPr>
          <w:rFonts w:ascii="宋体" w:hAnsi="宋体" w:eastAsia="宋体" w:cs="宋体"/>
        </w:rPr>
      </w:pPr>
      <w:r>
        <w:rPr>
          <w:rFonts w:eastAsia="宋体" w:cs="宋体" w:ascii="宋体" w:hAnsi="宋体"/>
        </w:rPr>
        <w:t>3.2</w:t>
      </w:r>
      <w:r>
        <w:rPr>
          <w:rFonts w:ascii="宋体" w:hAnsi="宋体" w:cs="宋体" w:eastAsia="宋体"/>
        </w:rPr>
        <w:t>质量部负责标签内容的复核及监督检查工作。</w:t>
      </w:r>
    </w:p>
    <w:p>
      <w:pPr>
        <w:pStyle w:val="Normal"/>
        <w:autoSpaceDE w:val="false"/>
        <w:spacing w:lineRule="auto" w:line="360"/>
        <w:rPr>
          <w:rFonts w:ascii="宋体" w:hAnsi="宋体" w:eastAsia="宋体" w:cs="宋体"/>
          <w:b/>
          <w:b/>
          <w:bCs/>
        </w:rPr>
      </w:pPr>
      <w:r>
        <w:rPr>
          <w:rFonts w:eastAsia="宋体" w:cs="宋体" w:ascii="宋体" w:hAnsi="宋体"/>
        </w:rPr>
        <w:t xml:space="preserve">4. </w:t>
      </w:r>
      <w:r>
        <w:rPr>
          <w:rFonts w:ascii="宋体" w:hAnsi="宋体" w:cs="宋体" w:eastAsia="宋体"/>
          <w:b/>
          <w:bCs/>
        </w:rPr>
        <w:t>定义</w:t>
      </w:r>
    </w:p>
    <w:p>
      <w:pPr>
        <w:pStyle w:val="Normal"/>
        <w:autoSpaceDE w:val="false"/>
        <w:spacing w:lineRule="auto" w:line="360"/>
        <w:ind w:firstLine="420"/>
        <w:rPr>
          <w:rFonts w:ascii="宋体" w:hAnsi="宋体" w:eastAsia="宋体" w:cs="宋体"/>
        </w:rPr>
      </w:pPr>
      <w:r>
        <w:rPr>
          <w:rFonts w:ascii="宋体" w:hAnsi="宋体" w:cs="宋体" w:eastAsia="宋体"/>
          <w:bCs/>
        </w:rPr>
        <w:t>标签</w:t>
      </w:r>
      <w:r>
        <w:rPr>
          <w:rFonts w:ascii="宋体" w:hAnsi="宋体" w:cs="宋体" w:eastAsia="宋体"/>
          <w:b/>
          <w:bCs/>
        </w:rPr>
        <w:t>：</w:t>
      </w:r>
      <w:r>
        <w:rPr>
          <w:rFonts w:ascii="宋体" w:hAnsi="宋体" w:cs="宋体" w:eastAsia="宋体"/>
        </w:rPr>
        <w:t>指有产品标识的物料，其中包括但不仅限于产品名称、产品用途、批号、失效日期、制造商名称、产品</w:t>
      </w:r>
      <w:r>
        <w:rPr>
          <w:rFonts w:eastAsia="宋体" w:cs="宋体" w:ascii="宋体" w:hAnsi="宋体"/>
        </w:rPr>
        <w:t xml:space="preserve">LOGO </w:t>
      </w:r>
      <w:r>
        <w:rPr>
          <w:rFonts w:ascii="宋体" w:hAnsi="宋体" w:cs="宋体" w:eastAsia="宋体"/>
        </w:rPr>
        <w:t>等等，本公司的标签包括：</w:t>
      </w:r>
    </w:p>
    <w:p>
      <w:pPr>
        <w:pStyle w:val="Normal"/>
        <w:autoSpaceDE w:val="false"/>
        <w:spacing w:lineRule="auto" w:line="360"/>
        <w:ind w:firstLine="850"/>
        <w:rPr>
          <w:rFonts w:ascii="宋体" w:hAnsi="宋体" w:eastAsia="宋体" w:cs="宋体"/>
        </w:rPr>
      </w:pPr>
      <w:r>
        <w:rPr>
          <w:rFonts w:eastAsia="宋体" w:cs="宋体" w:ascii="宋体" w:hAnsi="宋体"/>
        </w:rPr>
        <w:t>a</w:t>
      </w:r>
      <w:r>
        <w:rPr>
          <w:rFonts w:ascii="宋体" w:hAnsi="宋体" w:cs="宋体" w:eastAsia="宋体"/>
        </w:rPr>
        <w:t>）含有以上标识内容的外包装物料。</w:t>
      </w:r>
    </w:p>
    <w:p>
      <w:pPr>
        <w:pStyle w:val="Normal"/>
        <w:autoSpaceDE w:val="false"/>
        <w:spacing w:lineRule="auto" w:line="360"/>
        <w:ind w:firstLine="850"/>
        <w:rPr>
          <w:rFonts w:ascii="宋体" w:hAnsi="宋体" w:eastAsia="宋体" w:cs="宋体"/>
        </w:rPr>
      </w:pPr>
      <w:r>
        <w:rPr>
          <w:rFonts w:eastAsia="宋体" w:cs="宋体" w:ascii="宋体" w:hAnsi="宋体"/>
        </w:rPr>
        <w:t>b</w:t>
      </w:r>
      <w:r>
        <w:rPr>
          <w:rFonts w:ascii="宋体" w:hAnsi="宋体" w:cs="宋体" w:eastAsia="宋体"/>
        </w:rPr>
        <w:t>）打印内容。</w:t>
      </w:r>
    </w:p>
    <w:p>
      <w:pPr>
        <w:pStyle w:val="Normal"/>
        <w:spacing w:lineRule="auto" w:line="360"/>
        <w:rPr>
          <w:rFonts w:ascii="宋体" w:hAnsi="宋体" w:eastAsia="宋体" w:cs="宋体"/>
          <w:b/>
          <w:b/>
        </w:rPr>
      </w:pPr>
      <w:r>
        <w:rPr>
          <w:rFonts w:eastAsia="宋体" w:cs="宋体" w:ascii="宋体" w:hAnsi="宋体"/>
          <w:b/>
        </w:rPr>
        <w:t xml:space="preserve">5. </w:t>
      </w:r>
      <w:r>
        <w:rPr>
          <w:rFonts w:ascii="宋体" w:hAnsi="宋体" w:cs="宋体" w:eastAsia="宋体"/>
          <w:b/>
        </w:rPr>
        <w:t>程序</w:t>
      </w:r>
      <w:r>
        <w:rPr>
          <w:rFonts w:eastAsia="宋体" w:cs="宋体" w:ascii="宋体" w:hAnsi="宋体"/>
          <w:b/>
        </w:rPr>
        <w:t>/</w:t>
      </w:r>
      <w:r>
        <w:rPr>
          <w:rFonts w:ascii="宋体" w:hAnsi="宋体" w:cs="宋体" w:eastAsia="宋体"/>
          <w:b/>
        </w:rPr>
        <w:t>内容</w:t>
      </w:r>
    </w:p>
    <w:p>
      <w:pPr>
        <w:pStyle w:val="Normal"/>
        <w:spacing w:lineRule="auto" w:line="360"/>
        <w:ind w:firstLine="420"/>
        <w:rPr>
          <w:rFonts w:ascii="宋体" w:hAnsi="宋体" w:eastAsia="宋体" w:cs="宋体"/>
        </w:rPr>
      </w:pPr>
      <w:r>
        <w:rPr>
          <w:rFonts w:eastAsia="宋体" w:cs="宋体" w:ascii="宋体" w:hAnsi="宋体"/>
        </w:rPr>
        <w:t xml:space="preserve">5.1 </w:t>
      </w:r>
      <w:r>
        <w:rPr>
          <w:rFonts w:ascii="宋体" w:hAnsi="宋体" w:cs="宋体" w:eastAsia="宋体"/>
        </w:rPr>
        <w:t>标签、说明书内容的应符合《医疗器械说明书和标签管理规定》基本要求。经药监系统注册审查的说明书内容如有与产品使用功能或者性能等方面有重大变化时需要更改时，应按照要求进行许可或备案。</w:t>
      </w:r>
    </w:p>
    <w:p>
      <w:pPr>
        <w:pStyle w:val="Normal"/>
        <w:widowControl/>
        <w:overflowPunct w:val="false"/>
        <w:autoSpaceDE w:val="false"/>
        <w:spacing w:lineRule="auto" w:line="360"/>
        <w:ind w:left="360" w:firstLine="210"/>
        <w:jc w:val="left"/>
        <w:textAlignment w:val="baseline"/>
        <w:rPr>
          <w:rFonts w:ascii="宋体" w:hAnsi="宋体" w:eastAsia="宋体" w:cs="Arial"/>
          <w:i/>
          <w:i/>
          <w:szCs w:val="21"/>
        </w:rPr>
      </w:pPr>
      <w:r>
        <w:rPr>
          <w:rFonts w:ascii="宋体" w:hAnsi="宋体" w:cs="Arial" w:eastAsia="宋体"/>
          <w:szCs w:val="21"/>
        </w:rPr>
        <w:t>加贴</w:t>
      </w:r>
      <w:r>
        <w:rPr>
          <w:rFonts w:eastAsia="宋体" w:cs="Arial" w:ascii="宋体" w:hAnsi="宋体"/>
          <w:szCs w:val="21"/>
        </w:rPr>
        <w:t>CE</w:t>
      </w:r>
      <w:r>
        <w:rPr>
          <w:rFonts w:ascii="宋体" w:hAnsi="宋体" w:cs="Arial" w:eastAsia="宋体"/>
          <w:szCs w:val="21"/>
        </w:rPr>
        <w:t>标志的医疗器械产品的标签及其语言</w:t>
      </w:r>
      <w:r>
        <w:rPr>
          <w:rFonts w:ascii="宋体" w:hAnsi="宋体" w:cs="Arial" w:eastAsia="宋体"/>
          <w:szCs w:val="21"/>
        </w:rPr>
        <w:t>，应该依据</w:t>
      </w:r>
      <w:r>
        <w:rPr>
          <w:rFonts w:ascii="宋体" w:hAnsi="宋体" w:cs="Arial" w:eastAsia="宋体"/>
          <w:szCs w:val="21"/>
          <w:lang w:val="en-US" w:eastAsia="zh-CN"/>
        </w:rPr>
        <w:t>欧盟法规</w:t>
      </w:r>
      <w:r>
        <w:rPr>
          <w:rFonts w:eastAsia="宋体" w:cs="Arial" w:ascii="宋体" w:hAnsi="宋体"/>
          <w:szCs w:val="21"/>
          <w:lang w:val="en-US" w:eastAsia="zh-CN"/>
        </w:rPr>
        <w:t>MDR</w:t>
      </w:r>
      <w:r>
        <w:rPr>
          <w:rFonts w:ascii="宋体" w:hAnsi="宋体" w:cs="Arial" w:eastAsia="宋体"/>
          <w:szCs w:val="21"/>
        </w:rPr>
        <w:t>要求</w:t>
      </w:r>
      <w:r>
        <w:rPr>
          <w:rFonts w:ascii="宋体" w:hAnsi="宋体" w:cs="Arial" w:eastAsia="宋体"/>
          <w:szCs w:val="21"/>
        </w:rPr>
        <w:t>进行编写</w:t>
      </w:r>
      <w:r>
        <w:rPr>
          <w:rFonts w:ascii="宋体" w:hAnsi="宋体" w:cs="Arial" w:eastAsia="宋体"/>
          <w:szCs w:val="21"/>
        </w:rPr>
        <w:t>。</w:t>
      </w:r>
    </w:p>
    <w:p>
      <w:pPr>
        <w:pStyle w:val="Normal"/>
        <w:numPr>
          <w:ilvl w:val="1"/>
          <w:numId w:val="4"/>
        </w:numPr>
        <w:spacing w:lineRule="auto" w:line="360"/>
        <w:ind w:left="360" w:firstLine="66"/>
        <w:jc w:val="left"/>
        <w:rPr>
          <w:rFonts w:ascii="宋体" w:hAnsi="宋体" w:eastAsia="宋体" w:cs="宋体"/>
        </w:rPr>
      </w:pPr>
      <w:r>
        <w:rPr>
          <w:rFonts w:ascii="宋体" w:hAnsi="宋体" w:cs="宋体" w:eastAsia="宋体"/>
        </w:rPr>
        <w:t>标签、说明书</w:t>
      </w:r>
      <w:r>
        <w:rPr>
          <w:rFonts w:ascii="宋体" w:hAnsi="宋体" w:cs="宋体" w:eastAsia="宋体"/>
          <w:lang w:eastAsia="zh-CN"/>
        </w:rPr>
        <w:t>（</w:t>
      </w:r>
      <w:r>
        <w:rPr>
          <w:rFonts w:ascii="宋体" w:hAnsi="宋体" w:cs="宋体" w:eastAsia="宋体"/>
          <w:lang w:val="en-US" w:eastAsia="zh-CN"/>
        </w:rPr>
        <w:t>如有纸质稿</w:t>
      </w:r>
      <w:r>
        <w:rPr>
          <w:rFonts w:ascii="宋体" w:hAnsi="宋体" w:cs="宋体" w:eastAsia="宋体"/>
          <w:lang w:eastAsia="zh-CN"/>
        </w:rPr>
        <w:t>）</w:t>
      </w:r>
      <w:r>
        <w:rPr>
          <w:rFonts w:ascii="宋体" w:hAnsi="宋体" w:cs="宋体" w:eastAsia="宋体"/>
        </w:rPr>
        <w:t>的仓储管理</w:t>
      </w:r>
    </w:p>
    <w:p>
      <w:pPr>
        <w:pStyle w:val="Normal"/>
        <w:spacing w:lineRule="auto" w:line="360"/>
        <w:ind w:firstLine="945"/>
        <w:rPr>
          <w:rFonts w:ascii="宋体" w:hAnsi="宋体" w:eastAsia="宋体" w:cs="宋体"/>
        </w:rPr>
      </w:pPr>
      <w:r>
        <w:rPr>
          <w:rFonts w:eastAsia="宋体" w:cs="宋体" w:ascii="宋体" w:hAnsi="宋体"/>
        </w:rPr>
        <w:t>5.2.1</w:t>
      </w:r>
      <w:r>
        <w:rPr>
          <w:rFonts w:ascii="宋体" w:hAnsi="宋体" w:cs="宋体" w:eastAsia="宋体"/>
        </w:rPr>
        <w:t>标签、说明书库存区应保持清洁、干燥，并进行专区管理，参照仓储相关管理规程执行。</w:t>
      </w:r>
    </w:p>
    <w:p>
      <w:pPr>
        <w:pStyle w:val="Normal"/>
        <w:spacing w:lineRule="auto" w:line="360"/>
        <w:ind w:left="-2" w:firstLine="945"/>
        <w:rPr>
          <w:rFonts w:ascii="宋体" w:hAnsi="宋体" w:eastAsia="宋体" w:cs="宋体"/>
        </w:rPr>
      </w:pPr>
      <w:r>
        <w:rPr>
          <w:rFonts w:eastAsia="宋体" w:cs="宋体" w:ascii="宋体" w:hAnsi="宋体"/>
        </w:rPr>
        <w:t>5.2.2</w:t>
      </w:r>
      <w:r>
        <w:rPr>
          <w:rFonts w:ascii="宋体" w:hAnsi="宋体" w:cs="宋体" w:eastAsia="宋体"/>
        </w:rPr>
        <w:t>采购入库：仓库将采购得到的空白标签、说明书放置在待检区，并及时通知质量部质检；检验合格后由仓库管理员办理入库手续，填写《入库单》，并分别记入相应台帐中。</w:t>
      </w:r>
    </w:p>
    <w:p>
      <w:pPr>
        <w:pStyle w:val="Normal"/>
        <w:tabs>
          <w:tab w:val="clear" w:pos="420"/>
          <w:tab w:val="left" w:pos="360" w:leader="none"/>
        </w:tabs>
        <w:spacing w:lineRule="auto" w:line="360"/>
        <w:ind w:left="-2" w:firstLine="945"/>
        <w:jc w:val="left"/>
        <w:rPr>
          <w:rFonts w:ascii="宋体" w:hAnsi="宋体" w:eastAsia="宋体" w:cs="宋体"/>
        </w:rPr>
      </w:pPr>
      <w:r>
        <w:rPr>
          <w:rFonts w:eastAsia="宋体" w:cs="宋体" w:ascii="宋体" w:hAnsi="宋体"/>
        </w:rPr>
        <w:t>5.2.3</w:t>
      </w:r>
      <w:r>
        <w:rPr>
          <w:rFonts w:ascii="宋体" w:hAnsi="宋体" w:cs="宋体" w:eastAsia="宋体"/>
        </w:rPr>
        <w:t>盘点：定期盘点，清查核实所有标签、说明书，确认账物是否相符。</w:t>
      </w:r>
    </w:p>
    <w:p>
      <w:pPr>
        <w:pStyle w:val="Normal"/>
        <w:numPr>
          <w:ilvl w:val="1"/>
          <w:numId w:val="5"/>
        </w:numPr>
        <w:tabs>
          <w:tab w:val="clear" w:pos="420"/>
          <w:tab w:val="left" w:pos="180" w:leader="none"/>
          <w:tab w:val="left" w:pos="426" w:leader="none"/>
        </w:tabs>
        <w:spacing w:lineRule="auto" w:line="360"/>
        <w:ind w:left="540" w:hanging="114"/>
        <w:jc w:val="left"/>
        <w:rPr>
          <w:rFonts w:ascii="宋体" w:hAnsi="宋体" w:eastAsia="宋体" w:cs="宋体"/>
        </w:rPr>
      </w:pPr>
      <w:r>
        <w:rPr>
          <w:rFonts w:ascii="宋体" w:hAnsi="宋体" w:cs="宋体" w:eastAsia="宋体"/>
        </w:rPr>
        <w:t>标签、说明书的领用</w:t>
      </w:r>
    </w:p>
    <w:p>
      <w:pPr>
        <w:pStyle w:val="Normal"/>
        <w:numPr>
          <w:ilvl w:val="2"/>
          <w:numId w:val="5"/>
        </w:numPr>
        <w:tabs>
          <w:tab w:val="clear" w:pos="420"/>
          <w:tab w:val="left" w:pos="284" w:leader="none"/>
          <w:tab w:val="left" w:pos="567" w:leader="none"/>
          <w:tab w:val="left" w:pos="1560" w:leader="none"/>
        </w:tabs>
        <w:spacing w:lineRule="auto" w:line="360"/>
        <w:ind w:left="283" w:firstLine="709"/>
        <w:jc w:val="left"/>
        <w:rPr>
          <w:rFonts w:ascii="宋体" w:hAnsi="宋体" w:eastAsia="宋体" w:cs="宋体"/>
        </w:rPr>
      </w:pPr>
      <w:r>
        <w:rPr>
          <w:rFonts w:ascii="宋体" w:hAnsi="宋体" w:cs="宋体" w:eastAsia="宋体"/>
        </w:rPr>
        <w:t>生产领料员在领用时，先核对标签、说明书的数量及印刷质量。核对无误后领、发料人均在出库单上签名。发放后仓库管理员填写出库台帐。</w:t>
      </w:r>
    </w:p>
    <w:p>
      <w:pPr>
        <w:pStyle w:val="Normal"/>
        <w:numPr>
          <w:ilvl w:val="2"/>
          <w:numId w:val="5"/>
        </w:numPr>
        <w:tabs>
          <w:tab w:val="clear" w:pos="420"/>
          <w:tab w:val="left" w:pos="360" w:leader="none"/>
          <w:tab w:val="left" w:pos="540" w:leader="none"/>
          <w:tab w:val="left" w:pos="851" w:leader="none"/>
        </w:tabs>
        <w:spacing w:lineRule="auto" w:line="360"/>
        <w:ind w:left="283" w:firstLine="709"/>
        <w:jc w:val="left"/>
        <w:rPr>
          <w:rFonts w:ascii="宋体" w:hAnsi="宋体" w:eastAsia="宋体" w:cs="宋体"/>
        </w:rPr>
      </w:pPr>
      <w:r>
        <w:rPr>
          <w:rFonts w:ascii="宋体" w:hAnsi="宋体" w:cs="宋体" w:eastAsia="宋体"/>
        </w:rPr>
        <w:t>生产部在使用时计数使用，要求实用量、残损量及剩余量之和与领用数相等，如发生偏差，要查明原因。</w:t>
      </w:r>
    </w:p>
    <w:p>
      <w:pPr>
        <w:pStyle w:val="Normal"/>
        <w:numPr>
          <w:ilvl w:val="1"/>
          <w:numId w:val="5"/>
        </w:numPr>
        <w:tabs>
          <w:tab w:val="clear" w:pos="420"/>
          <w:tab w:val="left" w:pos="180" w:leader="none"/>
          <w:tab w:val="left" w:pos="426" w:leader="none"/>
        </w:tabs>
        <w:spacing w:lineRule="auto" w:line="360"/>
        <w:ind w:left="-2" w:firstLine="426"/>
        <w:jc w:val="left"/>
        <w:rPr>
          <w:rFonts w:ascii="宋体" w:hAnsi="宋体" w:eastAsia="宋体" w:cs="宋体"/>
        </w:rPr>
      </w:pPr>
      <w:r>
        <w:rPr>
          <w:rFonts w:eastAsia="宋体" w:cs="宋体" w:ascii="宋体" w:hAnsi="宋体"/>
        </w:rPr>
        <w:t xml:space="preserve"> </w:t>
      </w:r>
      <w:r>
        <w:rPr>
          <w:rFonts w:ascii="宋体" w:hAnsi="宋体" w:cs="宋体" w:eastAsia="宋体"/>
        </w:rPr>
        <w:t>标签、说明书的销毁</w:t>
      </w:r>
    </w:p>
    <w:p>
      <w:pPr>
        <w:pStyle w:val="Normal"/>
        <w:numPr>
          <w:ilvl w:val="2"/>
          <w:numId w:val="5"/>
        </w:numPr>
        <w:tabs>
          <w:tab w:val="clear" w:pos="420"/>
          <w:tab w:val="left" w:pos="540" w:leader="none"/>
        </w:tabs>
        <w:spacing w:lineRule="auto" w:line="360"/>
        <w:ind w:left="283" w:firstLine="709"/>
        <w:jc w:val="left"/>
        <w:rPr>
          <w:rFonts w:ascii="宋体" w:hAnsi="宋体" w:eastAsia="宋体" w:cs="宋体"/>
        </w:rPr>
      </w:pPr>
      <w:r>
        <w:rPr>
          <w:rFonts w:ascii="宋体" w:hAnsi="宋体" w:cs="宋体" w:eastAsia="宋体"/>
        </w:rPr>
        <w:t>仓库销毁的标签、说明书是指经质量管理部检验并出具不合格报告的标签、说明书；或由于版本切换需要报废的说明书，相关法规变化导致未用完需报废的标签、说明书等。</w:t>
      </w:r>
    </w:p>
    <w:p>
      <w:pPr>
        <w:pStyle w:val="Normal"/>
        <w:numPr>
          <w:ilvl w:val="0"/>
          <w:numId w:val="2"/>
        </w:numPr>
        <w:spacing w:lineRule="auto" w:line="360"/>
        <w:ind w:left="242" w:firstLine="325"/>
        <w:jc w:val="left"/>
        <w:rPr>
          <w:rFonts w:ascii="宋体" w:hAnsi="宋体" w:eastAsia="宋体" w:cs="宋体"/>
        </w:rPr>
      </w:pPr>
      <w:r>
        <w:rPr>
          <w:rFonts w:ascii="宋体" w:hAnsi="宋体" w:cs="宋体" w:eastAsia="宋体"/>
        </w:rPr>
        <w:t>仓库保管员接到不合格检验报告书后或旧标签、说明书需报废时，及时填写《销毁申请单》进行审批。销毁方法有：</w:t>
      </w:r>
      <w:r>
        <w:rPr>
          <w:rFonts w:ascii="宋体" w:hAnsi="宋体" w:cs="宋体" w:eastAsia="宋体"/>
          <w:lang w:val="en-US" w:eastAsia="zh-CN"/>
        </w:rPr>
        <w:t>撕碎</w:t>
      </w:r>
      <w:r>
        <w:rPr>
          <w:rFonts w:ascii="宋体" w:hAnsi="宋体" w:cs="宋体" w:eastAsia="宋体"/>
        </w:rPr>
        <w:t>、粉碎等。同时通知质量管理人员进行现场监督并在《销毁申请单》上签字，并填写销毁记录。</w:t>
      </w:r>
    </w:p>
    <w:p>
      <w:pPr>
        <w:pStyle w:val="Normal"/>
        <w:numPr>
          <w:ilvl w:val="0"/>
          <w:numId w:val="3"/>
        </w:numPr>
        <w:spacing w:lineRule="auto" w:line="360"/>
        <w:rPr>
          <w:rFonts w:ascii="宋体" w:hAnsi="宋体" w:eastAsia="宋体" w:cs="宋体"/>
          <w:b/>
          <w:b/>
        </w:rPr>
      </w:pPr>
      <w:r>
        <w:rPr>
          <w:rFonts w:eastAsia="宋体" w:cs="宋体" w:ascii="宋体" w:hAnsi="宋体"/>
        </w:rPr>
        <w:t xml:space="preserve"> </w:t>
      </w:r>
      <w:r>
        <w:rPr>
          <w:rFonts w:ascii="宋体" w:hAnsi="宋体" w:cs="宋体" w:eastAsia="宋体"/>
          <w:b/>
        </w:rPr>
        <w:t>相关文件</w:t>
      </w:r>
    </w:p>
    <w:p>
      <w:pPr>
        <w:pStyle w:val="Normal"/>
        <w:spacing w:lineRule="auto" w:line="360"/>
        <w:ind w:left="360" w:hanging="0"/>
        <w:rPr>
          <w:rFonts w:ascii="宋体" w:hAnsi="宋体" w:eastAsia="宋体" w:cs="宋体"/>
        </w:rPr>
      </w:pPr>
      <w:r>
        <w:rPr>
          <w:rFonts w:ascii="宋体" w:hAnsi="宋体" w:cs="宋体" w:eastAsia="宋体"/>
        </w:rPr>
        <w:t>无</w:t>
      </w:r>
    </w:p>
    <w:p>
      <w:pPr>
        <w:pStyle w:val="Normal"/>
        <w:numPr>
          <w:ilvl w:val="0"/>
          <w:numId w:val="3"/>
        </w:numPr>
        <w:spacing w:lineRule="auto" w:line="360"/>
        <w:rPr>
          <w:rFonts w:ascii="宋体" w:hAnsi="宋体" w:eastAsia="宋体" w:cs="宋体"/>
          <w:b/>
          <w:b/>
        </w:rPr>
      </w:pPr>
      <w:r>
        <w:rPr>
          <w:rFonts w:eastAsia="宋体" w:cs="宋体" w:ascii="宋体" w:hAnsi="宋体"/>
          <w:b/>
        </w:rPr>
        <w:t xml:space="preserve"> </w:t>
      </w:r>
      <w:r>
        <w:rPr>
          <w:rFonts w:ascii="宋体" w:hAnsi="宋体" w:cs="宋体" w:eastAsia="宋体"/>
          <w:b/>
        </w:rPr>
        <w:t>记录</w:t>
      </w:r>
    </w:p>
    <w:p>
      <w:pPr>
        <w:pStyle w:val="Normal"/>
        <w:spacing w:lineRule="auto" w:line="360"/>
        <w:ind w:left="180" w:firstLine="210"/>
        <w:rPr>
          <w:rFonts w:ascii="宋体" w:hAnsi="宋体" w:eastAsia="宋体" w:cs="宋体"/>
        </w:rPr>
      </w:pPr>
      <w:r>
        <w:rPr>
          <w:rFonts w:ascii="宋体" w:hAnsi="宋体" w:cs="宋体" w:eastAsia="宋体"/>
        </w:rPr>
        <w:t>无</w:t>
      </w:r>
    </w:p>
    <w:p>
      <w:pPr>
        <w:pStyle w:val="Normal"/>
        <w:autoSpaceDE w:val="false"/>
        <w:spacing w:lineRule="auto" w:line="360"/>
        <w:ind w:hanging="141"/>
        <w:rPr>
          <w:rFonts w:ascii="宋体" w:hAnsi="宋体" w:eastAsia="宋体" w:cs="宋体"/>
          <w:b/>
          <w:b/>
          <w:szCs w:val="21"/>
        </w:rPr>
      </w:pPr>
      <w:r>
        <w:rPr>
          <w:rFonts w:eastAsia="宋体" w:cs="宋体" w:ascii="宋体" w:hAnsi="宋体"/>
          <w:b/>
          <w:szCs w:val="21"/>
        </w:rPr>
        <w:t>8</w:t>
      </w:r>
      <w:r>
        <w:rPr>
          <w:rFonts w:ascii="宋体" w:hAnsi="宋体" w:cs="宋体" w:eastAsia="宋体"/>
          <w:b/>
          <w:szCs w:val="21"/>
        </w:rPr>
        <w:t>、文件更改履历表</w:t>
      </w:r>
    </w:p>
    <w:tbl>
      <w:tblPr>
        <w:tblW w:w="9436" w:type="dxa"/>
        <w:jc w:val="left"/>
        <w:tblInd w:w="392" w:type="dxa"/>
        <w:tblLayout w:type="fixed"/>
        <w:tblCellMar>
          <w:top w:w="0" w:type="dxa"/>
          <w:left w:w="108" w:type="dxa"/>
          <w:bottom w:w="0" w:type="dxa"/>
          <w:right w:w="108" w:type="dxa"/>
        </w:tblCellMar>
      </w:tblPr>
      <w:tblGrid>
        <w:gridCol w:w="1167"/>
        <w:gridCol w:w="5750"/>
        <w:gridCol w:w="2519"/>
      </w:tblGrid>
      <w:tr>
        <w:trPr>
          <w:trHeight w:val="399" w:hRule="atLeast"/>
        </w:trPr>
        <w:tc>
          <w:tcPr>
            <w:tcW w:w="1167"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 w:hAnsi="宋体" w:eastAsia="宋体" w:cs="宋体"/>
                <w:b/>
                <w:b/>
                <w:szCs w:val="21"/>
              </w:rPr>
            </w:pPr>
            <w:r>
              <w:rPr>
                <w:rFonts w:ascii="宋体" w:hAnsi="宋体" w:cs="宋体" w:eastAsia="宋体"/>
                <w:b/>
                <w:szCs w:val="21"/>
              </w:rPr>
              <w:t>版本号</w:t>
            </w:r>
          </w:p>
        </w:tc>
        <w:tc>
          <w:tcPr>
            <w:tcW w:w="5750"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 w:hAnsi="宋体" w:eastAsia="宋体" w:cs="宋体"/>
                <w:b/>
                <w:b/>
                <w:color w:val="000000"/>
                <w:szCs w:val="21"/>
              </w:rPr>
            </w:pPr>
            <w:r>
              <w:rPr>
                <w:rFonts w:ascii="宋体" w:hAnsi="宋体" w:cs="宋体" w:eastAsia="宋体"/>
                <w:b/>
                <w:szCs w:val="21"/>
              </w:rPr>
              <w:t>更改描述</w:t>
            </w:r>
          </w:p>
        </w:tc>
        <w:tc>
          <w:tcPr>
            <w:tcW w:w="2519"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 w:hAnsi="宋体" w:eastAsia="宋体" w:cs="宋体"/>
                <w:b/>
                <w:b/>
                <w:color w:val="000000"/>
                <w:szCs w:val="21"/>
              </w:rPr>
            </w:pPr>
            <w:r>
              <w:rPr>
                <w:rFonts w:ascii="宋体" w:hAnsi="宋体" w:cs="宋体" w:eastAsia="宋体"/>
                <w:b/>
                <w:color w:val="000000"/>
                <w:szCs w:val="21"/>
              </w:rPr>
              <w:t>生效日期</w:t>
            </w:r>
          </w:p>
        </w:tc>
      </w:tr>
      <w:tr>
        <w:trPr>
          <w:trHeight w:val="407" w:hRule="atLeast"/>
        </w:trPr>
        <w:tc>
          <w:tcPr>
            <w:tcW w:w="1167"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 w:hAnsi="宋体" w:eastAsia="宋体" w:cs="宋体"/>
                <w:sz w:val="21"/>
              </w:rPr>
            </w:pPr>
            <w:r>
              <w:rPr>
                <w:rFonts w:eastAsia="宋体" w:cs="宋体" w:ascii="宋体" w:hAnsi="宋体"/>
                <w:sz w:val="21"/>
              </w:rPr>
              <w:t>A00</w:t>
            </w:r>
          </w:p>
        </w:tc>
        <w:tc>
          <w:tcPr>
            <w:tcW w:w="5750"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 w:hAnsi="宋体" w:eastAsia="宋体" w:cs="宋体"/>
                <w:sz w:val="21"/>
              </w:rPr>
            </w:pPr>
            <w:r>
              <w:rPr>
                <w:rFonts w:ascii="宋体" w:hAnsi="宋体" w:cs="宋体" w:eastAsia="宋体"/>
                <w:sz w:val="21"/>
              </w:rPr>
              <w:t>新文件</w:t>
            </w:r>
          </w:p>
        </w:tc>
        <w:tc>
          <w:tcPr>
            <w:tcW w:w="2519"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 w:hAnsi="宋体" w:eastAsia="宋体" w:cs="宋体"/>
                <w:sz w:val="21"/>
              </w:rPr>
            </w:pPr>
            <w:r>
              <w:rPr>
                <w:rFonts w:eastAsia="宋体" w:cs="宋体" w:ascii="宋体" w:hAnsi="宋体"/>
                <w:sz w:val="21"/>
              </w:rPr>
              <w:t>20</w:t>
            </w:r>
            <w:r>
              <w:rPr>
                <w:rFonts w:eastAsia="宋体" w:cs="宋体" w:ascii="宋体" w:hAnsi="宋体"/>
                <w:sz w:val="21"/>
              </w:rPr>
              <w:t>20</w:t>
            </w:r>
            <w:r>
              <w:rPr>
                <w:rFonts w:eastAsia="宋体" w:cs="宋体" w:ascii="宋体" w:hAnsi="宋体"/>
                <w:sz w:val="21"/>
              </w:rPr>
              <w:t>-0</w:t>
            </w:r>
            <w:r>
              <w:rPr>
                <w:rFonts w:eastAsia="宋体" w:cs="宋体" w:ascii="宋体" w:hAnsi="宋体"/>
                <w:sz w:val="21"/>
              </w:rPr>
              <w:t>6</w:t>
            </w:r>
            <w:r>
              <w:rPr>
                <w:rFonts w:eastAsia="宋体" w:cs="宋体" w:ascii="宋体" w:hAnsi="宋体"/>
                <w:sz w:val="21"/>
              </w:rPr>
              <w:t>-</w:t>
            </w:r>
            <w:r>
              <w:rPr>
                <w:rFonts w:eastAsia="宋体" w:cs="宋体" w:ascii="宋体" w:hAnsi="宋体"/>
                <w:sz w:val="21"/>
              </w:rPr>
              <w:t>22</w:t>
            </w:r>
          </w:p>
        </w:tc>
      </w:tr>
    </w:tbl>
    <w:p>
      <w:pPr>
        <w:pStyle w:val="Normal"/>
        <w:spacing w:lineRule="exact" w:line="460"/>
        <w:rPr>
          <w:rFonts w:ascii="宋体" w:hAnsi="宋体" w:eastAsia="宋体" w:cs="宋体"/>
          <w:szCs w:val="21"/>
        </w:rPr>
      </w:pPr>
      <w:r>
        <w:rPr>
          <w:rFonts w:eastAsia="宋体" w:cs="宋体" w:ascii="宋体" w:hAnsi="宋体"/>
          <w:szCs w:val="21"/>
        </w:rPr>
      </w:r>
    </w:p>
    <w:p>
      <w:pPr>
        <w:pStyle w:val="Normal"/>
        <w:autoSpaceDE w:val="false"/>
        <w:jc w:val="center"/>
        <w:rPr>
          <w:rFonts w:ascii="Arial" w:hAnsi="Arial" w:eastAsia="宋体" w:cs="Arial"/>
          <w:color w:val="000000"/>
          <w:sz w:val="24"/>
          <w:szCs w:val="21"/>
        </w:rPr>
      </w:pPr>
      <w:r>
        <w:rPr>
          <w:rFonts w:eastAsia="宋体" w:cs="Arial" w:ascii="Arial" w:hAnsi="Arial"/>
          <w:color w:val="000000"/>
          <w:sz w:val="24"/>
          <w:szCs w:val="21"/>
        </w:rPr>
      </w:r>
    </w:p>
    <w:p>
      <w:pPr>
        <w:pStyle w:val="Normal"/>
        <w:spacing w:lineRule="exact" w:line="460"/>
        <w:rPr>
          <w:rFonts w:ascii="Arial" w:hAnsi="Arial" w:cs="Arial"/>
          <w:color w:val="000000"/>
          <w:sz w:val="24"/>
        </w:rPr>
      </w:pPr>
      <w:r>
        <w:rPr>
          <w:rFonts w:cs="Arial" w:ascii="Arial" w:hAnsi="Arial"/>
          <w:color w:val="000000"/>
          <w:sz w:val="24"/>
        </w:rPr>
      </w:r>
    </w:p>
    <w:sectPr>
      <w:headerReference w:type="default" r:id="rId3"/>
      <w:footerReference w:type="default" r:id="rId4"/>
      <w:type w:val="nextPage"/>
      <w:pgSz w:w="11906" w:h="16838"/>
      <w:pgMar w:left="1134" w:right="1134" w:gutter="0" w:header="851" w:top="1134" w:footer="992"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86"/>
    <w:family w:val="auto"/>
    <w:pitch w:val="default"/>
  </w:font>
  <w:font w:name="Arial Black">
    <w:charset w:val="00"/>
    <w:family w:val="swiss"/>
    <w:pitch w:val="default"/>
  </w:font>
  <w:font w:name="Wingdings">
    <w:charset w:val="02"/>
    <w:family w:val="auto"/>
    <w:pitch w:val="default"/>
  </w:font>
  <w:font w:name="Liberation Sans">
    <w:altName w:val="Arial"/>
    <w:charset w:val="01"/>
    <w:family w:val="swiss"/>
    <w:pitch w:val="variable"/>
  </w:font>
  <w:font w:name="Arial Unicode MS">
    <w:altName w:val="宋体"/>
    <w:charset w:val="86"/>
    <w:family w:val="swiss"/>
    <w:pitch w:val="default"/>
  </w:font>
  <w:font w:name="ËÎÌå">
    <w:altName w:val="宋体"/>
    <w:charset w:val="86"/>
    <w:family w:val="auto"/>
    <w:pitch w:val="default"/>
  </w:font>
  <w:font w:name="Arial">
    <w:charset w:val="00"/>
    <w:family w:val="swiss"/>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34"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 w:hAnsi="宋体" w:eastAsia="宋体" w:cs="宋体"/>
            </w:rPr>
          </w:pPr>
          <w:r>
            <w:rPr>
              <w:rFonts w:ascii="宋体" w:hAnsi="宋体" w:cs="宋体" w:eastAsia="宋体"/>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 w:hAnsi="宋体" w:eastAsia="宋体" w:cs="宋体"/>
            </w:rPr>
          </w:pPr>
          <w:r>
            <w:rPr>
              <w:rFonts w:ascii="宋体" w:hAnsi="宋体" w:cs="宋体" w:eastAsia="宋体"/>
            </w:rPr>
            <w:t>标签和说明书管理制度</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文件编号：    </w:t>
          </w:r>
          <w:r>
            <w:rPr>
              <w:rFonts w:eastAsia="宋体" w:cs="宋体" w:ascii="宋体" w:hAnsi="宋体"/>
              <w:sz w:val="24"/>
              <w:szCs w:val="24"/>
            </w:rPr>
            <w:t>QMS-R03</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 w:hAnsi="宋体" w:eastAsia="宋体" w:cs="宋体"/>
              <w:sz w:val="24"/>
              <w:szCs w:val="24"/>
            </w:rPr>
          </w:pPr>
          <w:r>
            <w:rPr>
              <w:rFonts w:eastAsia="宋体" w:cs="宋体" w:ascii="宋体" w:hAnsi="宋体"/>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 w:hAnsi="宋体" w:eastAsia="宋体" w:cs="宋体"/>
            </w:rPr>
          </w:pPr>
          <w:r>
            <w:rPr>
              <w:rFonts w:eastAsia="宋体" w:cs="宋体" w:ascii="宋体" w:hAnsi="宋体"/>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版本修订号：   </w:t>
          </w:r>
          <w:r>
            <w:rPr>
              <w:rFonts w:eastAsia="宋体" w:cs="宋体" w:ascii="宋体" w:hAnsi="宋体"/>
              <w:sz w:val="24"/>
              <w:szCs w:val="24"/>
              <w:lang w:val="en-US" w:eastAsia="zh-CN"/>
            </w:rPr>
            <w:t>A</w:t>
          </w:r>
          <w:r>
            <w:rPr>
              <w:rFonts w:eastAsia="宋体" w:cs="宋体" w:ascii="宋体" w:hAnsi="宋体"/>
              <w:sz w:val="24"/>
              <w:szCs w:val="24"/>
            </w:rPr>
            <w:t>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 w:hAnsi="宋体" w:eastAsia="宋体" w:cs="宋体"/>
            </w:rPr>
          </w:pPr>
          <w:r>
            <w:rPr>
              <w:rFonts w:ascii="宋体" w:hAnsi="宋体" w:cs="宋体" w:eastAsia="宋体"/>
              <w:lang w:val="en-US" w:eastAsia="zh-CN"/>
            </w:rPr>
            <w:t>上海深至信息科技</w:t>
          </w:r>
          <w:r>
            <w:rPr>
              <w:rFonts w:ascii="宋体" w:hAnsi="宋体" w:cs="宋体" w:eastAsia="宋体"/>
            </w:rPr>
            <w:t>有限公司质量管理体系文件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页      码：   </w:t>
          </w:r>
          <w:r>
            <w:rPr>
              <w:rFonts w:ascii="宋体" w:hAnsi="宋体" w:cs="宋体" w:eastAsia="宋体"/>
              <w:sz w:val="24"/>
              <w:szCs w:val="24"/>
            </w:rPr>
            <w:fldChar w:fldCharType="begin"/>
          </w:r>
          <w:r>
            <w:rPr>
              <w:sz w:val="24"/>
              <w:szCs w:val="24"/>
              <w:rFonts w:ascii="宋体" w:hAnsi="宋体" w:cs="宋体" w:eastAsia="宋体"/>
            </w:rPr>
            <w:instrText xml:space="preserve"> PAGE </w:instrText>
          </w:r>
          <w:r>
            <w:rPr>
              <w:sz w:val="24"/>
              <w:szCs w:val="24"/>
              <w:rFonts w:ascii="宋体" w:hAnsi="宋体" w:cs="宋体" w:eastAsia="宋体"/>
            </w:rPr>
            <w:fldChar w:fldCharType="separate"/>
          </w:r>
          <w:r>
            <w:rPr>
              <w:sz w:val="24"/>
              <w:szCs w:val="24"/>
              <w:rFonts w:ascii="宋体" w:hAnsi="宋体" w:cs="宋体" w:eastAsia="宋体"/>
            </w:rPr>
            <w:t>2</w:t>
          </w:r>
          <w:r>
            <w:rPr>
              <w:sz w:val="24"/>
              <w:szCs w:val="24"/>
              <w:rFonts w:ascii="宋体" w:hAnsi="宋体" w:cs="宋体" w:eastAsia="宋体"/>
            </w:rPr>
            <w:fldChar w:fldCharType="end"/>
          </w:r>
          <w:r>
            <w:rPr>
              <w:rFonts w:eastAsia="宋体" w:cs="宋体" w:ascii="宋体" w:hAnsi="宋体"/>
              <w:sz w:val="24"/>
              <w:szCs w:val="24"/>
            </w:rPr>
            <w:t>/2</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420"/>
        </w:tabs>
        <w:ind w:left="242" w:hanging="420"/>
      </w:pPr>
      <w:rPr>
        <w:rFonts w:ascii="Wingdings" w:hAnsi="Wingdings" w:cs="Wingdings" w:hint="default"/>
      </w:rPr>
    </w:lvl>
    <w:lvl w:ilvl="1">
      <w:start w:val="1"/>
      <w:numFmt w:val="bullet"/>
      <w:lvlText w:val=""/>
      <w:lvlJc w:val="left"/>
      <w:pPr>
        <w:tabs>
          <w:tab w:val="num" w:pos="0"/>
        </w:tabs>
        <w:ind w:left="662" w:hanging="420"/>
      </w:pPr>
      <w:rPr>
        <w:rFonts w:ascii="Wingdings" w:hAnsi="Wingdings" w:cs="Wingdings" w:hint="default"/>
      </w:rPr>
    </w:lvl>
    <w:lvl w:ilvl="2">
      <w:start w:val="1"/>
      <w:numFmt w:val="bullet"/>
      <w:lvlText w:val=""/>
      <w:lvlJc w:val="left"/>
      <w:pPr>
        <w:tabs>
          <w:tab w:val="num" w:pos="0"/>
        </w:tabs>
        <w:ind w:left="1082" w:hanging="420"/>
      </w:pPr>
      <w:rPr>
        <w:rFonts w:ascii="Wingdings" w:hAnsi="Wingdings" w:cs="Wingdings" w:hint="default"/>
      </w:rPr>
    </w:lvl>
    <w:lvl w:ilvl="3">
      <w:start w:val="1"/>
      <w:numFmt w:val="bullet"/>
      <w:lvlText w:val=""/>
      <w:lvlJc w:val="left"/>
      <w:pPr>
        <w:tabs>
          <w:tab w:val="num" w:pos="0"/>
        </w:tabs>
        <w:ind w:left="1502" w:hanging="420"/>
      </w:pPr>
      <w:rPr>
        <w:rFonts w:ascii="Wingdings" w:hAnsi="Wingdings" w:cs="Wingdings" w:hint="default"/>
      </w:rPr>
    </w:lvl>
    <w:lvl w:ilvl="4">
      <w:start w:val="1"/>
      <w:numFmt w:val="bullet"/>
      <w:lvlText w:val=""/>
      <w:lvlJc w:val="left"/>
      <w:pPr>
        <w:tabs>
          <w:tab w:val="num" w:pos="0"/>
        </w:tabs>
        <w:ind w:left="1922" w:hanging="420"/>
      </w:pPr>
      <w:rPr>
        <w:rFonts w:ascii="Wingdings" w:hAnsi="Wingdings" w:cs="Wingdings" w:hint="default"/>
      </w:rPr>
    </w:lvl>
    <w:lvl w:ilvl="5">
      <w:start w:val="1"/>
      <w:numFmt w:val="bullet"/>
      <w:lvlText w:val=""/>
      <w:lvlJc w:val="left"/>
      <w:pPr>
        <w:tabs>
          <w:tab w:val="num" w:pos="0"/>
        </w:tabs>
        <w:ind w:left="2342" w:hanging="420"/>
      </w:pPr>
      <w:rPr>
        <w:rFonts w:ascii="Wingdings" w:hAnsi="Wingdings" w:cs="Wingdings" w:hint="default"/>
      </w:rPr>
    </w:lvl>
    <w:lvl w:ilvl="6">
      <w:start w:val="1"/>
      <w:numFmt w:val="bullet"/>
      <w:lvlText w:val=""/>
      <w:lvlJc w:val="left"/>
      <w:pPr>
        <w:tabs>
          <w:tab w:val="num" w:pos="0"/>
        </w:tabs>
        <w:ind w:left="2762" w:hanging="420"/>
      </w:pPr>
      <w:rPr>
        <w:rFonts w:ascii="Wingdings" w:hAnsi="Wingdings" w:cs="Wingdings" w:hint="default"/>
      </w:rPr>
    </w:lvl>
    <w:lvl w:ilvl="7">
      <w:start w:val="1"/>
      <w:numFmt w:val="bullet"/>
      <w:lvlText w:val=""/>
      <w:lvlJc w:val="left"/>
      <w:pPr>
        <w:tabs>
          <w:tab w:val="num" w:pos="0"/>
        </w:tabs>
        <w:ind w:left="3182" w:hanging="420"/>
      </w:pPr>
      <w:rPr>
        <w:rFonts w:ascii="Wingdings" w:hAnsi="Wingdings" w:cs="Wingdings" w:hint="default"/>
      </w:rPr>
    </w:lvl>
    <w:lvl w:ilvl="8">
      <w:start w:val="1"/>
      <w:numFmt w:val="bullet"/>
      <w:lvlText w:val=""/>
      <w:lvlJc w:val="left"/>
      <w:pPr>
        <w:tabs>
          <w:tab w:val="num" w:pos="0"/>
        </w:tabs>
        <w:ind w:left="3602" w:hanging="420"/>
      </w:pPr>
      <w:rPr>
        <w:rFonts w:ascii="Wingdings" w:hAnsi="Wingdings" w:cs="Wingdings" w:hint="default"/>
      </w:rPr>
    </w:lvl>
  </w:abstractNum>
  <w:abstractNum w:abstractNumId="3">
    <w:lvl w:ilvl="0">
      <w:start w:val="6"/>
      <w:numFmt w:val="decimal"/>
      <w:lvlText w:val="%1."/>
      <w:lvlJc w:val="left"/>
      <w:pPr>
        <w:tabs>
          <w:tab w:val="num" w:pos="0"/>
        </w:tabs>
        <w:ind w:left="180" w:hanging="360"/>
      </w:pPr>
      <w:rPr/>
    </w:lvl>
    <w:lvl w:ilvl="1">
      <w:start w:val="1"/>
      <w:numFmt w:val="lowerLetter"/>
      <w:lvlText w:val="%2)"/>
      <w:lvlJc w:val="left"/>
      <w:pPr>
        <w:tabs>
          <w:tab w:val="num" w:pos="0"/>
        </w:tabs>
        <w:ind w:left="660" w:hanging="420"/>
      </w:pPr>
    </w:lvl>
    <w:lvl w:ilvl="2">
      <w:start w:val="1"/>
      <w:numFmt w:val="lowerRoman"/>
      <w:lvlText w:val="%3."/>
      <w:lvlJc w:val="right"/>
      <w:pPr>
        <w:tabs>
          <w:tab w:val="num" w:pos="0"/>
        </w:tabs>
        <w:ind w:left="1080" w:hanging="420"/>
      </w:pPr>
    </w:lvl>
    <w:lvl w:ilvl="3">
      <w:start w:val="1"/>
      <w:numFmt w:val="decimal"/>
      <w:lvlText w:val="%4."/>
      <w:lvlJc w:val="left"/>
      <w:pPr>
        <w:tabs>
          <w:tab w:val="num" w:pos="0"/>
        </w:tabs>
        <w:ind w:left="1500" w:hanging="420"/>
      </w:pPr>
    </w:lvl>
    <w:lvl w:ilvl="4">
      <w:start w:val="1"/>
      <w:numFmt w:val="lowerLetter"/>
      <w:lvlText w:val="%5)"/>
      <w:lvlJc w:val="left"/>
      <w:pPr>
        <w:tabs>
          <w:tab w:val="num" w:pos="0"/>
        </w:tabs>
        <w:ind w:left="1920" w:hanging="420"/>
      </w:pPr>
    </w:lvl>
    <w:lvl w:ilvl="5">
      <w:start w:val="1"/>
      <w:numFmt w:val="lowerRoman"/>
      <w:lvlText w:val="%6."/>
      <w:lvlJc w:val="right"/>
      <w:pPr>
        <w:tabs>
          <w:tab w:val="num" w:pos="0"/>
        </w:tabs>
        <w:ind w:left="2340" w:hanging="420"/>
      </w:pPr>
    </w:lvl>
    <w:lvl w:ilvl="6">
      <w:start w:val="1"/>
      <w:numFmt w:val="decimal"/>
      <w:lvlText w:val="%7."/>
      <w:lvlJc w:val="left"/>
      <w:pPr>
        <w:tabs>
          <w:tab w:val="num" w:pos="0"/>
        </w:tabs>
        <w:ind w:left="2760" w:hanging="420"/>
      </w:pPr>
    </w:lvl>
    <w:lvl w:ilvl="7">
      <w:start w:val="1"/>
      <w:numFmt w:val="lowerLetter"/>
      <w:lvlText w:val="%8)"/>
      <w:lvlJc w:val="left"/>
      <w:pPr>
        <w:tabs>
          <w:tab w:val="num" w:pos="0"/>
        </w:tabs>
        <w:ind w:left="3180" w:hanging="420"/>
      </w:pPr>
    </w:lvl>
    <w:lvl w:ilvl="8">
      <w:start w:val="1"/>
      <w:numFmt w:val="lowerRoman"/>
      <w:lvlText w:val="%9."/>
      <w:lvlJc w:val="right"/>
      <w:pPr>
        <w:tabs>
          <w:tab w:val="num" w:pos="0"/>
        </w:tabs>
        <w:ind w:left="3600" w:hanging="420"/>
      </w:pPr>
    </w:lvl>
  </w:abstractNum>
  <w:abstractNum w:abstractNumId="4">
    <w:lvl w:ilvl="0">
      <w:start w:val="5"/>
      <w:numFmt w:val="decimal"/>
      <w:lvlText w:val="%1"/>
      <w:lvlJc w:val="left"/>
      <w:pPr>
        <w:tabs>
          <w:tab w:val="num" w:pos="0"/>
        </w:tabs>
        <w:ind w:left="360" w:hanging="360"/>
      </w:pPr>
      <w:rPr/>
    </w:lvl>
    <w:lvl w:ilvl="1">
      <w:start w:val="2"/>
      <w:numFmt w:val="decimal"/>
      <w:lvlText w:val="%1.%2"/>
      <w:lvlJc w:val="left"/>
      <w:pPr>
        <w:tabs>
          <w:tab w:val="num" w:pos="42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5">
    <w:lvl w:ilvl="0">
      <w:start w:val="5"/>
      <w:numFmt w:val="decimal"/>
      <w:lvlText w:val="%1"/>
      <w:lvlJc w:val="left"/>
      <w:pPr>
        <w:tabs>
          <w:tab w:val="num" w:pos="0"/>
        </w:tabs>
        <w:ind w:left="360" w:hanging="360"/>
      </w:pPr>
      <w:rPr/>
    </w:lvl>
    <w:lvl w:ilvl="1">
      <w:start w:val="3"/>
      <w:numFmt w:val="decimal"/>
      <w:lvlText w:val="%1.%2"/>
      <w:lvlJc w:val="left"/>
      <w:pPr>
        <w:tabs>
          <w:tab w:val="num" w:pos="420"/>
        </w:tabs>
        <w:ind w:left="540" w:hanging="360"/>
      </w:pPr>
      <w:rPr/>
    </w:lvl>
    <w:lvl w:ilvl="2">
      <w:start w:val="1"/>
      <w:numFmt w:val="decimal"/>
      <w:lvlText w:val="%1.%2.%3"/>
      <w:lvlJc w:val="left"/>
      <w:pPr>
        <w:tabs>
          <w:tab w:val="num" w:pos="0"/>
        </w:tabs>
        <w:ind w:left="900" w:hanging="720"/>
      </w:pPr>
      <w:rPr/>
    </w:lvl>
    <w:lvl w:ilvl="3">
      <w:start w:val="1"/>
      <w:numFmt w:val="decimal"/>
      <w:lvlText w:val="%1.%2.%3.%4"/>
      <w:lvlJc w:val="left"/>
      <w:pPr>
        <w:tabs>
          <w:tab w:val="num" w:pos="0"/>
        </w:tabs>
        <w:ind w:left="90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等线"/>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ascii="Wingdings" w:hAnsi="Wingdings" w:cs="Wingdings"/>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Style12">
    <w:name w:val="默认段落字体"/>
    <w:qFormat/>
    <w:rPr/>
  </w:style>
  <w:style w:type="character" w:styleId="PageNumber">
    <w:name w:val="Page Number"/>
    <w:basedOn w:val="Style12"/>
    <w:rPr/>
  </w:style>
  <w:style w:type="character" w:styleId="Tpccontent1">
    <w:name w:val="tpc_content1"/>
    <w:qFormat/>
    <w:rPr>
      <w:sz w:val="20"/>
      <w:szCs w:val="20"/>
    </w:rPr>
  </w:style>
  <w:style w:type="character" w:styleId="Style13">
    <w:name w:val="页眉 字符"/>
    <w:qFormat/>
    <w:rPr>
      <w:kern w:val="2"/>
      <w:sz w:val="18"/>
      <w:szCs w:val="18"/>
    </w:rPr>
  </w:style>
  <w:style w:type="character" w:styleId="St1">
    <w:name w:val="st1"/>
    <w:basedOn w:val="Style12"/>
    <w:qFormat/>
    <w:rPr/>
  </w:style>
  <w:style w:type="character" w:styleId="Style14">
    <w:name w:val="日期 字符"/>
    <w:qFormat/>
    <w:rPr>
      <w:kern w:val="2"/>
      <w:sz w:val="21"/>
    </w:rPr>
  </w:style>
  <w:style w:type="character" w:styleId="3">
    <w:name w:val="标题 3 字符"/>
    <w:qFormat/>
    <w:rPr>
      <w:b/>
      <w:bCs/>
      <w:kern w:val="2"/>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left"/>
    </w:pPr>
    <w:rPr>
      <w:rFonts w:ascii="Arial Unicode MS;宋体" w:hAnsi="Arial Unicode MS;宋体" w:eastAsia="Times New Roman" w:cs="Arial Unicode MS;宋体"/>
      <w:color w:val="000066"/>
      <w:kern w:val="0"/>
      <w:sz w:val="24"/>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Style16">
    <w:name w:val="日期"/>
    <w:basedOn w:val="Normal"/>
    <w:next w:val="Normal"/>
    <w:qFormat/>
    <w:pPr/>
    <w:rPr>
      <w:szCs w:val="20"/>
    </w:rPr>
  </w:style>
  <w:style w:type="paragraph" w:styleId="TextBodyIndent">
    <w:name w:val="Body Text Indent"/>
    <w:basedOn w:val="Normal"/>
    <w:pPr>
      <w:spacing w:before="0" w:after="120"/>
      <w:ind w:left="420" w:hanging="0"/>
    </w:pPr>
    <w:rPr/>
  </w:style>
  <w:style w:type="paragraph" w:styleId="31">
    <w:name w:val="正文文本缩进 3"/>
    <w:basedOn w:val="Normal"/>
    <w:qFormat/>
    <w:pPr>
      <w:widowControl/>
      <w:spacing w:before="0" w:after="120"/>
      <w:ind w:left="420" w:hanging="0"/>
      <w:jc w:val="left"/>
    </w:pPr>
    <w:rPr>
      <w:rFonts w:ascii="宋体" w:hAnsi="宋体" w:cs="宋体"/>
      <w:kern w:val="0"/>
      <w:sz w:val="16"/>
      <w:szCs w:val="16"/>
    </w:rPr>
  </w:style>
  <w:style w:type="paragraph" w:styleId="Style17">
    <w:name w:val="正文缩进"/>
    <w:basedOn w:val="Normal"/>
    <w:qFormat/>
    <w:pPr>
      <w:widowControl/>
      <w:overflowPunct w:val="false"/>
      <w:autoSpaceDE w:val="false"/>
      <w:ind w:left="567" w:hanging="567"/>
      <w:jc w:val="left"/>
      <w:textAlignment w:val="baseline"/>
    </w:pPr>
    <w:rPr>
      <w:kern w:val="0"/>
      <w:sz w:val="20"/>
      <w:szCs w:val="20"/>
    </w:rPr>
  </w:style>
  <w:style w:type="paragraph" w:styleId="ParaCharCharCharChar">
    <w:name w:val="默认段落字体 Para Char Char Char Cha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43200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2020-06-01T16:58:00Z</dcterms:created>
  <dc:creator>Hu</dc:creator>
  <dc:description/>
  <dc:language>en-US</dc:language>
  <cp:lastModifiedBy>湖洋</cp:lastModifiedBy>
  <dcterms:modified xsi:type="dcterms:W3CDTF">2021-06-08T19:30:40Z</dcterms:modified>
  <cp:revision>8</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