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宋体;SimSun" w:hAnsi="宋体;SimSun" w:eastAsia="宋体;SimSun" w:cs="宋体;SimSun"/>
          <w:b/>
          <w:b/>
          <w:sz w:val="32"/>
          <w:szCs w:val="32"/>
          <w:lang w:val="zh-CN"/>
        </w:rPr>
      </w:pPr>
      <w:r>
        <w:rPr>
          <w:rFonts w:eastAsia="宋体;SimSun" w:cs="宋体;SimSun" w:ascii="宋体;SimSun" w:hAnsi="宋体;SimSun"/>
          <w:b/>
          <w:sz w:val="32"/>
          <w:szCs w:val="32"/>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eastAsia="宋体;SimSun" w:cs="宋体;SimSun" w:ascii="宋体;SimSun" w:hAnsi="宋体;SimSun"/>
          <w:b/>
          <w:sz w:val="32"/>
          <w:szCs w:val="32"/>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lang w:val="zh-CN"/>
        </w:rPr>
        <w:t>上海深至信息科技有限公司</w:t>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lang w:val="zh-CN"/>
        </w:rPr>
        <w:t>质量管理体系文件</w:t>
      </w:r>
    </w:p>
    <w:p>
      <w:pPr>
        <w:pStyle w:val="Normal"/>
        <w:autoSpaceDE w:val="false"/>
        <w:spacing w:lineRule="exact" w:line="440"/>
        <w:jc w:val="center"/>
        <w:rPr>
          <w:rFonts w:ascii="宋体;SimSun" w:hAnsi="宋体;SimSun" w:eastAsia="宋体;SimSun" w:cs="宋体;SimSun"/>
          <w:b/>
          <w:b/>
          <w:sz w:val="32"/>
          <w:szCs w:val="32"/>
          <w:lang w:val="zh-CN"/>
        </w:rPr>
      </w:pPr>
      <w:r>
        <mc:AlternateContent>
          <mc:Choice Requires="wps">
            <w:drawing>
              <wp:anchor behindDoc="0" distT="0" distB="0" distL="114935" distR="114935" simplePos="0" locked="0" layoutInCell="0" allowOverlap="1" relativeHeight="2">
                <wp:simplePos x="0" y="0"/>
                <wp:positionH relativeFrom="column">
                  <wp:posOffset>22225</wp:posOffset>
                </wp:positionH>
                <wp:positionV relativeFrom="paragraph">
                  <wp:posOffset>422275</wp:posOffset>
                </wp:positionV>
                <wp:extent cx="5715000" cy="0"/>
                <wp:effectExtent l="0" t="38100" r="0" b="38100"/>
                <wp:wrapNone/>
                <wp:docPr id="1" name="直线 2"/>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2" stroked="t" o:allowincell="f" style="position:absolute">
                <v:stroke color="black" weight="76320" joinstyle="miter" endcap="flat"/>
                <v:fill o:detectmouseclick="t" on="false"/>
                <w10:wrap type="none"/>
              </v:line>
            </w:pict>
          </mc:Fallback>
        </mc:AlternateContent>
      </w:r>
      <w:r>
        <w:rPr>
          <w:rFonts w:eastAsia="宋体;SimSun" w:cs="宋体;SimSun" w:ascii="宋体;SimSun" w:hAnsi="宋体;SimSun"/>
          <w:b/>
          <w:sz w:val="32"/>
          <w:szCs w:val="32"/>
          <w:lang w:val="zh-CN"/>
        </w:rPr>
        <w:t xml:space="preserve">  </w:t>
      </w:r>
    </w:p>
    <w:p>
      <w:pPr>
        <w:pStyle w:val="Normal"/>
        <w:autoSpaceDE w:val="false"/>
        <w:spacing w:lineRule="exact" w:line="440"/>
        <w:jc w:val="center"/>
        <w:rPr>
          <w:rFonts w:ascii="宋体;SimSun" w:hAnsi="宋体;SimSun" w:eastAsia="宋体;SimSun" w:cs="宋体;SimSun"/>
          <w:b/>
          <w:b/>
          <w:sz w:val="28"/>
          <w:szCs w:val="28"/>
          <w:lang w:val="zh-CN"/>
        </w:rPr>
      </w:pPr>
      <w:r>
        <w:rPr>
          <w:rFonts w:eastAsia="宋体;SimSun" w:cs="宋体;SimSun" w:ascii="宋体;SimSun" w:hAnsi="宋体;SimSun"/>
          <w:b/>
          <w:sz w:val="28"/>
          <w:szCs w:val="28"/>
          <w:lang w:val="zh-CN"/>
        </w:rPr>
      </w:r>
    </w:p>
    <w:p>
      <w:pPr>
        <w:pStyle w:val="Normal"/>
        <w:autoSpaceDE w:val="false"/>
        <w:spacing w:lineRule="exact" w:line="440"/>
        <w:rPr>
          <w:rFonts w:ascii="宋体;SimSun" w:hAnsi="宋体;SimSun" w:eastAsia="宋体;SimSun" w:cs="宋体;SimSun"/>
          <w:b/>
          <w:b/>
          <w:sz w:val="28"/>
          <w:szCs w:val="28"/>
          <w:lang w:val="zh-CN"/>
        </w:rPr>
      </w:pPr>
      <w:r>
        <w:rPr>
          <w:rFonts w:eastAsia="宋体;SimSun" w:cs="宋体;SimSun" w:ascii="宋体;SimSun" w:hAnsi="宋体;SimSun"/>
          <w:b/>
          <w:sz w:val="28"/>
          <w:szCs w:val="28"/>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lang w:val="zh-CN"/>
        </w:rPr>
        <w:t>标识和可追溯性控制程序</w:t>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lang w:val="zh-CN"/>
        </w:rPr>
      </w:pPr>
      <w:r>
        <w:rPr>
          <w:rFonts w:eastAsia="宋体;SimSun" w:cs="宋体;SimSun" w:ascii="宋体;SimSun" w:hAnsi="宋体;SimSun"/>
          <w:b/>
          <w:sz w:val="30"/>
          <w:szCs w:val="30"/>
          <w:lang w:val="zh-CN"/>
        </w:rPr>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tbl>
      <w:tblPr>
        <w:tblW w:w="3960" w:type="dxa"/>
        <w:jc w:val="left"/>
        <w:tblInd w:w="262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eastAsia="宋体;SimSun" w:cs="宋体;SimSun" w:ascii="宋体;SimSun" w:hAnsi="宋体;SimSun"/>
                <w:sz w:val="30"/>
                <w:szCs w:val="30"/>
              </w:rPr>
              <w:t>QMS-P13</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ascii="宋体;SimSun" w:hAnsi="宋体;SimSun" w:cs="宋体;SimSun" w:eastAsia="宋体;SimSun"/>
                <w:sz w:val="30"/>
                <w:szCs w:val="30"/>
              </w:rPr>
              <w:t>质量部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eastAsia="宋体;SimSun" w:cs="宋体;SimSun" w:ascii="宋体;SimSun" w:hAnsi="宋体;SimSun"/>
                <w:sz w:val="30"/>
                <w:szCs w:val="30"/>
              </w:rPr>
              <w:t>A00</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tc>
      </w:tr>
    </w:tbl>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p>
      <w:pPr>
        <w:pStyle w:val="Normal"/>
        <w:tabs>
          <w:tab w:val="clear" w:pos="420"/>
          <w:tab w:val="left" w:pos="3420" w:leader="none"/>
        </w:tabs>
        <w:autoSpaceDE w:val="false"/>
        <w:spacing w:lineRule="auto" w:line="480"/>
        <w:ind w:firstLine="1560"/>
        <w:rPr>
          <w:rFonts w:ascii="宋体;SimSun" w:hAnsi="宋体;SimSun" w:eastAsia="宋体;SimSun" w:cs="宋体;SimSun"/>
          <w:b/>
          <w:b/>
          <w:sz w:val="30"/>
          <w:szCs w:val="30"/>
        </w:rPr>
      </w:pPr>
      <w:bookmarkStart w:id="0" w:name="_Hlk72919458"/>
      <w:bookmarkEnd w:id="0"/>
      <w:r>
        <w:rPr>
          <w:rFonts w:ascii="宋体;SimSun" w:hAnsi="宋体;SimSun" w:cs="宋体;SimSun" w:eastAsia="宋体;SimSun"/>
          <w:b/>
          <w:sz w:val="30"/>
          <w:szCs w:val="30"/>
        </w:rPr>
        <w:t>起草人：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p>
    <w:p>
      <w:pPr>
        <w:pStyle w:val="Normal"/>
        <w:tabs>
          <w:tab w:val="clear" w:pos="420"/>
          <w:tab w:val="left" w:pos="3420" w:leader="none"/>
        </w:tabs>
        <w:autoSpaceDE w:val="false"/>
        <w:spacing w:lineRule="auto" w:line="480"/>
        <w:ind w:firstLine="1560"/>
        <w:rPr>
          <w:rFonts w:ascii="宋体;SimSun" w:hAnsi="宋体;SimSun" w:eastAsia="宋体;SimSun" w:cs="宋体;SimSun"/>
          <w:b/>
          <w:b/>
          <w:sz w:val="30"/>
          <w:szCs w:val="30"/>
        </w:rPr>
      </w:pPr>
      <w:r>
        <w:rPr>
          <w:rFonts w:ascii="宋体;SimSun" w:hAnsi="宋体;SimSun" w:cs="宋体;SimSun" w:eastAsia="宋体;SimSun"/>
          <w:b/>
          <w:sz w:val="30"/>
          <w:szCs w:val="30"/>
        </w:rPr>
        <w:t>审核人：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p>
    <w:p>
      <w:pPr>
        <w:pStyle w:val="Normal"/>
        <w:tabs>
          <w:tab w:val="clear" w:pos="420"/>
          <w:tab w:val="left" w:pos="3420" w:leader="none"/>
        </w:tabs>
        <w:autoSpaceDE w:val="false"/>
        <w:spacing w:lineRule="auto" w:line="480"/>
        <w:ind w:firstLine="1560"/>
        <w:rPr>
          <w:rFonts w:ascii="宋体;SimSun" w:hAnsi="宋体;SimSun" w:eastAsia="宋体;SimSun" w:cs="宋体;SimSun"/>
          <w:b/>
          <w:b/>
          <w:sz w:val="30"/>
          <w:szCs w:val="30"/>
        </w:rPr>
      </w:pPr>
      <w:r>
        <w:rPr>
          <w:rFonts w:ascii="宋体;SimSun" w:hAnsi="宋体;SimSun" w:cs="宋体;SimSun" w:eastAsia="宋体;SimSun"/>
          <w:b/>
          <w:sz w:val="30"/>
          <w:szCs w:val="30"/>
        </w:rPr>
        <w:t>批准人：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p>
    <w:p>
      <w:pPr>
        <w:pStyle w:val="Normal"/>
        <w:ind w:right="-351" w:hanging="0"/>
        <w:rPr>
          <w:rFonts w:ascii="宋体;SimSun" w:hAnsi="宋体;SimSun" w:eastAsia="宋体;SimSun" w:cs="宋体;SimSun"/>
          <w:b/>
          <w:b/>
          <w:sz w:val="24"/>
          <w:szCs w:val="30"/>
        </w:rPr>
      </w:pPr>
      <w:r>
        <w:rPr>
          <w:rFonts w:eastAsia="宋体;SimSun" w:cs="宋体;SimSun" w:ascii="宋体;SimSun" w:hAnsi="宋体;SimSun"/>
          <w:b/>
          <w:sz w:val="24"/>
          <w:szCs w:val="30"/>
        </w:rPr>
      </w:r>
      <w:bookmarkStart w:id="1" w:name="_Hlk72919458"/>
      <w:bookmarkStart w:id="2" w:name="_Hlk72919458"/>
      <w:bookmarkEnd w:id="2"/>
    </w:p>
    <w:p>
      <w:pPr>
        <w:pStyle w:val="Normal"/>
        <w:rPr>
          <w:rFonts w:ascii="宋体;SimSun" w:hAnsi="宋体;SimSun" w:eastAsia="宋体;SimSun" w:cs="宋体;SimSun"/>
          <w:b/>
          <w:b/>
          <w:sz w:val="24"/>
        </w:rPr>
      </w:pPr>
      <w:r>
        <w:rPr>
          <w:rFonts w:eastAsia="宋体;SimSun" w:cs="宋体;SimSun" w:ascii="宋体;SimSun" w:hAnsi="宋体;SimSun"/>
          <w:b/>
          <w:sz w:val="24"/>
        </w:rPr>
      </w:r>
    </w:p>
    <w:p>
      <w:pPr>
        <w:pStyle w:val="Normal"/>
        <w:ind w:right="-351" w:hanging="0"/>
        <w:rPr>
          <w:rFonts w:ascii="宋体;SimSun" w:hAnsi="宋体;SimSun" w:eastAsia="宋体;SimSun" w:cs="宋体;SimSun"/>
          <w:b/>
          <w:b/>
          <w:sz w:val="24"/>
        </w:rPr>
      </w:pPr>
      <w:r>
        <w:rPr>
          <w:rFonts w:eastAsia="宋体;SimSun" w:cs="宋体;SimSun" w:ascii="宋体;SimSun" w:hAnsi="宋体;SimSun"/>
          <w:b/>
          <w:sz w:val="24"/>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 w:val="left" w:pos="9240"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2" w:hanging="0"/>
        <w:rPr>
          <w:rFonts w:ascii="宋体;SimSun" w:hAnsi="宋体;SimSun" w:eastAsia="宋体;SimSun" w:cs="宋体;SimSun"/>
          <w:b/>
          <w:b/>
          <w:sz w:val="24"/>
          <w:u w:val="single"/>
        </w:rPr>
      </w:pPr>
      <w:r>
        <w:rPr>
          <w:rFonts w:eastAsia="宋体;SimSun" w:cs="宋体;SimSun" w:ascii="宋体;SimSun" w:hAnsi="宋体;SimSun"/>
          <w:b/>
          <w:sz w:val="24"/>
          <w:u w:val="single"/>
        </w:rPr>
        <w:t xml:space="preserve">                                                                      </w:t>
      </w:r>
      <w:r>
        <w:rPr>
          <w:rFonts w:eastAsia="宋体;SimSun" w:cs="宋体;SimSun" w:ascii="宋体;SimSun" w:hAnsi="宋体;SimSun"/>
          <w:b/>
          <w:sz w:val="24"/>
          <w:u w:val="single"/>
        </w:rPr>
        <w:t xml:space="preserve">   </w:t>
      </w:r>
      <w:r>
        <w:rPr>
          <w:rFonts w:eastAsia="宋体;SimSun" w:cs="宋体;SimSun" w:ascii="宋体;SimSun" w:hAnsi="宋体;SimSun"/>
          <w:b/>
          <w:sz w:val="24"/>
          <w:u w:val="single"/>
        </w:rPr>
        <w:t xml:space="preserve">  </w:t>
      </w:r>
    </w:p>
    <w:p>
      <w:pPr>
        <w:pStyle w:val="Normal"/>
        <w:tabs>
          <w:tab w:val="clear" w:pos="420"/>
          <w:tab w:val="left" w:pos="7513" w:leader="none"/>
        </w:tabs>
        <w:ind w:right="-2" w:firstLine="482"/>
        <w:rPr>
          <w:rFonts w:ascii="宋体;SimSun" w:hAnsi="宋体;SimSun" w:eastAsia="宋体;SimSun" w:cs="宋体;SimSun"/>
          <w:b/>
          <w:b/>
          <w:color w:val="FF0000"/>
          <w:sz w:val="24"/>
        </w:rPr>
      </w:pPr>
      <w:r>
        <w:rPr>
          <w:rFonts w:ascii="宋体;SimSun" w:hAnsi="宋体;SimSun" w:cs="宋体;SimSun" w:eastAsia="宋体;SimSun"/>
          <w:b/>
          <w:sz w:val="24"/>
        </w:rPr>
        <w:t>分发部门：</w:t>
      </w:r>
      <w:r>
        <w:rPr>
          <w:rFonts w:ascii="宋体;SimSun" w:hAnsi="宋体;SimSun" w:cs="宋体;SimSun" w:eastAsia="宋体;SimSun"/>
          <w:bCs/>
          <w:sz w:val="24"/>
        </w:rPr>
        <w:t>质量部、生产</w:t>
      </w:r>
      <w:r>
        <w:rPr>
          <w:rFonts w:eastAsia="宋体;SimSun" w:cs="宋体;SimSun" w:ascii="宋体;SimSun" w:hAnsi="宋体;SimSun"/>
          <w:bCs/>
          <w:sz w:val="24"/>
        </w:rPr>
        <w:t>/</w:t>
      </w:r>
      <w:r>
        <w:rPr>
          <w:rFonts w:ascii="宋体;SimSun" w:hAnsi="宋体;SimSun" w:cs="宋体;SimSun" w:eastAsia="宋体;SimSun"/>
          <w:bCs/>
          <w:sz w:val="24"/>
        </w:rPr>
        <w:t>运维部、行政部、研发部、销售部</w:t>
      </w:r>
      <w:r>
        <w:rPr>
          <w:rFonts w:ascii="宋体;SimSun" w:hAnsi="宋体;SimSun" w:cs="宋体;SimSun" w:eastAsia="宋体;SimSun"/>
          <w:b/>
          <w:sz w:val="24"/>
        </w:rPr>
        <w:t xml:space="preserve">  </w:t>
      </w:r>
      <w:r>
        <w:rPr>
          <w:rFonts w:ascii="宋体;SimSun" w:hAnsi="宋体;SimSun" w:cs="宋体;SimSun" w:eastAsia="宋体;SimSun"/>
          <w:b/>
          <w:color w:val="FF0000"/>
          <w:sz w:val="24"/>
        </w:rPr>
        <w:t>生效日期：</w:t>
      </w:r>
      <w:r>
        <w:rPr>
          <w:rFonts w:eastAsia="宋体;SimSun" w:cs="宋体;SimSun" w:ascii="宋体;SimSun" w:hAnsi="宋体;SimSun"/>
          <w:bCs/>
          <w:color w:val="FF0000"/>
          <w:sz w:val="24"/>
        </w:rPr>
        <w:t>20</w:t>
      </w:r>
      <w:r>
        <w:rPr>
          <w:rFonts w:eastAsia="宋体;SimSun" w:cs="宋体;SimSun" w:ascii="宋体;SimSun" w:hAnsi="宋体;SimSun"/>
          <w:bCs/>
          <w:color w:val="FF0000"/>
          <w:sz w:val="24"/>
        </w:rPr>
        <w:t>20-06</w:t>
      </w:r>
      <w:r>
        <w:rPr>
          <w:rFonts w:eastAsia="宋体;SimSun" w:cs="宋体;SimSun" w:ascii="宋体;SimSun" w:hAnsi="宋体;SimSun"/>
          <w:bCs/>
          <w:color w:val="FF0000"/>
          <w:sz w:val="24"/>
        </w:rPr>
        <w:t>-</w:t>
      </w:r>
      <w:r>
        <w:rPr>
          <w:rFonts w:eastAsia="宋体;SimSun" w:cs="宋体;SimSun" w:ascii="宋体;SimSun" w:hAnsi="宋体;SimSun"/>
          <w:bCs/>
          <w:color w:val="FF0000"/>
          <w:sz w:val="24"/>
        </w:rPr>
        <w:t>22</w:t>
      </w:r>
    </w:p>
    <w:p>
      <w:pPr>
        <w:sectPr>
          <w:footerReference w:type="default" r:id="rId2"/>
          <w:footerReference w:type="first" r:id="rId3"/>
          <w:type w:val="nextPage"/>
          <w:pgSz w:w="11906" w:h="16838"/>
          <w:pgMar w:left="1418" w:right="1418" w:gutter="0" w:header="0" w:top="1134" w:footer="992" w:bottom="1134"/>
          <w:pgNumType w:fmt="decimal"/>
          <w:formProt w:val="false"/>
          <w:titlePg/>
          <w:textDirection w:val="lrTb"/>
          <w:docGrid w:type="lines" w:linePitch="312" w:charSpace="0"/>
        </w:sectPr>
      </w:pPr>
    </w:p>
    <w:p>
      <w:pPr>
        <w:pStyle w:val="Normal"/>
        <w:numPr>
          <w:ilvl w:val="0"/>
          <w:numId w:val="0"/>
        </w:numPr>
        <w:rPr>
          <w:rFonts w:ascii="宋体;SimSun" w:hAnsi="宋体;SimSun" w:eastAsia="宋体;SimSun" w:cs="宋体;SimSun"/>
          <w:b/>
          <w:b/>
          <w:color w:val="FF0000"/>
          <w:sz w:val="24"/>
        </w:rPr>
      </w:pPr>
      <w:r>
        <w:rPr>
          <w:rFonts w:eastAsia="宋体;SimSun" w:cs="宋体;SimSun" w:ascii="宋体;SimSun" w:hAnsi="宋体;SimSun"/>
          <w:b/>
          <w:color w:val="FF0000"/>
          <w:sz w:val="24"/>
        </w:rPr>
      </w:r>
    </w:p>
    <w:p>
      <w:pPr>
        <w:sectPr>
          <w:headerReference w:type="default" r:id="rId4"/>
          <w:footerReference w:type="default" r:id="rId5"/>
          <w:type w:val="nextPage"/>
          <w:pgSz w:w="11906" w:h="16838"/>
          <w:pgMar w:left="1134" w:right="1134" w:gutter="0" w:header="851" w:top="1134" w:footer="992" w:bottom="1134"/>
          <w:pgNumType w:start="1" w:fmt="decimal"/>
          <w:formProt w:val="false"/>
          <w:textDirection w:val="lrTb"/>
          <w:docGrid w:type="lines" w:linePitch="312" w:charSpace="0"/>
        </w:sectPr>
      </w:pPr>
    </w:p>
    <w:p>
      <w:pPr>
        <w:pStyle w:val="Normal"/>
        <w:autoSpaceDE w:val="false"/>
        <w:spacing w:lineRule="auto" w:line="360"/>
        <w:rPr>
          <w:rFonts w:ascii="宋体;SimSun" w:hAnsi="宋体;SimSun" w:eastAsia="宋体;SimSun" w:cs="宋体;SimSun"/>
          <w:b/>
          <w:b/>
          <w:bCs/>
        </w:rPr>
      </w:pPr>
      <w:r>
        <w:rPr>
          <w:rFonts w:eastAsia="宋体;SimSun" w:cs="宋体;SimSun" w:ascii="宋体;SimSun" w:hAnsi="宋体;SimSun"/>
        </w:rPr>
        <w:t xml:space="preserve">1. </w:t>
      </w:r>
      <w:r>
        <w:rPr>
          <w:rFonts w:ascii="宋体;SimSun" w:hAnsi="宋体;SimSun" w:cs="宋体;SimSun" w:eastAsia="宋体;SimSun"/>
          <w:b/>
          <w:bCs/>
        </w:rPr>
        <w:t>目的：</w:t>
      </w:r>
      <w:r>
        <w:rPr>
          <w:rFonts w:ascii="宋体;SimSun" w:hAnsi="宋体;SimSun" w:cs="宋体;SimSun" w:eastAsia="宋体;SimSun"/>
        </w:rPr>
        <w:t>对产品和检验、试验状态以适当的方式进行标识，防止从原材料进入公司至成品交付的全过程产品混淆和误用，通过质量记录实现产品的可追溯性。</w:t>
      </w:r>
    </w:p>
    <w:p>
      <w:pPr>
        <w:pStyle w:val="Normal"/>
        <w:autoSpaceDE w:val="false"/>
        <w:spacing w:lineRule="auto" w:line="360"/>
        <w:rPr>
          <w:rFonts w:ascii="宋体;SimSun" w:hAnsi="宋体;SimSun" w:eastAsia="宋体;SimSun" w:cs="宋体;SimSun"/>
          <w:b/>
          <w:b/>
          <w:bCs/>
        </w:rPr>
      </w:pPr>
      <w:r>
        <w:rPr>
          <w:rFonts w:eastAsia="宋体;SimSun" w:cs="宋体;SimSun" w:ascii="宋体;SimSun" w:hAnsi="宋体;SimSun"/>
        </w:rPr>
        <w:t xml:space="preserve">2. </w:t>
      </w:r>
      <w:r>
        <w:rPr>
          <w:rFonts w:ascii="宋体;SimSun" w:hAnsi="宋体;SimSun" w:cs="宋体;SimSun" w:eastAsia="宋体;SimSun"/>
          <w:b/>
          <w:bCs/>
        </w:rPr>
        <w:t>范围：</w:t>
      </w:r>
      <w:r>
        <w:rPr>
          <w:rFonts w:ascii="宋体;SimSun" w:hAnsi="宋体;SimSun" w:cs="宋体;SimSun" w:eastAsia="宋体;SimSun"/>
        </w:rPr>
        <w:t>适用于从原材料采购、生产过程、检验和试验过程到成品交付各阶段产品的标识控制和可追溯性控制。不含软件可追溯性分析的内容。</w:t>
      </w:r>
    </w:p>
    <w:p>
      <w:pPr>
        <w:pStyle w:val="Normal"/>
        <w:autoSpaceDE w:val="false"/>
        <w:spacing w:lineRule="auto" w:line="360"/>
        <w:rPr>
          <w:rFonts w:ascii="宋体;SimSun" w:hAnsi="宋体;SimSun" w:eastAsia="宋体;SimSun" w:cs="宋体;SimSun"/>
          <w:b/>
          <w:b/>
          <w:bCs/>
        </w:rPr>
      </w:pPr>
      <w:r>
        <w:rPr>
          <w:rFonts w:eastAsia="宋体;SimSun" w:cs="宋体;SimSun" w:ascii="宋体;SimSun" w:hAnsi="宋体;SimSun"/>
        </w:rPr>
        <w:t xml:space="preserve">3. </w:t>
      </w:r>
      <w:r>
        <w:rPr>
          <w:rFonts w:ascii="宋体;SimSun" w:hAnsi="宋体;SimSun" w:cs="宋体;SimSun" w:eastAsia="宋体;SimSun"/>
          <w:b/>
          <w:bCs/>
        </w:rPr>
        <w:t>职责</w:t>
      </w:r>
    </w:p>
    <w:p>
      <w:pPr>
        <w:pStyle w:val="Normal"/>
        <w:autoSpaceDE w:val="false"/>
        <w:spacing w:lineRule="auto" w:line="360"/>
        <w:ind w:firstLine="424"/>
        <w:rPr>
          <w:rFonts w:ascii="宋体;SimSun" w:hAnsi="宋体;SimSun" w:eastAsia="宋体;SimSun" w:cs="宋体;SimSun"/>
        </w:rPr>
      </w:pPr>
      <w:r>
        <w:rPr>
          <w:rFonts w:eastAsia="宋体;SimSun" w:cs="宋体;SimSun" w:ascii="宋体;SimSun" w:hAnsi="宋体;SimSun"/>
        </w:rPr>
        <w:t xml:space="preserve">3.1. </w:t>
      </w:r>
      <w:r>
        <w:rPr>
          <w:rFonts w:ascii="宋体;SimSun" w:hAnsi="宋体;SimSun" w:cs="宋体;SimSun" w:eastAsia="宋体;SimSun"/>
        </w:rPr>
        <w:t>质量部负责原材料和成品的检验状态的标识；</w:t>
      </w:r>
    </w:p>
    <w:p>
      <w:pPr>
        <w:pStyle w:val="Normal"/>
        <w:autoSpaceDE w:val="false"/>
        <w:spacing w:lineRule="auto" w:line="360"/>
        <w:ind w:firstLine="424"/>
        <w:rPr>
          <w:rFonts w:ascii="宋体;SimSun" w:hAnsi="宋体;SimSun" w:eastAsia="宋体;SimSun" w:cs="宋体;SimSun"/>
        </w:rPr>
      </w:pPr>
      <w:r>
        <w:rPr>
          <w:rFonts w:eastAsia="宋体;SimSun" w:cs="宋体;SimSun" w:ascii="宋体;SimSun" w:hAnsi="宋体;SimSun"/>
        </w:rPr>
        <w:t xml:space="preserve">3.2. </w:t>
      </w:r>
      <w:r>
        <w:rPr>
          <w:rFonts w:ascii="宋体;SimSun" w:hAnsi="宋体;SimSun" w:cs="宋体;SimSun" w:eastAsia="宋体;SimSun"/>
        </w:rPr>
        <w:t>生产</w:t>
      </w:r>
      <w:r>
        <w:rPr>
          <w:rFonts w:eastAsia="宋体;SimSun" w:cs="宋体;SimSun" w:ascii="宋体;SimSun" w:hAnsi="宋体;SimSun"/>
        </w:rPr>
        <w:t>/</w:t>
      </w:r>
      <w:r>
        <w:rPr>
          <w:rFonts w:ascii="宋体;SimSun" w:hAnsi="宋体;SimSun" w:cs="宋体;SimSun" w:eastAsia="宋体;SimSun"/>
        </w:rPr>
        <w:t>运维部负责生产过程中产品的标识和设施、设备的状态标识；</w:t>
      </w:r>
    </w:p>
    <w:p>
      <w:pPr>
        <w:pStyle w:val="Normal"/>
        <w:autoSpaceDE w:val="false"/>
        <w:spacing w:lineRule="auto" w:line="360"/>
        <w:ind w:firstLine="424"/>
        <w:rPr>
          <w:rFonts w:ascii="宋体;SimSun" w:hAnsi="宋体;SimSun" w:eastAsia="宋体;SimSun" w:cs="宋体;SimSun"/>
        </w:rPr>
      </w:pPr>
      <w:r>
        <w:rPr>
          <w:rFonts w:eastAsia="宋体;SimSun" w:cs="宋体;SimSun" w:ascii="宋体;SimSun" w:hAnsi="宋体;SimSun"/>
        </w:rPr>
        <w:t xml:space="preserve">3.3. </w:t>
      </w:r>
      <w:r>
        <w:rPr>
          <w:rFonts w:ascii="宋体;SimSun" w:hAnsi="宋体;SimSun" w:cs="宋体;SimSun" w:eastAsia="宋体;SimSun"/>
        </w:rPr>
        <w:t>储运部负责库区物品的标识控制；</w:t>
      </w:r>
    </w:p>
    <w:p>
      <w:pPr>
        <w:pStyle w:val="Normal"/>
        <w:autoSpaceDE w:val="false"/>
        <w:spacing w:lineRule="auto" w:line="360"/>
        <w:ind w:firstLine="424"/>
        <w:rPr>
          <w:rFonts w:ascii="宋体;SimSun" w:hAnsi="宋体;SimSun" w:eastAsia="宋体;SimSun" w:cs="宋体;SimSun"/>
        </w:rPr>
      </w:pPr>
      <w:r>
        <w:rPr>
          <w:rFonts w:eastAsia="宋体;SimSun" w:cs="宋体;SimSun" w:ascii="宋体;SimSun" w:hAnsi="宋体;SimSun"/>
        </w:rPr>
        <w:t xml:space="preserve">3.4. </w:t>
      </w:r>
      <w:r>
        <w:rPr>
          <w:rFonts w:ascii="宋体;SimSun" w:hAnsi="宋体;SimSun" w:cs="宋体;SimSun" w:eastAsia="宋体;SimSun"/>
        </w:rPr>
        <w:t>销售部负责按规范要求进行销售记录的填写；</w:t>
      </w:r>
    </w:p>
    <w:p>
      <w:pPr>
        <w:pStyle w:val="Normal"/>
        <w:autoSpaceDE w:val="false"/>
        <w:spacing w:lineRule="auto" w:line="360"/>
        <w:rPr>
          <w:rFonts w:ascii="宋体;SimSun" w:hAnsi="宋体;SimSun" w:eastAsia="宋体;SimSun" w:cs="宋体;SimSun"/>
          <w:b/>
          <w:b/>
        </w:rPr>
      </w:pPr>
      <w:r>
        <w:rPr>
          <w:rFonts w:eastAsia="宋体;SimSun" w:cs="宋体;SimSun" w:ascii="宋体;SimSun" w:hAnsi="宋体;SimSun"/>
          <w:b/>
        </w:rPr>
        <w:t xml:space="preserve">4. </w:t>
      </w:r>
      <w:r>
        <w:rPr>
          <w:rFonts w:ascii="宋体;SimSun" w:hAnsi="宋体;SimSun" w:cs="宋体;SimSun" w:eastAsia="宋体;SimSun"/>
          <w:b/>
        </w:rPr>
        <w:t>程序</w:t>
      </w:r>
    </w:p>
    <w:p>
      <w:pPr>
        <w:pStyle w:val="Normal"/>
        <w:autoSpaceDE w:val="false"/>
        <w:spacing w:lineRule="auto" w:line="360"/>
        <w:rPr>
          <w:rFonts w:ascii="宋体;SimSun" w:hAnsi="宋体;SimSun" w:eastAsia="宋体;SimSun" w:cs="宋体;SimSun"/>
          <w:b/>
          <w:b/>
          <w:bCs/>
        </w:rPr>
      </w:pPr>
      <w:r>
        <w:rPr>
          <w:rFonts w:eastAsia="宋体;SimSun" w:cs="宋体;SimSun" w:ascii="宋体;SimSun" w:hAnsi="宋体;SimSun"/>
          <w:b/>
          <w:bCs/>
        </w:rPr>
        <w:t xml:space="preserve">4.1 </w:t>
      </w:r>
      <w:r>
        <w:rPr>
          <w:rFonts w:ascii="宋体;SimSun" w:hAnsi="宋体;SimSun" w:cs="宋体;SimSun" w:eastAsia="宋体;SimSun"/>
          <w:b/>
        </w:rPr>
        <w:t>产品标识的内容：</w:t>
      </w:r>
    </w:p>
    <w:p>
      <w:pPr>
        <w:pStyle w:val="Normal"/>
        <w:autoSpaceDE w:val="false"/>
        <w:spacing w:lineRule="auto" w:line="360"/>
        <w:ind w:firstLine="315"/>
        <w:rPr>
          <w:rFonts w:ascii="宋体;SimSun" w:hAnsi="宋体;SimSun" w:eastAsia="宋体;SimSun" w:cs="宋体;SimSun"/>
        </w:rPr>
      </w:pPr>
      <w:r>
        <w:rPr>
          <w:rFonts w:eastAsia="宋体;SimSun" w:cs="宋体;SimSun" w:ascii="宋体;SimSun" w:hAnsi="宋体;SimSun"/>
        </w:rPr>
        <w:t xml:space="preserve">4.1.1. </w:t>
      </w:r>
      <w:r>
        <w:rPr>
          <w:rFonts w:ascii="宋体;SimSun" w:hAnsi="宋体;SimSun" w:cs="宋体;SimSun" w:eastAsia="宋体;SimSun"/>
        </w:rPr>
        <w:t>原材料的标识应包括：产品名称、生产批号、生产厂家、地址、产品规格、数量、生产日期、失效日期等。必需的标识内容由供方提供，并在采购协议中给予规定。</w:t>
      </w:r>
    </w:p>
    <w:p>
      <w:pPr>
        <w:pStyle w:val="Normal"/>
        <w:autoSpaceDE w:val="false"/>
        <w:spacing w:lineRule="auto" w:line="360"/>
        <w:ind w:firstLine="283"/>
        <w:rPr>
          <w:rFonts w:ascii="宋体;SimSun" w:hAnsi="宋体;SimSun" w:eastAsia="宋体;SimSun" w:cs="宋体;SimSun"/>
        </w:rPr>
      </w:pPr>
      <w:r>
        <w:rPr>
          <w:rFonts w:eastAsia="宋体;SimSun" w:cs="宋体;SimSun" w:ascii="宋体;SimSun" w:hAnsi="宋体;SimSun"/>
        </w:rPr>
        <w:t xml:space="preserve">4.1.2. </w:t>
      </w:r>
      <w:r>
        <w:rPr>
          <w:rFonts w:ascii="宋体;SimSun" w:hAnsi="宋体;SimSun" w:cs="宋体;SimSun" w:eastAsia="宋体;SimSun"/>
        </w:rPr>
        <w:t>生产过程产品的标识应包括：产品名称、规格、生产批号或者</w:t>
      </w:r>
      <w:r>
        <w:rPr>
          <w:rFonts w:eastAsia="宋体;SimSun" w:cs="宋体;SimSun" w:ascii="宋体;SimSun" w:hAnsi="宋体;SimSun"/>
        </w:rPr>
        <w:t>SN</w:t>
      </w:r>
      <w:r>
        <w:rPr>
          <w:rFonts w:ascii="宋体;SimSun" w:hAnsi="宋体;SimSun" w:cs="宋体;SimSun" w:eastAsia="宋体;SimSun"/>
        </w:rPr>
        <w:t>号、数量、各生产过程操作者、生产日期、失效日期等。</w:t>
      </w:r>
    </w:p>
    <w:p>
      <w:pPr>
        <w:pStyle w:val="Normal"/>
        <w:autoSpaceDE w:val="false"/>
        <w:spacing w:lineRule="auto" w:line="360"/>
        <w:ind w:firstLine="283"/>
        <w:rPr>
          <w:rFonts w:ascii="宋体;SimSun" w:hAnsi="宋体;SimSun" w:eastAsia="宋体;SimSun" w:cs="宋体;SimSun"/>
        </w:rPr>
      </w:pPr>
      <w:r>
        <w:rPr>
          <w:rFonts w:eastAsia="宋体;SimSun" w:cs="宋体;SimSun" w:ascii="宋体;SimSun" w:hAnsi="宋体;SimSun"/>
        </w:rPr>
        <w:t xml:space="preserve">4.1.3. </w:t>
      </w:r>
      <w:r>
        <w:rPr>
          <w:rFonts w:ascii="宋体;SimSun" w:hAnsi="宋体;SimSun" w:cs="宋体;SimSun" w:eastAsia="宋体;SimSun"/>
        </w:rPr>
        <w:t>最终产品标识：在其包装袋和包装盒上都应明确标有产品名称、生产批号或者</w:t>
      </w:r>
      <w:r>
        <w:rPr>
          <w:rFonts w:eastAsia="宋体;SimSun" w:cs="宋体;SimSun" w:ascii="宋体;SimSun" w:hAnsi="宋体;SimSun"/>
        </w:rPr>
        <w:t>SN</w:t>
      </w:r>
      <w:r>
        <w:rPr>
          <w:rFonts w:ascii="宋体;SimSun" w:hAnsi="宋体;SimSun" w:cs="宋体;SimSun" w:eastAsia="宋体;SimSun"/>
        </w:rPr>
        <w:t>号、失效期等；</w:t>
      </w:r>
    </w:p>
    <w:p>
      <w:pPr>
        <w:pStyle w:val="Normal"/>
        <w:autoSpaceDE w:val="false"/>
        <w:spacing w:lineRule="auto" w:line="360"/>
        <w:ind w:left="283" w:firstLine="773"/>
        <w:rPr>
          <w:rFonts w:ascii="宋体;SimSun" w:hAnsi="宋体;SimSun" w:eastAsia="宋体;SimSun" w:cs="宋体;SimSun"/>
        </w:rPr>
      </w:pPr>
      <w:r>
        <w:rPr>
          <w:rFonts w:ascii="宋体;SimSun" w:hAnsi="宋体;SimSun" w:cs="宋体;SimSun" w:eastAsia="宋体;SimSun"/>
        </w:rPr>
        <w:t>成品装箱单上应明确标有顾客名称，运输目的地、箱号。</w:t>
      </w:r>
    </w:p>
    <w:p>
      <w:pPr>
        <w:pStyle w:val="Normal"/>
        <w:autoSpaceDE w:val="false"/>
        <w:spacing w:lineRule="auto" w:line="360"/>
        <w:rPr>
          <w:rFonts w:ascii="宋体;SimSun" w:hAnsi="宋体;SimSun" w:eastAsia="宋体;SimSun" w:cs="宋体;SimSun"/>
          <w:b/>
          <w:b/>
          <w:bCs/>
        </w:rPr>
      </w:pPr>
      <w:r>
        <w:rPr>
          <w:rFonts w:eastAsia="宋体;SimSun" w:cs="宋体;SimSun" w:ascii="宋体;SimSun" w:hAnsi="宋体;SimSun"/>
        </w:rPr>
        <w:t xml:space="preserve">4.2 </w:t>
      </w:r>
      <w:r>
        <w:rPr>
          <w:rFonts w:ascii="宋体;SimSun" w:hAnsi="宋体;SimSun" w:cs="宋体;SimSun" w:eastAsia="宋体;SimSun"/>
          <w:b/>
          <w:bCs/>
        </w:rPr>
        <w:t>状态标识</w:t>
      </w:r>
    </w:p>
    <w:p>
      <w:pPr>
        <w:pStyle w:val="Normal"/>
        <w:autoSpaceDE w:val="false"/>
        <w:spacing w:lineRule="auto" w:line="360"/>
        <w:ind w:firstLine="420"/>
        <w:rPr>
          <w:rFonts w:ascii="宋体;SimSun" w:hAnsi="宋体;SimSun" w:eastAsia="宋体;SimSun" w:cs="宋体;SimSun"/>
        </w:rPr>
      </w:pPr>
      <w:r>
        <w:rPr>
          <w:rFonts w:eastAsia="宋体;SimSun" w:cs="宋体;SimSun" w:ascii="宋体;SimSun" w:hAnsi="宋体;SimSun"/>
        </w:rPr>
        <w:t xml:space="preserve">4.2.1. </w:t>
      </w:r>
      <w:r>
        <w:rPr>
          <w:rFonts w:ascii="宋体;SimSun" w:hAnsi="宋体;SimSun" w:cs="宋体;SimSun" w:eastAsia="宋体;SimSun"/>
        </w:rPr>
        <w:t>用于生产的原辅材料和过程产品、最终产品应分别按《产品的监视和测量控制程序》进行检验和试验并对产品的检验和试验状态做出明确的标识，以保证只有通过所要求的检验和试验的产品才能投入使用和交付。</w:t>
      </w:r>
    </w:p>
    <w:p>
      <w:pPr>
        <w:pStyle w:val="Normal"/>
        <w:autoSpaceDE w:val="false"/>
        <w:spacing w:lineRule="auto" w:line="360"/>
        <w:ind w:firstLine="420"/>
        <w:rPr>
          <w:rFonts w:ascii="宋体;SimSun" w:hAnsi="宋体;SimSun" w:eastAsia="宋体;SimSun" w:cs="宋体;SimSun"/>
        </w:rPr>
      </w:pPr>
      <w:r>
        <w:rPr>
          <w:rFonts w:eastAsia="宋体;SimSun" w:cs="宋体;SimSun" w:ascii="宋体;SimSun" w:hAnsi="宋体;SimSun"/>
        </w:rPr>
        <w:t xml:space="preserve">4.2.2. </w:t>
      </w:r>
      <w:r>
        <w:rPr>
          <w:rFonts w:ascii="宋体;SimSun" w:hAnsi="宋体;SimSun" w:cs="宋体;SimSun" w:eastAsia="宋体;SimSun"/>
        </w:rPr>
        <w:t>检验和试验状态的分类：</w:t>
      </w:r>
    </w:p>
    <w:tbl>
      <w:tblPr>
        <w:tblW w:w="9854" w:type="dxa"/>
        <w:jc w:val="left"/>
        <w:tblInd w:w="0" w:type="dxa"/>
        <w:tblLayout w:type="fixed"/>
        <w:tblCellMar>
          <w:top w:w="0" w:type="dxa"/>
          <w:left w:w="108" w:type="dxa"/>
          <w:bottom w:w="0" w:type="dxa"/>
          <w:right w:w="108" w:type="dxa"/>
        </w:tblCellMar>
      </w:tblPr>
      <w:tblGrid>
        <w:gridCol w:w="3794"/>
        <w:gridCol w:w="6060"/>
      </w:tblGrid>
      <w:tr>
        <w:trPr/>
        <w:tc>
          <w:tcPr>
            <w:tcW w:w="379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rPr>
                <w:rFonts w:ascii="宋体;SimSun" w:hAnsi="宋体;SimSun" w:eastAsia="宋体;SimSun" w:cs="宋体;SimSun"/>
              </w:rPr>
            </w:pPr>
            <w:r>
              <w:rPr>
                <w:rFonts w:ascii="宋体;SimSun" w:hAnsi="宋体;SimSun" w:cs="宋体;SimSun" w:eastAsia="宋体;SimSun"/>
              </w:rPr>
              <w:t>待检：未经检验的产品；</w:t>
            </w:r>
          </w:p>
        </w:tc>
        <w:tc>
          <w:tcPr>
            <w:tcW w:w="606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rPr>
                <w:rFonts w:ascii="宋体;SimSun" w:hAnsi="宋体;SimSun" w:eastAsia="宋体;SimSun" w:cs="宋体;SimSun"/>
              </w:rPr>
            </w:pPr>
            <w:r>
              <w:rPr>
                <w:rFonts w:ascii="宋体;SimSun" w:hAnsi="宋体;SimSun" w:cs="宋体;SimSun" w:eastAsia="宋体;SimSun"/>
              </w:rPr>
              <w:t>待决</w:t>
            </w:r>
            <w:r>
              <w:rPr>
                <w:rFonts w:eastAsia="宋体;SimSun" w:cs="宋体;SimSun" w:ascii="宋体;SimSun" w:hAnsi="宋体;SimSun"/>
              </w:rPr>
              <w:t xml:space="preserve">: </w:t>
            </w:r>
            <w:r>
              <w:rPr>
                <w:rFonts w:ascii="宋体;SimSun" w:hAnsi="宋体;SimSun" w:cs="宋体;SimSun" w:eastAsia="宋体;SimSun"/>
              </w:rPr>
              <w:t>已检待判</w:t>
            </w:r>
            <w:r>
              <w:rPr>
                <w:rFonts w:eastAsia="宋体;SimSun" w:cs="宋体;SimSun" w:ascii="宋体;SimSun" w:hAnsi="宋体;SimSun"/>
              </w:rPr>
              <w:t>--</w:t>
            </w:r>
            <w:r>
              <w:rPr>
                <w:rFonts w:ascii="宋体;SimSun" w:hAnsi="宋体;SimSun" w:cs="宋体;SimSun" w:eastAsia="宋体;SimSun"/>
              </w:rPr>
              <w:t>虽经检验但检验结论尚未给出的产品。</w:t>
            </w:r>
          </w:p>
        </w:tc>
      </w:tr>
      <w:tr>
        <w:trPr/>
        <w:tc>
          <w:tcPr>
            <w:tcW w:w="379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rPr>
                <w:rFonts w:ascii="宋体;SimSun" w:hAnsi="宋体;SimSun" w:eastAsia="宋体;SimSun" w:cs="宋体;SimSun"/>
              </w:rPr>
            </w:pPr>
            <w:r>
              <w:rPr>
                <w:rFonts w:ascii="宋体;SimSun" w:hAnsi="宋体;SimSun" w:cs="宋体;SimSun" w:eastAsia="宋体;SimSun"/>
              </w:rPr>
              <w:t>合格：经检验确定为合格的产品；</w:t>
            </w:r>
          </w:p>
        </w:tc>
        <w:tc>
          <w:tcPr>
            <w:tcW w:w="606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rPr>
                <w:rFonts w:ascii="宋体;SimSun" w:hAnsi="宋体;SimSun" w:eastAsia="宋体;SimSun" w:cs="宋体;SimSun"/>
              </w:rPr>
            </w:pPr>
            <w:r>
              <w:rPr>
                <w:rFonts w:ascii="宋体;SimSun" w:hAnsi="宋体;SimSun" w:cs="宋体;SimSun" w:eastAsia="宋体;SimSun"/>
              </w:rPr>
              <w:t>过程异常：由过程提出的产品异常</w:t>
            </w:r>
            <w:r>
              <w:rPr>
                <w:rFonts w:eastAsia="宋体;SimSun" w:cs="宋体;SimSun" w:ascii="宋体;SimSun" w:hAnsi="宋体;SimSun"/>
              </w:rPr>
              <w:t xml:space="preserve">, </w:t>
            </w:r>
            <w:r>
              <w:rPr>
                <w:rFonts w:ascii="宋体;SimSun" w:hAnsi="宋体;SimSun" w:cs="宋体;SimSun" w:eastAsia="宋体;SimSun"/>
              </w:rPr>
              <w:t>但需要进一步调查确认原因的物料。</w:t>
            </w:r>
          </w:p>
        </w:tc>
      </w:tr>
      <w:tr>
        <w:trPr/>
        <w:tc>
          <w:tcPr>
            <w:tcW w:w="379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rPr>
                <w:rFonts w:ascii="宋体;SimSun" w:hAnsi="宋体;SimSun" w:eastAsia="宋体;SimSun" w:cs="宋体;SimSun"/>
              </w:rPr>
            </w:pPr>
            <w:r>
              <w:rPr>
                <w:rFonts w:ascii="宋体;SimSun" w:hAnsi="宋体;SimSun" w:cs="宋体;SimSun" w:eastAsia="宋体;SimSun"/>
              </w:rPr>
              <w:t>不合格：经检验确定为不合格的产品；</w:t>
            </w:r>
          </w:p>
        </w:tc>
        <w:tc>
          <w:tcPr>
            <w:tcW w:w="606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rPr>
                <w:rFonts w:ascii="宋体;SimSun" w:hAnsi="宋体;SimSun" w:eastAsia="宋体;SimSun" w:cs="宋体;SimSun"/>
              </w:rPr>
            </w:pPr>
            <w:r>
              <w:rPr>
                <w:rFonts w:ascii="宋体;SimSun" w:hAnsi="宋体;SimSun" w:cs="宋体;SimSun" w:eastAsia="宋体;SimSun"/>
              </w:rPr>
              <w:t xml:space="preserve">特采：产品不符合来料标准，但经过评估认为不影响最终产品的性能，或者经过挑选使用后可以满足使用要求的。 </w:t>
            </w:r>
          </w:p>
        </w:tc>
      </w:tr>
    </w:tbl>
    <w:p>
      <w:pPr>
        <w:pStyle w:val="Normal"/>
        <w:autoSpaceDE w:val="false"/>
        <w:spacing w:lineRule="auto" w:line="360"/>
        <w:ind w:firstLine="420"/>
        <w:rPr>
          <w:rFonts w:ascii="宋体;SimSun" w:hAnsi="宋体;SimSun" w:eastAsia="宋体;SimSun" w:cs="宋体;SimSun"/>
        </w:rPr>
      </w:pPr>
      <w:r>
        <w:rPr>
          <w:rFonts w:eastAsia="宋体;SimSun" w:cs="宋体;SimSun" w:ascii="宋体;SimSun" w:hAnsi="宋体;SimSun"/>
        </w:rPr>
        <w:t xml:space="preserve">4.2.3 </w:t>
      </w:r>
      <w:r>
        <w:rPr>
          <w:rFonts w:ascii="宋体;SimSun" w:hAnsi="宋体;SimSun" w:cs="宋体;SimSun" w:eastAsia="宋体;SimSun"/>
        </w:rPr>
        <w:t>状态标识的颜色规定：</w:t>
      </w:r>
    </w:p>
    <w:tbl>
      <w:tblPr>
        <w:tblW w:w="8505" w:type="dxa"/>
        <w:jc w:val="left"/>
        <w:tblInd w:w="675" w:type="dxa"/>
        <w:tblLayout w:type="fixed"/>
        <w:tblCellMar>
          <w:top w:w="0" w:type="dxa"/>
          <w:left w:w="108" w:type="dxa"/>
          <w:bottom w:w="0" w:type="dxa"/>
          <w:right w:w="108" w:type="dxa"/>
        </w:tblCellMar>
      </w:tblPr>
      <w:tblGrid>
        <w:gridCol w:w="4252"/>
        <w:gridCol w:w="4253"/>
      </w:tblGrid>
      <w:tr>
        <w:trPr/>
        <w:tc>
          <w:tcPr>
            <w:tcW w:w="4252"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待检（验）证的颜色为</w:t>
            </w:r>
            <w:r>
              <w:rPr>
                <w:rFonts w:ascii="宋体;SimSun" w:hAnsi="宋体;SimSun" w:cs="宋体;SimSun" w:eastAsia="宋体;SimSun"/>
                <w:b/>
              </w:rPr>
              <w:t>黄色</w:t>
            </w:r>
            <w:r>
              <w:rPr>
                <w:rFonts w:ascii="宋体;SimSun" w:hAnsi="宋体;SimSun" w:cs="宋体;SimSun" w:eastAsia="宋体;SimSun"/>
              </w:rPr>
              <w:t>；</w:t>
            </w:r>
          </w:p>
        </w:tc>
        <w:tc>
          <w:tcPr>
            <w:tcW w:w="4253"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ind w:firstLine="1260"/>
              <w:rPr>
                <w:rFonts w:ascii="宋体;SimSun" w:hAnsi="宋体;SimSun" w:eastAsia="宋体;SimSun" w:cs="宋体;SimSun"/>
              </w:rPr>
            </w:pPr>
            <w:r>
              <w:rPr>
                <w:rFonts w:ascii="宋体;SimSun" w:hAnsi="宋体;SimSun" w:cs="宋体;SimSun" w:eastAsia="宋体;SimSun"/>
              </w:rPr>
              <w:t>合格证为</w:t>
            </w:r>
            <w:r>
              <w:rPr>
                <w:rFonts w:ascii="宋体;SimSun" w:hAnsi="宋体;SimSun" w:cs="宋体;SimSun" w:eastAsia="宋体;SimSun"/>
                <w:b/>
              </w:rPr>
              <w:t>绿色</w:t>
            </w:r>
            <w:r>
              <w:rPr>
                <w:rFonts w:ascii="宋体;SimSun" w:hAnsi="宋体;SimSun" w:cs="宋体;SimSun" w:eastAsia="宋体;SimSun"/>
              </w:rPr>
              <w:t>；</w:t>
            </w:r>
          </w:p>
        </w:tc>
      </w:tr>
      <w:tr>
        <w:trPr/>
        <w:tc>
          <w:tcPr>
            <w:tcW w:w="4252"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过程标识统一为</w:t>
            </w:r>
            <w:r>
              <w:rPr>
                <w:rFonts w:ascii="宋体;SimSun" w:hAnsi="宋体;SimSun" w:cs="宋体;SimSun" w:eastAsia="宋体;SimSun"/>
                <w:b/>
              </w:rPr>
              <w:t>白色</w:t>
            </w:r>
            <w:r>
              <w:rPr>
                <w:rFonts w:ascii="宋体;SimSun" w:hAnsi="宋体;SimSun" w:cs="宋体;SimSun" w:eastAsia="宋体;SimSun"/>
              </w:rPr>
              <w:t>；</w:t>
            </w:r>
          </w:p>
        </w:tc>
        <w:tc>
          <w:tcPr>
            <w:tcW w:w="4253"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不合格证为</w:t>
            </w:r>
            <w:r>
              <w:rPr>
                <w:rFonts w:ascii="宋体;SimSun" w:hAnsi="宋体;SimSun" w:cs="宋体;SimSun" w:eastAsia="宋体;SimSun"/>
                <w:b/>
              </w:rPr>
              <w:t>红色</w:t>
            </w:r>
            <w:r>
              <w:rPr>
                <w:rFonts w:ascii="宋体;SimSun" w:hAnsi="宋体;SimSun" w:cs="宋体;SimSun" w:eastAsia="宋体;SimSun"/>
              </w:rPr>
              <w:t>；</w:t>
            </w:r>
          </w:p>
        </w:tc>
      </w:tr>
      <w:tr>
        <w:trPr/>
        <w:tc>
          <w:tcPr>
            <w:tcW w:w="4252"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退回产品为</w:t>
            </w:r>
            <w:r>
              <w:rPr>
                <w:rFonts w:ascii="宋体;SimSun" w:hAnsi="宋体;SimSun" w:cs="宋体;SimSun" w:eastAsia="宋体;SimSun"/>
                <w:b/>
              </w:rPr>
              <w:t>黄色</w:t>
            </w:r>
          </w:p>
        </w:tc>
        <w:tc>
          <w:tcPr>
            <w:tcW w:w="4253"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特采证为</w:t>
            </w:r>
            <w:r>
              <w:rPr>
                <w:rFonts w:ascii="宋体;SimSun" w:hAnsi="宋体;SimSun" w:cs="宋体;SimSun" w:eastAsia="宋体;SimSun"/>
                <w:b/>
              </w:rPr>
              <w:t>白色</w:t>
            </w:r>
            <w:r>
              <w:rPr>
                <w:rFonts w:ascii="宋体;SimSun" w:hAnsi="宋体;SimSun" w:cs="宋体;SimSun" w:eastAsia="宋体;SimSun"/>
              </w:rPr>
              <w:t>；</w:t>
            </w:r>
          </w:p>
        </w:tc>
      </w:tr>
    </w:tbl>
    <w:p>
      <w:pPr>
        <w:pStyle w:val="Normal"/>
        <w:autoSpaceDE w:val="false"/>
        <w:spacing w:lineRule="auto" w:line="360"/>
        <w:rPr>
          <w:rFonts w:ascii="宋体;SimSun" w:hAnsi="宋体;SimSun" w:eastAsia="宋体;SimSun" w:cs="宋体;SimSun"/>
          <w:b/>
          <w:b/>
        </w:rPr>
      </w:pPr>
      <w:r>
        <w:rPr>
          <w:rFonts w:eastAsia="宋体;SimSun" w:cs="宋体;SimSun" w:ascii="宋体;SimSun" w:hAnsi="宋体;SimSun"/>
          <w:b/>
        </w:rPr>
        <w:t xml:space="preserve">4.3. </w:t>
      </w:r>
      <w:r>
        <w:rPr>
          <w:rFonts w:ascii="宋体;SimSun" w:hAnsi="宋体;SimSun" w:cs="宋体;SimSun" w:eastAsia="宋体;SimSun"/>
          <w:b/>
        </w:rPr>
        <w:t>标识的操作</w:t>
      </w:r>
      <w:r>
        <w:rPr>
          <w:rFonts w:eastAsia="宋体;SimSun" w:cs="宋体;SimSun" w:ascii="宋体;SimSun" w:hAnsi="宋体;SimSun"/>
          <w:b/>
        </w:rPr>
        <w:t>:</w:t>
      </w:r>
    </w:p>
    <w:p>
      <w:pPr>
        <w:pStyle w:val="Normal"/>
        <w:autoSpaceDE w:val="false"/>
        <w:spacing w:lineRule="auto" w:line="360"/>
        <w:ind w:firstLine="420"/>
        <w:rPr>
          <w:rFonts w:ascii="宋体;SimSun" w:hAnsi="宋体;SimSun" w:eastAsia="宋体;SimSun" w:cs="宋体;SimSun"/>
        </w:rPr>
      </w:pPr>
      <w:r>
        <w:rPr>
          <w:rFonts w:eastAsia="宋体;SimSun" w:cs="宋体;SimSun" w:ascii="宋体;SimSun" w:hAnsi="宋体;SimSun"/>
        </w:rPr>
        <w:t xml:space="preserve">4.3.1. </w:t>
      </w:r>
      <w:r>
        <w:rPr>
          <w:rFonts w:ascii="宋体;SimSun" w:hAnsi="宋体;SimSun" w:cs="宋体;SimSun" w:eastAsia="宋体;SimSun"/>
        </w:rPr>
        <w:t>进货产品的标识方法</w:t>
      </w:r>
    </w:p>
    <w:p>
      <w:pPr>
        <w:pStyle w:val="Normal"/>
        <w:numPr>
          <w:ilvl w:val="0"/>
          <w:numId w:val="2"/>
        </w:numPr>
        <w:autoSpaceDE w:val="false"/>
        <w:spacing w:lineRule="auto" w:line="360"/>
        <w:ind w:left="1050" w:hanging="199"/>
        <w:rPr>
          <w:rFonts w:ascii="宋体;SimSun" w:hAnsi="宋体;SimSun" w:eastAsia="宋体;SimSun" w:cs="宋体;SimSun"/>
        </w:rPr>
      </w:pPr>
      <w:r>
        <w:rPr>
          <w:rFonts w:eastAsia="宋体;SimSun" w:cs="宋体;SimSun" w:ascii="宋体;SimSun" w:hAnsi="宋体;SimSun"/>
        </w:rPr>
        <w:t xml:space="preserve"> </w:t>
      </w:r>
      <w:r>
        <w:rPr>
          <w:rFonts w:ascii="宋体;SimSun" w:hAnsi="宋体;SimSun" w:cs="宋体;SimSun" w:eastAsia="宋体;SimSun"/>
        </w:rPr>
        <w:t>仓管员将未经检验的产品放入原料库待检区，贴上待检证。对大宗产品，可将其先放定位置</w:t>
      </w:r>
      <w:r>
        <w:rPr>
          <w:rFonts w:eastAsia="宋体;SimSun" w:cs="宋体;SimSun" w:ascii="宋体;SimSun" w:hAnsi="宋体;SimSun"/>
        </w:rPr>
        <w:t>,</w:t>
      </w:r>
      <w:r>
        <w:rPr>
          <w:rFonts w:ascii="宋体;SimSun" w:hAnsi="宋体;SimSun" w:cs="宋体;SimSun" w:eastAsia="宋体;SimSun"/>
        </w:rPr>
        <w:t>用黄色地胶或绳子将其围住，再在明显的区域贴上待检证。</w:t>
      </w:r>
    </w:p>
    <w:p>
      <w:pPr>
        <w:pStyle w:val="Normal"/>
        <w:numPr>
          <w:ilvl w:val="0"/>
          <w:numId w:val="2"/>
        </w:numPr>
        <w:autoSpaceDE w:val="false"/>
        <w:spacing w:lineRule="auto" w:line="360"/>
        <w:ind w:left="1050" w:hanging="199"/>
        <w:rPr>
          <w:rFonts w:ascii="宋体;SimSun" w:hAnsi="宋体;SimSun" w:eastAsia="宋体;SimSun" w:cs="宋体;SimSun"/>
          <w:color w:val="000000"/>
        </w:rPr>
      </w:pPr>
      <w:r>
        <w:rPr>
          <w:rFonts w:eastAsia="宋体;SimSun" w:cs="宋体;SimSun" w:ascii="宋体;SimSun" w:hAnsi="宋体;SimSun"/>
          <w:color w:val="000000"/>
        </w:rPr>
        <w:t xml:space="preserve"> </w:t>
      </w:r>
      <w:r>
        <w:rPr>
          <w:rFonts w:ascii="宋体;SimSun" w:hAnsi="宋体;SimSun" w:cs="宋体;SimSun" w:eastAsia="宋体;SimSun"/>
          <w:color w:val="000000"/>
        </w:rPr>
        <w:t>确定为合格的，以独立包装为单位贴合格证（合格证上应包含名称、货号、批号、数量、检验单号、检验人、检验日期、有效期等信息）。合格证粘贴完成后仓管员将产品入库，即放入合格品区；</w:t>
      </w:r>
    </w:p>
    <w:p>
      <w:pPr>
        <w:pStyle w:val="Normal"/>
        <w:numPr>
          <w:ilvl w:val="0"/>
          <w:numId w:val="2"/>
        </w:numPr>
        <w:autoSpaceDE w:val="false"/>
        <w:spacing w:lineRule="auto" w:line="360"/>
        <w:ind w:left="1050" w:hanging="199"/>
        <w:rPr>
          <w:rFonts w:ascii="宋体;SimSun" w:hAnsi="宋体;SimSun" w:eastAsia="宋体;SimSun" w:cs="宋体;SimSun"/>
          <w:color w:val="000000"/>
        </w:rPr>
      </w:pPr>
      <w:r>
        <w:rPr>
          <w:rFonts w:eastAsia="宋体;SimSun" w:cs="宋体;SimSun" w:ascii="宋体;SimSun" w:hAnsi="宋体;SimSun"/>
          <w:color w:val="000000"/>
        </w:rPr>
        <w:t xml:space="preserve"> </w:t>
      </w:r>
      <w:r>
        <w:rPr>
          <w:rFonts w:ascii="宋体;SimSun" w:hAnsi="宋体;SimSun" w:cs="宋体;SimSun" w:eastAsia="宋体;SimSun"/>
          <w:color w:val="000000"/>
        </w:rPr>
        <w:t>确定为不合格的，以独立包装为单位贴不合格证，或者放入不合格品区，并进行隔离；</w:t>
      </w:r>
    </w:p>
    <w:p>
      <w:pPr>
        <w:pStyle w:val="Normal"/>
        <w:numPr>
          <w:ilvl w:val="0"/>
          <w:numId w:val="2"/>
        </w:numPr>
        <w:autoSpaceDE w:val="false"/>
        <w:spacing w:lineRule="auto" w:line="360"/>
        <w:ind w:left="1050" w:hanging="199"/>
        <w:rPr>
          <w:rFonts w:ascii="宋体;SimSun" w:hAnsi="宋体;SimSun" w:eastAsia="宋体;SimSun" w:cs="宋体;SimSun"/>
          <w:color w:val="000000"/>
        </w:rPr>
      </w:pPr>
      <w:r>
        <w:rPr>
          <w:rFonts w:eastAsia="宋体;SimSun" w:cs="宋体;SimSun" w:ascii="宋体;SimSun" w:hAnsi="宋体;SimSun"/>
          <w:color w:val="000000"/>
        </w:rPr>
        <w:t xml:space="preserve"> </w:t>
      </w:r>
      <w:r>
        <w:rPr>
          <w:rFonts w:ascii="宋体;SimSun" w:hAnsi="宋体;SimSun" w:cs="宋体;SimSun" w:eastAsia="宋体;SimSun"/>
          <w:color w:val="000000"/>
        </w:rPr>
        <w:t>暂时无法判定的，以独立包装为单位贴待决标签，仓管员将产品放在待决区内；</w:t>
      </w:r>
    </w:p>
    <w:p>
      <w:pPr>
        <w:pStyle w:val="Normal"/>
        <w:autoSpaceDE w:val="false"/>
        <w:spacing w:lineRule="auto" w:line="360"/>
        <w:ind w:firstLine="420"/>
        <w:rPr>
          <w:rFonts w:ascii="宋体;SimSun" w:hAnsi="宋体;SimSun" w:eastAsia="宋体;SimSun" w:cs="宋体;SimSun"/>
          <w:color w:val="000000"/>
        </w:rPr>
      </w:pPr>
      <w:r>
        <w:rPr>
          <w:rFonts w:eastAsia="宋体;SimSun" w:cs="宋体;SimSun" w:ascii="宋体;SimSun" w:hAnsi="宋体;SimSun"/>
          <w:color w:val="000000"/>
        </w:rPr>
        <w:t xml:space="preserve">4.3.2 </w:t>
      </w:r>
      <w:r>
        <w:rPr>
          <w:rFonts w:ascii="宋体;SimSun" w:hAnsi="宋体;SimSun" w:cs="宋体;SimSun" w:eastAsia="宋体;SimSun"/>
          <w:color w:val="000000"/>
        </w:rPr>
        <w:t>最终产品的标识方法：</w:t>
      </w:r>
    </w:p>
    <w:p>
      <w:pPr>
        <w:pStyle w:val="Normal"/>
        <w:autoSpaceDE w:val="false"/>
        <w:spacing w:lineRule="auto" w:line="360"/>
        <w:ind w:firstLine="708"/>
        <w:rPr>
          <w:rFonts w:ascii="宋体;SimSun" w:hAnsi="宋体;SimSun" w:eastAsia="宋体;SimSun" w:cs="宋体;SimSun"/>
          <w:color w:val="000000"/>
        </w:rPr>
      </w:pPr>
      <w:r>
        <w:rPr>
          <w:rFonts w:eastAsia="宋体;SimSun" w:cs="宋体;SimSun" w:ascii="宋体;SimSun" w:hAnsi="宋体;SimSun"/>
          <w:color w:val="000000"/>
        </w:rPr>
        <w:t>1</w:t>
      </w:r>
      <w:r>
        <w:rPr>
          <w:rFonts w:ascii="宋体;SimSun" w:hAnsi="宋体;SimSun" w:cs="宋体;SimSun" w:eastAsia="宋体;SimSun"/>
          <w:color w:val="000000"/>
        </w:rPr>
        <w:t>） 确定为合格产品的通知包装车间入库，放置在合格区；未完成检验的产品放入待检区；</w:t>
      </w:r>
    </w:p>
    <w:p>
      <w:pPr>
        <w:pStyle w:val="Normal"/>
        <w:autoSpaceDE w:val="false"/>
        <w:spacing w:lineRule="auto" w:line="360"/>
        <w:ind w:firstLine="708"/>
        <w:rPr>
          <w:rFonts w:ascii="宋体;SimSun" w:hAnsi="宋体;SimSun" w:eastAsia="宋体;SimSun" w:cs="宋体;SimSun"/>
          <w:color w:val="000000"/>
        </w:rPr>
      </w:pPr>
      <w:r>
        <w:rPr>
          <w:rFonts w:eastAsia="宋体;SimSun" w:cs="宋体;SimSun" w:ascii="宋体;SimSun" w:hAnsi="宋体;SimSun"/>
          <w:color w:val="000000"/>
        </w:rPr>
        <w:t>2</w:t>
      </w:r>
      <w:r>
        <w:rPr>
          <w:rFonts w:ascii="宋体;SimSun" w:hAnsi="宋体;SimSun" w:cs="宋体;SimSun" w:eastAsia="宋体;SimSun"/>
          <w:color w:val="000000"/>
        </w:rPr>
        <w:t>） 过程发现的不良品放入贴有红色“不良品”字样的容器内；</w:t>
      </w:r>
    </w:p>
    <w:p>
      <w:pPr>
        <w:pStyle w:val="Normal"/>
        <w:autoSpaceDE w:val="false"/>
        <w:spacing w:lineRule="auto" w:line="360"/>
        <w:ind w:firstLine="708"/>
        <w:rPr>
          <w:rFonts w:ascii="宋体;SimSun" w:hAnsi="宋体;SimSun" w:eastAsia="宋体;SimSun" w:cs="宋体;SimSun"/>
          <w:color w:val="000000"/>
        </w:rPr>
      </w:pPr>
      <w:r>
        <w:rPr>
          <w:rFonts w:eastAsia="宋体;SimSun" w:cs="宋体;SimSun" w:ascii="宋体;SimSun" w:hAnsi="宋体;SimSun"/>
          <w:color w:val="000000"/>
        </w:rPr>
        <w:t>3</w:t>
      </w:r>
      <w:r>
        <w:rPr>
          <w:rFonts w:ascii="宋体;SimSun" w:hAnsi="宋体;SimSun" w:cs="宋体;SimSun" w:eastAsia="宋体;SimSun"/>
          <w:color w:val="000000"/>
        </w:rPr>
        <w:t>） 确定为不合格，开出“不合格证”；已入库产品应转入“不合格区”，生产中的产品，生产车间应进行隔离、标识。</w:t>
      </w:r>
    </w:p>
    <w:p>
      <w:pPr>
        <w:pStyle w:val="Normal"/>
        <w:autoSpaceDE w:val="false"/>
        <w:spacing w:lineRule="auto" w:line="360"/>
        <w:ind w:firstLine="708"/>
        <w:rPr>
          <w:rFonts w:ascii="宋体;SimSun" w:hAnsi="宋体;SimSun" w:eastAsia="宋体;SimSun" w:cs="宋体;SimSun"/>
          <w:color w:val="000000"/>
        </w:rPr>
      </w:pPr>
      <w:r>
        <w:rPr>
          <w:rFonts w:eastAsia="宋体;SimSun" w:cs="宋体;SimSun" w:ascii="宋体;SimSun" w:hAnsi="宋体;SimSun"/>
          <w:color w:val="000000"/>
        </w:rPr>
        <w:t>4</w:t>
      </w:r>
      <w:r>
        <w:rPr>
          <w:rFonts w:ascii="宋体;SimSun" w:hAnsi="宋体;SimSun" w:cs="宋体;SimSun" w:eastAsia="宋体;SimSun"/>
          <w:color w:val="000000"/>
        </w:rPr>
        <w:t>） 暂时无法判定的，在其外包装上贴待决证标签；</w:t>
      </w:r>
    </w:p>
    <w:p>
      <w:pPr>
        <w:pStyle w:val="Normal"/>
        <w:autoSpaceDE w:val="false"/>
        <w:spacing w:lineRule="auto" w:line="360"/>
        <w:ind w:firstLine="420"/>
        <w:rPr>
          <w:rFonts w:ascii="宋体;SimSun" w:hAnsi="宋体;SimSun" w:eastAsia="宋体;SimSun" w:cs="宋体;SimSun"/>
          <w:color w:val="000000"/>
        </w:rPr>
      </w:pPr>
      <w:r>
        <w:rPr>
          <w:rFonts w:eastAsia="宋体;SimSun" w:cs="宋体;SimSun" w:ascii="宋体;SimSun" w:hAnsi="宋体;SimSun"/>
          <w:color w:val="000000"/>
        </w:rPr>
        <w:t xml:space="preserve">4.3.3 </w:t>
      </w:r>
      <w:r>
        <w:rPr>
          <w:rFonts w:ascii="宋体;SimSun" w:hAnsi="宋体;SimSun" w:cs="宋体;SimSun" w:eastAsia="宋体;SimSun"/>
          <w:color w:val="000000"/>
        </w:rPr>
        <w:t>退回产品的状态标识</w:t>
      </w:r>
    </w:p>
    <w:p>
      <w:pPr>
        <w:pStyle w:val="Normal"/>
        <w:autoSpaceDE w:val="false"/>
        <w:spacing w:lineRule="auto" w:line="360"/>
        <w:ind w:firstLine="210"/>
        <w:rPr>
          <w:rFonts w:ascii="宋体;SimSun" w:hAnsi="宋体;SimSun" w:eastAsia="宋体;SimSun" w:cs="宋体;SimSun"/>
          <w:color w:val="000000"/>
        </w:rPr>
      </w:pPr>
      <w:r>
        <w:rPr>
          <w:rFonts w:eastAsia="宋体;SimSun" w:cs="宋体;SimSun" w:ascii="宋体;SimSun" w:hAnsi="宋体;SimSun"/>
          <w:color w:val="000000"/>
        </w:rPr>
        <w:t xml:space="preserve">     </w:t>
      </w:r>
      <w:r>
        <w:rPr>
          <w:rFonts w:ascii="宋体;SimSun" w:hAnsi="宋体;SimSun" w:cs="宋体;SimSun" w:eastAsia="宋体;SimSun"/>
          <w:color w:val="000000"/>
        </w:rPr>
        <w:t>如果有已经销售或者发货退回的产品，应将退回货物放置在“退货区”，进行隔离、标识。具体操作按照《产品退回处理管理制度》进行。</w:t>
      </w:r>
    </w:p>
    <w:p>
      <w:pPr>
        <w:pStyle w:val="Normal"/>
        <w:autoSpaceDE w:val="false"/>
        <w:spacing w:lineRule="auto" w:line="360"/>
        <w:ind w:firstLine="420"/>
        <w:rPr>
          <w:rFonts w:ascii="宋体;SimSun" w:hAnsi="宋体;SimSun" w:eastAsia="宋体;SimSun" w:cs="宋体;SimSun"/>
          <w:color w:val="000000"/>
        </w:rPr>
      </w:pPr>
      <w:r>
        <w:rPr>
          <w:rFonts w:eastAsia="宋体;SimSun" w:cs="宋体;SimSun" w:ascii="宋体;SimSun" w:hAnsi="宋体;SimSun"/>
          <w:color w:val="000000"/>
        </w:rPr>
        <w:t xml:space="preserve">4.3.4 </w:t>
      </w:r>
      <w:r>
        <w:rPr>
          <w:rFonts w:ascii="宋体;SimSun" w:hAnsi="宋体;SimSun" w:cs="宋体;SimSun" w:eastAsia="宋体;SimSun"/>
          <w:color w:val="000000"/>
        </w:rPr>
        <w:t>状态标识的使用要求</w:t>
      </w:r>
    </w:p>
    <w:p>
      <w:pPr>
        <w:pStyle w:val="Normal"/>
        <w:autoSpaceDE w:val="false"/>
        <w:spacing w:lineRule="auto" w:line="360"/>
        <w:ind w:firstLine="634"/>
        <w:rPr>
          <w:rFonts w:ascii="宋体;SimSun" w:hAnsi="宋体;SimSun" w:eastAsia="宋体;SimSun" w:cs="宋体;SimSun"/>
          <w:color w:val="000000"/>
        </w:rPr>
      </w:pPr>
      <w:r>
        <w:rPr>
          <w:rFonts w:eastAsia="宋体;SimSun" w:cs="宋体;SimSun" w:ascii="宋体;SimSun" w:hAnsi="宋体;SimSun"/>
          <w:color w:val="000000"/>
        </w:rPr>
        <w:t>4.3.</w:t>
      </w:r>
      <w:r>
        <w:rPr>
          <w:rFonts w:eastAsia="宋体;SimSun" w:cs="宋体;SimSun" w:ascii="宋体;SimSun" w:hAnsi="宋体;SimSun"/>
          <w:color w:val="000000"/>
        </w:rPr>
        <w:t>4</w:t>
      </w:r>
      <w:r>
        <w:rPr>
          <w:rFonts w:eastAsia="宋体;SimSun" w:cs="宋体;SimSun" w:ascii="宋体;SimSun" w:hAnsi="宋体;SimSun"/>
          <w:color w:val="000000"/>
        </w:rPr>
        <w:t xml:space="preserve">.1. </w:t>
      </w:r>
      <w:r>
        <w:rPr>
          <w:rFonts w:ascii="宋体;SimSun" w:hAnsi="宋体;SimSun" w:cs="宋体;SimSun" w:eastAsia="宋体;SimSun"/>
          <w:color w:val="000000"/>
        </w:rPr>
        <w:t>非质量人员不得擅自移动或更改产品检验和试验状态标识；</w:t>
      </w:r>
    </w:p>
    <w:p>
      <w:pPr>
        <w:pStyle w:val="Normal"/>
        <w:autoSpaceDE w:val="false"/>
        <w:spacing w:lineRule="auto" w:line="360"/>
        <w:ind w:firstLine="634"/>
        <w:rPr>
          <w:rFonts w:ascii="宋体;SimSun" w:hAnsi="宋体;SimSun" w:eastAsia="宋体;SimSun" w:cs="宋体;SimSun"/>
          <w:color w:val="000000"/>
        </w:rPr>
      </w:pPr>
      <w:r>
        <w:rPr>
          <w:rFonts w:eastAsia="宋体;SimSun" w:cs="宋体;SimSun" w:ascii="宋体;SimSun" w:hAnsi="宋体;SimSun"/>
          <w:color w:val="000000"/>
        </w:rPr>
        <w:t>4.3.</w:t>
      </w:r>
      <w:r>
        <w:rPr>
          <w:rFonts w:eastAsia="宋体;SimSun" w:cs="宋体;SimSun" w:ascii="宋体;SimSun" w:hAnsi="宋体;SimSun"/>
          <w:color w:val="000000"/>
        </w:rPr>
        <w:t>4</w:t>
      </w:r>
      <w:r>
        <w:rPr>
          <w:rFonts w:eastAsia="宋体;SimSun" w:cs="宋体;SimSun" w:ascii="宋体;SimSun" w:hAnsi="宋体;SimSun"/>
          <w:color w:val="000000"/>
        </w:rPr>
        <w:t xml:space="preserve">.2. </w:t>
      </w:r>
      <w:r>
        <w:rPr>
          <w:rFonts w:ascii="宋体;SimSun" w:hAnsi="宋体;SimSun" w:cs="宋体;SimSun" w:eastAsia="宋体;SimSun"/>
          <w:color w:val="000000"/>
        </w:rPr>
        <w:t>如在搬运过程中丢失或损坏了标识，则应立即报告质量部，并采取补救措施；</w:t>
      </w:r>
    </w:p>
    <w:p>
      <w:pPr>
        <w:pStyle w:val="Normal"/>
        <w:autoSpaceDE w:val="false"/>
        <w:spacing w:lineRule="auto" w:line="360"/>
        <w:ind w:firstLine="634"/>
        <w:rPr>
          <w:rFonts w:ascii="宋体;SimSun" w:hAnsi="宋体;SimSun" w:eastAsia="宋体;SimSun" w:cs="宋体;SimSun"/>
          <w:color w:val="000000"/>
        </w:rPr>
      </w:pPr>
      <w:r>
        <w:rPr>
          <w:rFonts w:eastAsia="宋体;SimSun" w:cs="宋体;SimSun" w:ascii="宋体;SimSun" w:hAnsi="宋体;SimSun"/>
          <w:color w:val="000000"/>
        </w:rPr>
        <w:t>4.3.</w:t>
      </w:r>
      <w:r>
        <w:rPr>
          <w:rFonts w:eastAsia="宋体;SimSun" w:cs="宋体;SimSun" w:ascii="宋体;SimSun" w:hAnsi="宋体;SimSun"/>
          <w:color w:val="000000"/>
        </w:rPr>
        <w:t>4</w:t>
      </w:r>
      <w:r>
        <w:rPr>
          <w:rFonts w:eastAsia="宋体;SimSun" w:cs="宋体;SimSun" w:ascii="宋体;SimSun" w:hAnsi="宋体;SimSun"/>
          <w:color w:val="000000"/>
        </w:rPr>
        <w:t xml:space="preserve">.3. </w:t>
      </w:r>
      <w:r>
        <w:rPr>
          <w:rFonts w:ascii="宋体;SimSun" w:hAnsi="宋体;SimSun" w:cs="宋体;SimSun" w:eastAsia="宋体;SimSun"/>
          <w:color w:val="000000"/>
        </w:rPr>
        <w:t>使用完毕的状态标识由各使用部门进行破坏后再废弃，防止误用；</w:t>
      </w:r>
    </w:p>
    <w:p>
      <w:pPr>
        <w:pStyle w:val="Normal"/>
        <w:autoSpaceDE w:val="false"/>
        <w:spacing w:lineRule="auto" w:line="360"/>
        <w:rPr>
          <w:rFonts w:ascii="宋体;SimSun" w:hAnsi="宋体;SimSun" w:eastAsia="宋体;SimSun" w:cs="宋体;SimSun"/>
          <w:color w:val="000000"/>
        </w:rPr>
      </w:pPr>
      <w:r>
        <w:rPr>
          <w:rFonts w:eastAsia="宋体;SimSun" w:cs="宋体;SimSun" w:ascii="宋体;SimSun" w:hAnsi="宋体;SimSun"/>
        </w:rPr>
        <w:t xml:space="preserve">4.4 </w:t>
      </w:r>
      <w:r>
        <w:rPr>
          <w:rFonts w:eastAsia="宋体;SimSun" w:cs="宋体;SimSun" w:ascii="宋体;SimSun" w:hAnsi="宋体;SimSun"/>
        </w:rPr>
        <w:t xml:space="preserve"> </w:t>
      </w:r>
      <w:r>
        <w:rPr>
          <w:rFonts w:ascii="宋体;SimSun" w:hAnsi="宋体;SimSun" w:cs="宋体;SimSun" w:eastAsia="宋体;SimSun"/>
          <w:b/>
          <w:bCs/>
        </w:rPr>
        <w:t>可追溯性规定</w:t>
      </w:r>
    </w:p>
    <w:p>
      <w:pPr>
        <w:pStyle w:val="Normal"/>
        <w:autoSpaceDE w:val="false"/>
        <w:spacing w:lineRule="auto" w:line="360"/>
        <w:ind w:firstLine="210"/>
        <w:rPr>
          <w:rFonts w:ascii="宋体;SimSun" w:hAnsi="宋体;SimSun" w:eastAsia="宋体;SimSun" w:cs="宋体;SimSun"/>
          <w:color w:val="000000"/>
        </w:rPr>
      </w:pPr>
      <w:r>
        <w:rPr>
          <w:rFonts w:eastAsia="宋体;SimSun" w:cs="宋体;SimSun" w:ascii="宋体;SimSun" w:hAnsi="宋体;SimSun"/>
          <w:color w:val="000000"/>
        </w:rPr>
        <w:t>4.4.1</w:t>
      </w:r>
      <w:r>
        <w:rPr>
          <w:rFonts w:ascii="宋体;SimSun" w:hAnsi="宋体;SimSun" w:cs="宋体;SimSun" w:eastAsia="宋体;SimSun"/>
          <w:color w:val="000000"/>
        </w:rPr>
        <w:t>质量部对产品追溯进行统一管理，并保持所有的追溯记录，定期归档。</w:t>
      </w:r>
    </w:p>
    <w:p>
      <w:pPr>
        <w:pStyle w:val="Normal"/>
        <w:autoSpaceDE w:val="false"/>
        <w:spacing w:lineRule="auto" w:line="360"/>
        <w:ind w:firstLine="210"/>
        <w:rPr>
          <w:rFonts w:ascii="宋体;SimSun" w:hAnsi="宋体;SimSun" w:eastAsia="宋体;SimSun" w:cs="宋体;SimSun"/>
          <w:color w:val="000000"/>
        </w:rPr>
      </w:pPr>
      <w:r>
        <w:rPr>
          <w:rFonts w:eastAsia="宋体;SimSun" w:cs="宋体;SimSun" w:ascii="宋体;SimSun" w:hAnsi="宋体;SimSun"/>
          <w:color w:val="000000"/>
        </w:rPr>
        <w:t>4.</w:t>
      </w:r>
      <w:r>
        <w:rPr>
          <w:rFonts w:eastAsia="宋体;SimSun" w:cs="宋体;SimSun" w:ascii="宋体;SimSun" w:hAnsi="宋体;SimSun"/>
          <w:color w:val="000000"/>
        </w:rPr>
        <w:t xml:space="preserve">4.2 </w:t>
      </w:r>
      <w:r>
        <w:rPr>
          <w:rFonts w:ascii="宋体;SimSun" w:hAnsi="宋体;SimSun" w:cs="宋体;SimSun" w:eastAsia="宋体;SimSun"/>
          <w:color w:val="000000"/>
        </w:rPr>
        <w:t>软件发布和媒介复制，通过批号或者（编号）来追溯： “出厂产品——</w:t>
      </w:r>
      <w:r>
        <w:rPr>
          <w:rFonts w:eastAsia="宋体;SimSun" w:cs="宋体;SimSun" w:ascii="宋体;SimSun" w:hAnsi="宋体;SimSun"/>
          <w:color w:val="000000"/>
        </w:rPr>
        <w:t>U</w:t>
      </w:r>
      <w:r>
        <w:rPr>
          <w:rFonts w:eastAsia="宋体;SimSun" w:cs="宋体;SimSun" w:ascii="宋体;SimSun" w:hAnsi="宋体;SimSun"/>
          <w:color w:val="000000"/>
        </w:rPr>
        <w:t>DI</w:t>
      </w:r>
      <w:r>
        <w:rPr>
          <w:rFonts w:ascii="宋体;SimSun" w:hAnsi="宋体;SimSun" w:cs="宋体;SimSun" w:eastAsia="宋体;SimSun"/>
          <w:color w:val="000000"/>
        </w:rPr>
        <w:t>（适用时）——产品批号或者编号——检验记录——生产记录——进货检验记录——供方批号——采购订单——原材料批号”进行可追溯追踪。</w:t>
      </w:r>
    </w:p>
    <w:p>
      <w:pPr>
        <w:pStyle w:val="Normal"/>
        <w:autoSpaceDE w:val="false"/>
        <w:spacing w:lineRule="auto" w:line="360"/>
        <w:ind w:firstLine="210"/>
        <w:rPr>
          <w:rFonts w:ascii="宋体;SimSun" w:hAnsi="宋体;SimSun" w:eastAsia="宋体;SimSun" w:cs="宋体;SimSun"/>
          <w:color w:val="000000"/>
        </w:rPr>
      </w:pPr>
      <w:r>
        <w:rPr>
          <w:rFonts w:eastAsia="宋体;SimSun" w:cs="宋体;SimSun" w:ascii="宋体;SimSun" w:hAnsi="宋体;SimSun"/>
          <w:color w:val="000000"/>
        </w:rPr>
        <w:t>4.4.</w:t>
      </w:r>
      <w:r>
        <w:rPr>
          <w:rFonts w:eastAsia="宋体;SimSun" w:cs="宋体;SimSun" w:ascii="宋体;SimSun" w:hAnsi="宋体;SimSun"/>
          <w:color w:val="000000"/>
        </w:rPr>
        <w:t>3</w:t>
      </w:r>
      <w:r>
        <w:rPr>
          <w:rFonts w:eastAsia="宋体;SimSun" w:cs="宋体;SimSun" w:ascii="宋体;SimSun" w:hAnsi="宋体;SimSun"/>
          <w:color w:val="000000"/>
        </w:rPr>
        <w:t xml:space="preserve"> </w:t>
      </w:r>
      <w:r>
        <w:rPr>
          <w:rFonts w:ascii="宋体;SimSun" w:hAnsi="宋体;SimSun" w:cs="宋体;SimSun" w:eastAsia="宋体;SimSun"/>
          <w:color w:val="000000"/>
        </w:rPr>
        <w:t>实施追溯的责任部门</w:t>
      </w:r>
    </w:p>
    <w:p>
      <w:pPr>
        <w:pStyle w:val="Normal"/>
        <w:autoSpaceDE w:val="false"/>
        <w:spacing w:lineRule="auto" w:line="360"/>
        <w:ind w:firstLine="634"/>
        <w:rPr>
          <w:rFonts w:ascii="宋体;SimSun" w:hAnsi="宋体;SimSun" w:eastAsia="宋体;SimSun" w:cs="宋体;SimSun"/>
          <w:color w:val="000000"/>
        </w:rPr>
      </w:pPr>
      <w:r>
        <w:rPr>
          <w:rFonts w:eastAsia="宋体;SimSun" w:cs="宋体;SimSun" w:ascii="宋体;SimSun" w:hAnsi="宋体;SimSun"/>
          <w:color w:val="000000"/>
        </w:rPr>
        <w:t>4.4.</w:t>
      </w:r>
      <w:r>
        <w:rPr>
          <w:rFonts w:eastAsia="宋体;SimSun" w:cs="宋体;SimSun" w:ascii="宋体;SimSun" w:hAnsi="宋体;SimSun"/>
          <w:color w:val="000000"/>
        </w:rPr>
        <w:t>3</w:t>
      </w:r>
      <w:r>
        <w:rPr>
          <w:rFonts w:eastAsia="宋体;SimSun" w:cs="宋体;SimSun" w:ascii="宋体;SimSun" w:hAnsi="宋体;SimSun"/>
          <w:color w:val="000000"/>
        </w:rPr>
        <w:t xml:space="preserve">.1 </w:t>
      </w:r>
      <w:r>
        <w:rPr>
          <w:rFonts w:ascii="宋体;SimSun" w:hAnsi="宋体;SimSun" w:cs="宋体;SimSun" w:eastAsia="宋体;SimSun"/>
          <w:color w:val="000000"/>
        </w:rPr>
        <w:t>当顾客反馈售出产品质量信息时，由质量部负责对产品进行追溯；</w:t>
      </w:r>
    </w:p>
    <w:p>
      <w:pPr>
        <w:pStyle w:val="Normal"/>
        <w:autoSpaceDE w:val="false"/>
        <w:spacing w:lineRule="auto" w:line="360"/>
        <w:ind w:firstLine="634"/>
        <w:rPr>
          <w:rFonts w:ascii="宋体;SimSun" w:hAnsi="宋体;SimSun" w:eastAsia="宋体;SimSun" w:cs="宋体;SimSun"/>
          <w:color w:val="000000"/>
        </w:rPr>
      </w:pPr>
      <w:r>
        <w:rPr>
          <w:rFonts w:eastAsia="宋体;SimSun" w:cs="宋体;SimSun" w:ascii="宋体;SimSun" w:hAnsi="宋体;SimSun"/>
          <w:color w:val="000000"/>
        </w:rPr>
        <w:t>4.4.</w:t>
      </w:r>
      <w:r>
        <w:rPr>
          <w:rFonts w:eastAsia="宋体;SimSun" w:cs="宋体;SimSun" w:ascii="宋体;SimSun" w:hAnsi="宋体;SimSun"/>
          <w:color w:val="000000"/>
        </w:rPr>
        <w:t>3</w:t>
      </w:r>
      <w:r>
        <w:rPr>
          <w:rFonts w:eastAsia="宋体;SimSun" w:cs="宋体;SimSun" w:ascii="宋体;SimSun" w:hAnsi="宋体;SimSun"/>
          <w:color w:val="000000"/>
        </w:rPr>
        <w:t xml:space="preserve">.2 </w:t>
      </w:r>
      <w:r>
        <w:rPr>
          <w:rFonts w:ascii="宋体;SimSun" w:hAnsi="宋体;SimSun" w:cs="宋体;SimSun" w:eastAsia="宋体;SimSun"/>
          <w:color w:val="000000"/>
        </w:rPr>
        <w:t>当进货检验发生不合格时，由采购部和储运部负责对产品进行追溯；</w:t>
      </w:r>
    </w:p>
    <w:p>
      <w:pPr>
        <w:pStyle w:val="Normal"/>
        <w:autoSpaceDE w:val="false"/>
        <w:spacing w:lineRule="auto" w:line="360"/>
        <w:ind w:firstLine="634"/>
        <w:rPr>
          <w:rFonts w:ascii="宋体;SimSun" w:hAnsi="宋体;SimSun" w:eastAsia="宋体;SimSun" w:cs="宋体;SimSun"/>
          <w:color w:val="000000"/>
        </w:rPr>
      </w:pPr>
      <w:r>
        <w:rPr>
          <w:rFonts w:eastAsia="宋体;SimSun" w:cs="宋体;SimSun" w:ascii="宋体;SimSun" w:hAnsi="宋体;SimSun"/>
          <w:color w:val="000000"/>
        </w:rPr>
        <w:t>4.4.</w:t>
      </w:r>
      <w:r>
        <w:rPr>
          <w:rFonts w:eastAsia="宋体;SimSun" w:cs="宋体;SimSun" w:ascii="宋体;SimSun" w:hAnsi="宋体;SimSun"/>
          <w:color w:val="000000"/>
        </w:rPr>
        <w:t>3</w:t>
      </w:r>
      <w:r>
        <w:rPr>
          <w:rFonts w:eastAsia="宋体;SimSun" w:cs="宋体;SimSun" w:ascii="宋体;SimSun" w:hAnsi="宋体;SimSun"/>
          <w:color w:val="000000"/>
        </w:rPr>
        <w:t xml:space="preserve">.3 </w:t>
      </w:r>
      <w:r>
        <w:rPr>
          <w:rFonts w:ascii="宋体;SimSun" w:hAnsi="宋体;SimSun" w:cs="宋体;SimSun" w:eastAsia="宋体;SimSun"/>
          <w:color w:val="000000"/>
        </w:rPr>
        <w:t>当生产过程发生不合格时，由生产部及生产车间负责对产品进行追溯；</w:t>
      </w:r>
    </w:p>
    <w:p>
      <w:pPr>
        <w:pStyle w:val="Normal"/>
        <w:autoSpaceDE w:val="false"/>
        <w:spacing w:lineRule="auto" w:line="360"/>
        <w:ind w:firstLine="634"/>
        <w:rPr>
          <w:rFonts w:ascii="宋体;SimSun" w:hAnsi="宋体;SimSun" w:eastAsia="宋体;SimSun" w:cs="宋体;SimSun"/>
          <w:color w:val="000000"/>
        </w:rPr>
      </w:pPr>
      <w:r>
        <w:rPr>
          <w:rFonts w:eastAsia="宋体;SimSun" w:cs="宋体;SimSun" w:ascii="宋体;SimSun" w:hAnsi="宋体;SimSun"/>
          <w:color w:val="000000"/>
        </w:rPr>
        <w:t>4.3.</w:t>
      </w:r>
      <w:r>
        <w:rPr>
          <w:rFonts w:eastAsia="宋体;SimSun" w:cs="宋体;SimSun" w:ascii="宋体;SimSun" w:hAnsi="宋体;SimSun"/>
          <w:color w:val="000000"/>
        </w:rPr>
        <w:t>3</w:t>
      </w:r>
      <w:r>
        <w:rPr>
          <w:rFonts w:eastAsia="宋体;SimSun" w:cs="宋体;SimSun" w:ascii="宋体;SimSun" w:hAnsi="宋体;SimSun"/>
          <w:color w:val="000000"/>
        </w:rPr>
        <w:t xml:space="preserve">.4 </w:t>
      </w:r>
      <w:r>
        <w:rPr>
          <w:rFonts w:ascii="宋体;SimSun" w:hAnsi="宋体;SimSun" w:cs="宋体;SimSun" w:eastAsia="宋体;SimSun"/>
          <w:color w:val="000000"/>
        </w:rPr>
        <w:t>当成品检验发生不合格时，由质量部负责追溯。</w:t>
      </w:r>
    </w:p>
    <w:p>
      <w:pPr>
        <w:pStyle w:val="Normal"/>
        <w:autoSpaceDE w:val="false"/>
        <w:spacing w:lineRule="auto" w:line="360"/>
        <w:ind w:firstLine="634"/>
        <w:rPr>
          <w:rFonts w:ascii="宋体;SimSun" w:hAnsi="宋体;SimSun" w:eastAsia="宋体;SimSun" w:cs="宋体;SimSun"/>
          <w:color w:val="000000"/>
        </w:rPr>
      </w:pPr>
      <w:bookmarkStart w:id="3" w:name="_Hlk535241580"/>
      <w:r>
        <w:rPr>
          <w:rFonts w:eastAsia="宋体;SimSun" w:cs="宋体;SimSun" w:ascii="宋体;SimSun" w:hAnsi="宋体;SimSun"/>
          <w:color w:val="000000"/>
        </w:rPr>
        <w:t>4.3.</w:t>
      </w:r>
      <w:r>
        <w:rPr>
          <w:rFonts w:eastAsia="宋体;SimSun" w:cs="宋体;SimSun" w:ascii="宋体;SimSun" w:hAnsi="宋体;SimSun"/>
          <w:color w:val="000000"/>
        </w:rPr>
        <w:t>3</w:t>
      </w:r>
      <w:r>
        <w:rPr>
          <w:rFonts w:eastAsia="宋体;SimSun" w:cs="宋体;SimSun" w:ascii="宋体;SimSun" w:hAnsi="宋体;SimSun"/>
          <w:color w:val="000000"/>
        </w:rPr>
        <w:t xml:space="preserve">.5 </w:t>
      </w:r>
      <w:bookmarkEnd w:id="3"/>
      <w:r>
        <w:rPr>
          <w:rFonts w:ascii="宋体;SimSun" w:hAnsi="宋体;SimSun" w:cs="宋体;SimSun" w:eastAsia="宋体;SimSun"/>
          <w:color w:val="000000"/>
        </w:rPr>
        <w:t>各部门负责做好本部门区域内的标识记录，积极配合质量部对产品进行追溯；在追溯中发现问题，必须查明责任者和原因，同时制订纠正和预防措施，具体按《纠正和预防措施控制程序》执行。</w:t>
      </w:r>
    </w:p>
    <w:p>
      <w:pPr>
        <w:pStyle w:val="Normal"/>
        <w:autoSpaceDE w:val="false"/>
        <w:spacing w:lineRule="auto" w:line="360"/>
        <w:ind w:firstLine="634"/>
        <w:rPr>
          <w:rFonts w:ascii="宋体;SimSun" w:hAnsi="宋体;SimSun" w:eastAsia="宋体;SimSun" w:cs="宋体;SimSun"/>
          <w:color w:val="000000"/>
        </w:rPr>
      </w:pPr>
      <w:r>
        <w:rPr>
          <w:rFonts w:eastAsia="宋体;SimSun" w:cs="宋体;SimSun" w:ascii="宋体;SimSun" w:hAnsi="宋体;SimSun"/>
          <w:color w:val="000000"/>
        </w:rPr>
        <w:t>4.3.</w:t>
      </w:r>
      <w:r>
        <w:rPr>
          <w:rFonts w:eastAsia="宋体;SimSun" w:cs="宋体;SimSun" w:ascii="宋体;SimSun" w:hAnsi="宋体;SimSun"/>
          <w:color w:val="000000"/>
        </w:rPr>
        <w:t>3</w:t>
      </w:r>
      <w:r>
        <w:rPr>
          <w:rFonts w:eastAsia="宋体;SimSun" w:cs="宋体;SimSun" w:ascii="宋体;SimSun" w:hAnsi="宋体;SimSun"/>
          <w:color w:val="000000"/>
        </w:rPr>
        <w:t>.6</w:t>
      </w:r>
      <w:r>
        <w:rPr>
          <w:rFonts w:eastAsia="宋体;SimSun" w:cs="宋体;SimSun" w:ascii="宋体;SimSun" w:hAnsi="宋体;SimSun"/>
          <w:color w:val="000000"/>
        </w:rPr>
        <w:t xml:space="preserve"> </w:t>
      </w:r>
      <w:r>
        <w:rPr>
          <w:rFonts w:ascii="宋体;SimSun" w:hAnsi="宋体;SimSun" w:cs="宋体;SimSun" w:eastAsia="宋体;SimSun"/>
          <w:color w:val="000000"/>
        </w:rPr>
        <w:t>软件本身的可追溯性分析，由研发部在“软件开发阶段”组织实施，按照《</w:t>
      </w:r>
      <w:r>
        <w:rPr>
          <w:rFonts w:ascii="宋体;SimSun" w:hAnsi="宋体;SimSun" w:cs="宋体;SimSun" w:eastAsia="宋体;SimSun"/>
        </w:rPr>
        <w:t>软件可追溯性分析控制程序</w:t>
      </w:r>
      <w:r>
        <w:rPr>
          <w:rFonts w:ascii="宋体;SimSun" w:hAnsi="宋体;SimSun" w:cs="宋体;SimSun" w:eastAsia="宋体;SimSun"/>
          <w:color w:val="000000"/>
        </w:rPr>
        <w:t>》进行。</w:t>
      </w:r>
    </w:p>
    <w:p>
      <w:pPr>
        <w:pStyle w:val="Normal"/>
        <w:autoSpaceDE w:val="false"/>
        <w:spacing w:lineRule="auto" w:line="360"/>
        <w:rPr>
          <w:rFonts w:ascii="宋体;SimSun" w:hAnsi="宋体;SimSun" w:eastAsia="宋体;SimSun" w:cs="宋体;SimSun"/>
          <w:color w:val="000000"/>
        </w:rPr>
      </w:pPr>
      <w:r>
        <w:rPr>
          <w:rFonts w:eastAsia="宋体;SimSun" w:cs="宋体;SimSun" w:ascii="宋体;SimSun" w:hAnsi="宋体;SimSun"/>
          <w:color w:val="000000"/>
        </w:rPr>
        <w:t>4.4.</w:t>
      </w:r>
      <w:r>
        <w:rPr>
          <w:rFonts w:eastAsia="宋体;SimSun" w:cs="宋体;SimSun" w:ascii="宋体;SimSun" w:hAnsi="宋体;SimSun"/>
          <w:color w:val="000000"/>
        </w:rPr>
        <w:t xml:space="preserve">4 </w:t>
      </w:r>
      <w:r>
        <w:rPr>
          <w:rFonts w:ascii="宋体;SimSun" w:hAnsi="宋体;SimSun" w:cs="宋体;SimSun" w:eastAsia="宋体;SimSun"/>
          <w:color w:val="000000"/>
        </w:rPr>
        <w:t>追溯的范围和程度</w:t>
      </w:r>
    </w:p>
    <w:p>
      <w:pPr>
        <w:pStyle w:val="Normal"/>
        <w:autoSpaceDE w:val="false"/>
        <w:spacing w:lineRule="auto" w:line="360"/>
        <w:ind w:firstLine="634"/>
        <w:rPr>
          <w:rFonts w:ascii="宋体;SimSun" w:hAnsi="宋体;SimSun" w:eastAsia="宋体;SimSun" w:cs="宋体;SimSun"/>
          <w:color w:val="000000"/>
        </w:rPr>
      </w:pPr>
      <w:r>
        <w:rPr>
          <w:rFonts w:eastAsia="宋体;SimSun" w:cs="宋体;SimSun" w:ascii="宋体;SimSun" w:hAnsi="宋体;SimSun"/>
          <w:color w:val="000000"/>
        </w:rPr>
        <w:t>4.4.</w:t>
      </w:r>
      <w:r>
        <w:rPr>
          <w:rFonts w:eastAsia="宋体;SimSun" w:cs="宋体;SimSun" w:ascii="宋体;SimSun" w:hAnsi="宋体;SimSun"/>
          <w:color w:val="000000"/>
        </w:rPr>
        <w:t>4</w:t>
      </w:r>
      <w:r>
        <w:rPr>
          <w:rFonts w:eastAsia="宋体;SimSun" w:cs="宋体;SimSun" w:ascii="宋体;SimSun" w:hAnsi="宋体;SimSun"/>
          <w:color w:val="000000"/>
        </w:rPr>
        <w:t xml:space="preserve">.1 </w:t>
      </w:r>
      <w:r>
        <w:rPr>
          <w:rFonts w:ascii="宋体;SimSun" w:hAnsi="宋体;SimSun" w:cs="宋体;SimSun" w:eastAsia="宋体;SimSun"/>
          <w:color w:val="000000"/>
        </w:rPr>
        <w:t>进货检验中发生的不合格，主要原材料追溯到原材料的批号、进货日期和供方，查看相关记录；</w:t>
      </w:r>
    </w:p>
    <w:p>
      <w:pPr>
        <w:pStyle w:val="Normal"/>
        <w:autoSpaceDE w:val="false"/>
        <w:spacing w:lineRule="auto" w:line="360"/>
        <w:ind w:firstLine="634"/>
        <w:rPr>
          <w:rFonts w:ascii="宋体;SimSun" w:hAnsi="宋体;SimSun" w:eastAsia="宋体;SimSun" w:cs="宋体;SimSun"/>
          <w:color w:val="000000"/>
        </w:rPr>
      </w:pPr>
      <w:r>
        <w:rPr>
          <w:rFonts w:eastAsia="宋体;SimSun" w:cs="宋体;SimSun" w:ascii="宋体;SimSun" w:hAnsi="宋体;SimSun"/>
          <w:color w:val="000000"/>
        </w:rPr>
        <w:t>4.4.</w:t>
      </w:r>
      <w:r>
        <w:rPr>
          <w:rFonts w:eastAsia="宋体;SimSun" w:cs="宋体;SimSun" w:ascii="宋体;SimSun" w:hAnsi="宋体;SimSun"/>
          <w:color w:val="000000"/>
        </w:rPr>
        <w:t>4</w:t>
      </w:r>
      <w:r>
        <w:rPr>
          <w:rFonts w:eastAsia="宋体;SimSun" w:cs="宋体;SimSun" w:ascii="宋体;SimSun" w:hAnsi="宋体;SimSun"/>
          <w:color w:val="000000"/>
        </w:rPr>
        <w:t xml:space="preserve">.2 </w:t>
      </w:r>
      <w:r>
        <w:rPr>
          <w:rFonts w:ascii="宋体;SimSun" w:hAnsi="宋体;SimSun" w:cs="宋体;SimSun" w:eastAsia="宋体;SimSun"/>
          <w:color w:val="000000"/>
        </w:rPr>
        <w:t>过程检验中发生的不合格，追溯到上道工序操作者和工序检验员，同时还追溯到有关设备、关键和特殊过程参数及工作环境情况，查看相关记录；</w:t>
      </w:r>
    </w:p>
    <w:p>
      <w:pPr>
        <w:pStyle w:val="Normal"/>
        <w:autoSpaceDE w:val="false"/>
        <w:spacing w:lineRule="auto" w:line="360"/>
        <w:ind w:firstLine="634"/>
        <w:rPr>
          <w:rFonts w:ascii="宋体;SimSun" w:hAnsi="宋体;SimSun" w:eastAsia="宋体;SimSun" w:cs="宋体;SimSun"/>
          <w:color w:val="000000"/>
        </w:rPr>
      </w:pPr>
      <w:r>
        <w:rPr>
          <w:rFonts w:eastAsia="宋体;SimSun" w:cs="宋体;SimSun" w:ascii="宋体;SimSun" w:hAnsi="宋体;SimSun"/>
          <w:color w:val="000000"/>
        </w:rPr>
        <w:t>4.4.</w:t>
      </w:r>
      <w:r>
        <w:rPr>
          <w:rFonts w:eastAsia="宋体;SimSun" w:cs="宋体;SimSun" w:ascii="宋体;SimSun" w:hAnsi="宋体;SimSun"/>
          <w:color w:val="000000"/>
        </w:rPr>
        <w:t>4</w:t>
      </w:r>
      <w:r>
        <w:rPr>
          <w:rFonts w:eastAsia="宋体;SimSun" w:cs="宋体;SimSun" w:ascii="宋体;SimSun" w:hAnsi="宋体;SimSun"/>
          <w:color w:val="000000"/>
        </w:rPr>
        <w:t xml:space="preserve">.3 </w:t>
      </w:r>
      <w:r>
        <w:rPr>
          <w:rFonts w:ascii="宋体;SimSun" w:hAnsi="宋体;SimSun" w:cs="宋体;SimSun" w:eastAsia="宋体;SimSun"/>
          <w:color w:val="000000"/>
        </w:rPr>
        <w:t>最终产品出厂之前检验发生的不合格，追溯到包装工序的操作者、工序检验员；</w:t>
      </w:r>
    </w:p>
    <w:p>
      <w:pPr>
        <w:pStyle w:val="Normal"/>
        <w:autoSpaceDE w:val="false"/>
        <w:spacing w:lineRule="auto" w:line="360"/>
        <w:ind w:firstLine="634"/>
        <w:rPr>
          <w:rFonts w:ascii="宋体;SimSun" w:hAnsi="宋体;SimSun" w:eastAsia="宋体;SimSun" w:cs="宋体;SimSun"/>
          <w:color w:val="000000"/>
        </w:rPr>
      </w:pPr>
      <w:r>
        <w:rPr>
          <w:rFonts w:eastAsia="宋体;SimSun" w:cs="宋体;SimSun" w:ascii="宋体;SimSun" w:hAnsi="宋体;SimSun"/>
          <w:color w:val="000000"/>
        </w:rPr>
        <w:t>4.4.</w:t>
      </w:r>
      <w:r>
        <w:rPr>
          <w:rFonts w:eastAsia="宋体;SimSun" w:cs="宋体;SimSun" w:ascii="宋体;SimSun" w:hAnsi="宋体;SimSun"/>
          <w:color w:val="000000"/>
        </w:rPr>
        <w:t>4</w:t>
      </w:r>
      <w:r>
        <w:rPr>
          <w:rFonts w:eastAsia="宋体;SimSun" w:cs="宋体;SimSun" w:ascii="宋体;SimSun" w:hAnsi="宋体;SimSun"/>
          <w:color w:val="000000"/>
        </w:rPr>
        <w:t xml:space="preserve">.4 </w:t>
      </w:r>
      <w:r>
        <w:rPr>
          <w:rFonts w:ascii="宋体;SimSun" w:hAnsi="宋体;SimSun" w:cs="宋体;SimSun" w:eastAsia="宋体;SimSun"/>
          <w:color w:val="000000"/>
        </w:rPr>
        <w:t>顾客和经销商反馈的售后质量信息，追溯到发运人员、运输部门；</w:t>
      </w:r>
    </w:p>
    <w:p>
      <w:pPr>
        <w:pStyle w:val="Normal"/>
        <w:autoSpaceDE w:val="false"/>
        <w:spacing w:lineRule="auto" w:line="360"/>
        <w:ind w:firstLine="634"/>
        <w:rPr>
          <w:rFonts w:ascii="宋体;SimSun" w:hAnsi="宋体;SimSun" w:eastAsia="宋体;SimSun" w:cs="宋体;SimSun"/>
          <w:color w:val="000000"/>
        </w:rPr>
      </w:pPr>
      <w:r>
        <w:rPr>
          <w:rFonts w:eastAsia="宋体;SimSun" w:cs="宋体;SimSun" w:ascii="宋体;SimSun" w:hAnsi="宋体;SimSun"/>
          <w:color w:val="000000"/>
        </w:rPr>
        <w:t>4.4.</w:t>
      </w:r>
      <w:r>
        <w:rPr>
          <w:rFonts w:eastAsia="宋体;SimSun" w:cs="宋体;SimSun" w:ascii="宋体;SimSun" w:hAnsi="宋体;SimSun"/>
          <w:color w:val="000000"/>
        </w:rPr>
        <w:t>4</w:t>
      </w:r>
      <w:r>
        <w:rPr>
          <w:rFonts w:eastAsia="宋体;SimSun" w:cs="宋体;SimSun" w:ascii="宋体;SimSun" w:hAnsi="宋体;SimSun"/>
          <w:color w:val="000000"/>
        </w:rPr>
        <w:t xml:space="preserve">.5 </w:t>
      </w:r>
      <w:r>
        <w:rPr>
          <w:rFonts w:ascii="宋体;SimSun" w:hAnsi="宋体;SimSun" w:cs="宋体;SimSun" w:eastAsia="宋体;SimSun"/>
          <w:color w:val="000000"/>
        </w:rPr>
        <w:t>已发出的产品发现不合格，从成品入库起一直追溯到分销点和直销医院所直接涉及的部门和人员。</w:t>
      </w:r>
    </w:p>
    <w:p>
      <w:pPr>
        <w:pStyle w:val="Normal"/>
        <w:autoSpaceDE w:val="false"/>
        <w:spacing w:lineRule="auto" w:line="360"/>
        <w:rPr>
          <w:rFonts w:ascii="宋体;SimSun" w:hAnsi="宋体;SimSun" w:eastAsia="宋体;SimSun" w:cs="宋体;SimSun"/>
          <w:b/>
          <w:b/>
          <w:bCs/>
        </w:rPr>
      </w:pPr>
      <w:r>
        <w:rPr>
          <w:rFonts w:eastAsia="宋体;SimSun" w:cs="宋体;SimSun" w:ascii="宋体;SimSun" w:hAnsi="宋体;SimSun"/>
        </w:rPr>
        <w:t xml:space="preserve">5. </w:t>
      </w:r>
      <w:r>
        <w:rPr>
          <w:rFonts w:ascii="宋体;SimSun" w:hAnsi="宋体;SimSun" w:cs="宋体;SimSun" w:eastAsia="宋体;SimSun"/>
          <w:b/>
          <w:bCs/>
        </w:rPr>
        <w:t>相关文件</w:t>
      </w:r>
    </w:p>
    <w:p>
      <w:pPr>
        <w:pStyle w:val="Normal"/>
        <w:autoSpaceDE w:val="false"/>
        <w:spacing w:lineRule="auto" w:line="360"/>
        <w:ind w:firstLine="424"/>
        <w:rPr>
          <w:rFonts w:ascii="宋体;SimSun" w:hAnsi="宋体;SimSun" w:eastAsia="宋体;SimSun" w:cs="宋体;SimSun"/>
        </w:rPr>
      </w:pPr>
      <w:r>
        <w:rPr>
          <w:rFonts w:eastAsia="宋体;SimSun" w:cs="宋体;SimSun" w:ascii="宋体;SimSun" w:hAnsi="宋体;SimSun"/>
        </w:rPr>
        <w:t>QMS-P21</w:t>
      </w:r>
      <w:r>
        <w:rPr>
          <w:rFonts w:ascii="宋体;SimSun" w:hAnsi="宋体;SimSun" w:cs="宋体;SimSun" w:eastAsia="宋体;SimSun"/>
        </w:rPr>
        <w:t>《产品的监视和测量控制程序》</w:t>
      </w:r>
    </w:p>
    <w:p>
      <w:pPr>
        <w:pStyle w:val="Normal"/>
        <w:autoSpaceDE w:val="false"/>
        <w:spacing w:lineRule="auto" w:line="360"/>
        <w:rPr>
          <w:rFonts w:ascii="宋体;SimSun" w:hAnsi="宋体;SimSun" w:eastAsia="宋体;SimSun" w:cs="宋体;SimSun"/>
          <w:b/>
          <w:b/>
        </w:rPr>
      </w:pPr>
      <w:r>
        <w:rPr>
          <w:rFonts w:eastAsia="宋体;SimSun" w:cs="宋体;SimSun" w:ascii="宋体;SimSun" w:hAnsi="宋体;SimSun"/>
        </w:rPr>
        <w:t xml:space="preserve">6. </w:t>
      </w:r>
      <w:r>
        <w:rPr>
          <w:rFonts w:ascii="宋体;SimSun" w:hAnsi="宋体;SimSun" w:cs="宋体;SimSun" w:eastAsia="宋体;SimSun"/>
          <w:b/>
        </w:rPr>
        <w:t>记录</w:t>
      </w:r>
    </w:p>
    <w:p>
      <w:pPr>
        <w:pStyle w:val="Normal"/>
        <w:autoSpaceDE w:val="false"/>
        <w:spacing w:lineRule="auto" w:line="360"/>
        <w:rPr>
          <w:rFonts w:ascii="宋体;SimSun" w:hAnsi="宋体;SimSun" w:eastAsia="宋体;SimSun" w:cs="宋体;SimSun"/>
        </w:rPr>
      </w:pPr>
      <w:r>
        <w:rPr>
          <w:rFonts w:eastAsia="宋体;SimSun" w:cs="宋体;SimSun" w:ascii="宋体;SimSun" w:hAnsi="宋体;SimSun"/>
          <w:b/>
        </w:rPr>
        <w:t xml:space="preserve">  </w:t>
      </w:r>
      <w:r>
        <w:rPr>
          <w:rFonts w:eastAsia="宋体;SimSun" w:cs="宋体;SimSun" w:ascii="宋体;SimSun" w:hAnsi="宋体;SimSun"/>
        </w:rPr>
        <w:t xml:space="preserve"> </w:t>
      </w:r>
      <w:r>
        <w:rPr>
          <w:rFonts w:ascii="宋体;SimSun" w:hAnsi="宋体;SimSun" w:cs="宋体;SimSun" w:eastAsia="宋体;SimSun"/>
        </w:rPr>
        <w:t>无</w:t>
      </w:r>
    </w:p>
    <w:p>
      <w:pPr>
        <w:pStyle w:val="Normal"/>
        <w:autoSpaceDE w:val="false"/>
        <w:spacing w:lineRule="auto" w:line="360"/>
        <w:rPr>
          <w:rFonts w:ascii="宋体;SimSun" w:hAnsi="宋体;SimSun" w:eastAsia="宋体;SimSun" w:cs="宋体;SimSun"/>
          <w:b/>
          <w:b/>
          <w:szCs w:val="21"/>
        </w:rPr>
      </w:pPr>
      <w:r>
        <w:rPr>
          <w:rFonts w:eastAsia="宋体;SimSun" w:cs="宋体;SimSun" w:ascii="宋体;SimSun" w:hAnsi="宋体;SimSun"/>
          <w:b/>
          <w:szCs w:val="21"/>
        </w:rPr>
        <w:t xml:space="preserve">7. </w:t>
      </w:r>
      <w:r>
        <w:rPr>
          <w:rFonts w:ascii="宋体;SimSun" w:hAnsi="宋体;SimSun" w:cs="宋体;SimSun" w:eastAsia="宋体;SimSun"/>
          <w:b/>
          <w:szCs w:val="21"/>
        </w:rPr>
        <w:t>文件更改履历表</w:t>
      </w:r>
    </w:p>
    <w:tbl>
      <w:tblPr>
        <w:tblW w:w="9828" w:type="dxa"/>
        <w:jc w:val="left"/>
        <w:tblInd w:w="0" w:type="dxa"/>
        <w:tblLayout w:type="fixed"/>
        <w:tblCellMar>
          <w:top w:w="0" w:type="dxa"/>
          <w:left w:w="108" w:type="dxa"/>
          <w:bottom w:w="0" w:type="dxa"/>
          <w:right w:w="108" w:type="dxa"/>
        </w:tblCellMar>
      </w:tblPr>
      <w:tblGrid>
        <w:gridCol w:w="1559"/>
        <w:gridCol w:w="6204"/>
        <w:gridCol w:w="2065"/>
      </w:tblGrid>
      <w:tr>
        <w:trPr>
          <w:trHeight w:val="424" w:hRule="atLeast"/>
        </w:trPr>
        <w:tc>
          <w:tcPr>
            <w:tcW w:w="1559" w:type="dxa"/>
            <w:tcBorders>
              <w:top w:val="single" w:sz="12" w:space="0" w:color="000000"/>
              <w:left w:val="single" w:sz="12" w:space="0" w:color="000000"/>
              <w:bottom w:val="single" w:sz="6" w:space="0" w:color="000000"/>
              <w:right w:val="single" w:sz="6" w:space="0" w:color="000000"/>
            </w:tcBorders>
            <w:vAlign w:val="center"/>
          </w:tcPr>
          <w:p>
            <w:pPr>
              <w:pStyle w:val="Normal"/>
              <w:spacing w:lineRule="auto" w:line="360"/>
              <w:ind w:firstLine="316"/>
              <w:rPr>
                <w:rFonts w:ascii="宋体;SimSun" w:hAnsi="宋体;SimSun" w:eastAsia="宋体;SimSun" w:cs="宋体;SimSun"/>
                <w:b/>
                <w:b/>
                <w:szCs w:val="21"/>
              </w:rPr>
            </w:pPr>
            <w:r>
              <w:rPr>
                <w:rFonts w:ascii="宋体;SimSun" w:hAnsi="宋体;SimSun" w:cs="宋体;SimSun" w:eastAsia="宋体;SimSun"/>
                <w:b/>
                <w:szCs w:val="21"/>
              </w:rPr>
              <w:t>版本号</w:t>
            </w:r>
          </w:p>
        </w:tc>
        <w:tc>
          <w:tcPr>
            <w:tcW w:w="6204" w:type="dxa"/>
            <w:tcBorders>
              <w:top w:val="single" w:sz="12" w:space="0" w:color="000000"/>
              <w:left w:val="single" w:sz="6" w:space="0" w:color="000000"/>
              <w:bottom w:val="single" w:sz="6" w:space="0" w:color="000000"/>
              <w:right w:val="single" w:sz="4" w:space="0" w:color="000000"/>
            </w:tcBorders>
            <w:vAlign w:val="center"/>
          </w:tcPr>
          <w:p>
            <w:pPr>
              <w:pStyle w:val="Normal"/>
              <w:autoSpaceDE w:val="false"/>
              <w:spacing w:lineRule="auto" w:line="360"/>
              <w:jc w:val="center"/>
              <w:rPr>
                <w:rFonts w:ascii="宋体;SimSun" w:hAnsi="宋体;SimSun" w:eastAsia="宋体;SimSun" w:cs="宋体;SimSun"/>
                <w:b/>
                <w:b/>
                <w:color w:val="000000"/>
                <w:szCs w:val="21"/>
              </w:rPr>
            </w:pPr>
            <w:r>
              <w:rPr>
                <w:rFonts w:ascii="宋体;SimSun" w:hAnsi="宋体;SimSun" w:cs="宋体;SimSun" w:eastAsia="宋体;SimSun"/>
                <w:b/>
                <w:szCs w:val="21"/>
              </w:rPr>
              <w:t>更改描述</w:t>
            </w:r>
          </w:p>
        </w:tc>
        <w:tc>
          <w:tcPr>
            <w:tcW w:w="2065" w:type="dxa"/>
            <w:tcBorders>
              <w:top w:val="single" w:sz="12" w:space="0" w:color="000000"/>
              <w:left w:val="single" w:sz="4" w:space="0" w:color="000000"/>
              <w:bottom w:val="single" w:sz="6" w:space="0" w:color="000000"/>
              <w:right w:val="single" w:sz="12" w:space="0" w:color="000000"/>
            </w:tcBorders>
            <w:vAlign w:val="center"/>
          </w:tcPr>
          <w:p>
            <w:pPr>
              <w:pStyle w:val="Normal"/>
              <w:autoSpaceDE w:val="false"/>
              <w:spacing w:lineRule="auto" w:line="360"/>
              <w:jc w:val="center"/>
              <w:rPr>
                <w:rFonts w:ascii="宋体;SimSun" w:hAnsi="宋体;SimSun" w:eastAsia="宋体;SimSun" w:cs="宋体;SimSun"/>
                <w:b/>
                <w:b/>
                <w:color w:val="000000"/>
                <w:szCs w:val="21"/>
              </w:rPr>
            </w:pPr>
            <w:r>
              <w:rPr>
                <w:rFonts w:ascii="宋体;SimSun" w:hAnsi="宋体;SimSun" w:cs="宋体;SimSun" w:eastAsia="宋体;SimSun"/>
                <w:b/>
                <w:color w:val="000000"/>
                <w:szCs w:val="21"/>
              </w:rPr>
              <w:t>生效日期</w:t>
            </w:r>
          </w:p>
        </w:tc>
      </w:tr>
      <w:tr>
        <w:trPr/>
        <w:tc>
          <w:tcPr>
            <w:tcW w:w="1559" w:type="dxa"/>
            <w:tcBorders>
              <w:top w:val="single" w:sz="6" w:space="0" w:color="000000"/>
              <w:left w:val="single" w:sz="12" w:space="0" w:color="000000"/>
              <w:bottom w:val="single" w:sz="12" w:space="0" w:color="000000"/>
              <w:right w:val="single" w:sz="6" w:space="0" w:color="000000"/>
            </w:tcBorders>
          </w:tcPr>
          <w:p>
            <w:pPr>
              <w:pStyle w:val="2"/>
              <w:spacing w:lineRule="auto" w:line="360"/>
              <w:ind w:left="0" w:hanging="0"/>
              <w:jc w:val="center"/>
              <w:rPr>
                <w:rFonts w:ascii="宋体;SimSun" w:hAnsi="宋体;SimSun" w:eastAsia="宋体;SimSun" w:cs="宋体;SimSun"/>
                <w:sz w:val="21"/>
              </w:rPr>
            </w:pPr>
            <w:r>
              <w:rPr>
                <w:rFonts w:eastAsia="宋体;SimSun" w:cs="宋体;SimSun" w:ascii="宋体;SimSun" w:hAnsi="宋体;SimSun"/>
                <w:sz w:val="21"/>
              </w:rPr>
              <w:t>A00</w:t>
            </w:r>
          </w:p>
        </w:tc>
        <w:tc>
          <w:tcPr>
            <w:tcW w:w="6204" w:type="dxa"/>
            <w:tcBorders>
              <w:top w:val="single" w:sz="6" w:space="0" w:color="000000"/>
              <w:left w:val="single" w:sz="6" w:space="0" w:color="000000"/>
              <w:bottom w:val="single" w:sz="12" w:space="0" w:color="000000"/>
              <w:right w:val="single" w:sz="4" w:space="0" w:color="000000"/>
            </w:tcBorders>
          </w:tcPr>
          <w:p>
            <w:pPr>
              <w:pStyle w:val="2"/>
              <w:spacing w:lineRule="auto" w:line="360"/>
              <w:ind w:left="0" w:hanging="0"/>
              <w:jc w:val="center"/>
              <w:rPr>
                <w:rFonts w:ascii="宋体;SimSun" w:hAnsi="宋体;SimSun" w:eastAsia="宋体;SimSun" w:cs="宋体;SimSun"/>
                <w:sz w:val="21"/>
              </w:rPr>
            </w:pPr>
            <w:r>
              <w:rPr>
                <w:rFonts w:ascii="宋体;SimSun" w:hAnsi="宋体;SimSun" w:cs="宋体;SimSun" w:eastAsia="宋体;SimSun"/>
                <w:sz w:val="21"/>
              </w:rPr>
              <w:t>新文件</w:t>
            </w:r>
          </w:p>
        </w:tc>
        <w:tc>
          <w:tcPr>
            <w:tcW w:w="2065" w:type="dxa"/>
            <w:tcBorders>
              <w:top w:val="single" w:sz="6" w:space="0" w:color="000000"/>
              <w:left w:val="single" w:sz="4" w:space="0" w:color="000000"/>
              <w:bottom w:val="single" w:sz="12" w:space="0" w:color="000000"/>
              <w:right w:val="single" w:sz="12" w:space="0" w:color="000000"/>
            </w:tcBorders>
          </w:tcPr>
          <w:p>
            <w:pPr>
              <w:pStyle w:val="2"/>
              <w:spacing w:lineRule="auto" w:line="360"/>
              <w:ind w:left="0" w:hanging="180"/>
              <w:jc w:val="center"/>
              <w:rPr>
                <w:rFonts w:ascii="宋体;SimSun" w:hAnsi="宋体;SimSun" w:eastAsia="宋体;SimSun" w:cs="宋体;SimSun"/>
                <w:sz w:val="21"/>
              </w:rPr>
            </w:pPr>
            <w:r>
              <w:rPr>
                <w:rFonts w:eastAsia="宋体;SimSun" w:cs="宋体;SimSun" w:ascii="宋体;SimSun" w:hAnsi="宋体;SimSun"/>
                <w:sz w:val="21"/>
              </w:rPr>
              <w:t>20</w:t>
            </w:r>
            <w:r>
              <w:rPr>
                <w:rFonts w:eastAsia="宋体;SimSun" w:cs="宋体;SimSun" w:ascii="宋体;SimSun" w:hAnsi="宋体;SimSun"/>
                <w:sz w:val="21"/>
              </w:rPr>
              <w:t>20</w:t>
            </w:r>
            <w:r>
              <w:rPr>
                <w:rFonts w:eastAsia="宋体;SimSun" w:cs="宋体;SimSun" w:ascii="宋体;SimSun" w:hAnsi="宋体;SimSun"/>
                <w:sz w:val="21"/>
              </w:rPr>
              <w:t>-0</w:t>
            </w:r>
            <w:r>
              <w:rPr>
                <w:rFonts w:eastAsia="宋体;SimSun" w:cs="宋体;SimSun" w:ascii="宋体;SimSun" w:hAnsi="宋体;SimSun"/>
                <w:sz w:val="21"/>
              </w:rPr>
              <w:t>6</w:t>
            </w:r>
            <w:r>
              <w:rPr>
                <w:rFonts w:eastAsia="宋体;SimSun" w:cs="宋体;SimSun" w:ascii="宋体;SimSun" w:hAnsi="宋体;SimSun"/>
                <w:sz w:val="21"/>
              </w:rPr>
              <w:t>-</w:t>
            </w:r>
            <w:r>
              <w:rPr>
                <w:rFonts w:eastAsia="宋体;SimSun" w:cs="宋体;SimSun" w:ascii="宋体;SimSun" w:hAnsi="宋体;SimSun"/>
                <w:sz w:val="21"/>
              </w:rPr>
              <w:t>22</w:t>
            </w:r>
          </w:p>
        </w:tc>
      </w:tr>
    </w:tbl>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r>
    </w:p>
    <w:sectPr>
      <w:type w:val="continuous"/>
      <w:pgSz w:w="11906" w:h="16838"/>
      <w:pgMar w:left="1134" w:right="1134" w:gutter="0" w:header="851" w:top="1134" w:footer="992" w:bottom="1134"/>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altName w:val="DengXian"/>
    <w:charset w:val="86"/>
    <w:family w:val="auto"/>
    <w:pitch w:val="variable"/>
  </w:font>
  <w:font w:name="Arial Black">
    <w:charset w:val="00"/>
    <w:family w:val="swiss"/>
    <w:pitch w:val="variable"/>
  </w:font>
  <w:font w:name="Liberation Sans">
    <w:altName w:val="Arial"/>
    <w:charset w:val="01"/>
    <w:family w:val="swiss"/>
    <w:pitch w:val="variable"/>
  </w:font>
  <w:font w:name="宋体">
    <w:altName w:val="SimSun"/>
    <w:charset w:val="86"/>
    <w:family w:val="auto"/>
    <w:pitch w:val="variable"/>
  </w:font>
  <w:font w:name="ËÎÌå">
    <w:altName w:val="宋体"/>
    <w:charset w:val="86"/>
    <w:family w:val="auto"/>
    <w:pitch w:val="default"/>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49" w:type="dxa"/>
      <w:jc w:val="left"/>
      <w:tblInd w:w="250" w:type="dxa"/>
      <w:tblLayout w:type="fixed"/>
      <w:tblCellMar>
        <w:top w:w="0" w:type="dxa"/>
        <w:left w:w="108" w:type="dxa"/>
        <w:bottom w:w="0" w:type="dxa"/>
        <w:right w:w="108" w:type="dxa"/>
      </w:tblCellMar>
    </w:tblPr>
    <w:tblGrid>
      <w:gridCol w:w="1403"/>
      <w:gridCol w:w="4621"/>
      <w:gridCol w:w="3325"/>
    </w:tblGrid>
    <w:tr>
      <w:trPr>
        <w:trHeight w:val="327" w:hRule="atLeast"/>
      </w:trPr>
      <w:tc>
        <w:tcPr>
          <w:tcW w:w="140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 xml:space="preserve">文件名称 </w:t>
          </w:r>
        </w:p>
      </w:tc>
      <w:tc>
        <w:tcPr>
          <w:tcW w:w="4621"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 xml:space="preserve">标识和可追溯性控制程序 </w:t>
          </w:r>
        </w:p>
      </w:tc>
      <w:tc>
        <w:tcPr>
          <w:tcW w:w="3325" w:type="dxa"/>
          <w:tcBorders>
            <w:top w:val="double" w:sz="4" w:space="0" w:color="000000"/>
            <w:left w:val="single" w:sz="6" w:space="0" w:color="000000"/>
            <w:bottom w:val="single" w:sz="6"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文件编号：    </w:t>
          </w:r>
          <w:r>
            <w:rPr>
              <w:rFonts w:eastAsia="宋体;SimSun" w:cs="宋体;SimSun" w:ascii="宋体;SimSun" w:hAnsi="宋体;SimSun"/>
              <w:sz w:val="24"/>
              <w:szCs w:val="24"/>
            </w:rPr>
            <w:t>QMS-P13</w:t>
          </w:r>
        </w:p>
      </w:tc>
    </w:tr>
    <w:tr>
      <w:trPr>
        <w:trHeight w:val="331" w:hRule="atLeast"/>
      </w:trPr>
      <w:tc>
        <w:tcPr>
          <w:tcW w:w="1403" w:type="dxa"/>
          <w:vMerge w:val="continue"/>
          <w:tcBorders>
            <w:top w:val="double" w:sz="4" w:space="0" w:color="000000"/>
            <w:left w:val="double" w:sz="4" w:space="0" w:color="000000"/>
            <w:bottom w:val="single" w:sz="6" w:space="0" w:color="000000"/>
            <w:right w:val="single" w:sz="4" w:space="0" w:color="000000"/>
          </w:tcBorders>
          <w:vAlign w:val="center"/>
        </w:tcPr>
        <w:p>
          <w:pPr>
            <w:pStyle w:val="Header"/>
            <w:snapToGrid w:val="false"/>
            <w:rPr>
              <w:rFonts w:ascii="宋体;SimSun" w:hAnsi="宋体;SimSun" w:eastAsia="宋体;SimSun" w:cs="宋体;SimSun"/>
              <w:sz w:val="24"/>
              <w:szCs w:val="24"/>
            </w:rPr>
          </w:pPr>
          <w:r>
            <w:rPr>
              <w:rFonts w:eastAsia="宋体;SimSun" w:cs="宋体;SimSun" w:ascii="宋体;SimSun" w:hAnsi="宋体;SimSun"/>
              <w:sz w:val="24"/>
              <w:szCs w:val="24"/>
            </w:rPr>
          </w:r>
        </w:p>
      </w:tc>
      <w:tc>
        <w:tcPr>
          <w:tcW w:w="4621" w:type="dxa"/>
          <w:vMerge w:val="continue"/>
          <w:tcBorders>
            <w:top w:val="double" w:sz="4" w:space="0" w:color="000000"/>
            <w:left w:val="single" w:sz="4" w:space="0" w:color="000000"/>
            <w:bottom w:val="single" w:sz="6" w:space="0" w:color="000000"/>
            <w:right w:val="single" w:sz="6" w:space="0" w:color="000000"/>
          </w:tcBorders>
          <w:vAlign w:val="center"/>
        </w:tcPr>
        <w:p>
          <w:pPr>
            <w:pStyle w:val="Header"/>
            <w:snapToGrid w:val="false"/>
            <w:rPr>
              <w:rFonts w:ascii="宋体;SimSun" w:hAnsi="宋体;SimSun" w:eastAsia="宋体;SimSun" w:cs="宋体;SimSun"/>
            </w:rPr>
          </w:pPr>
          <w:r>
            <w:rPr>
              <w:rFonts w:eastAsia="宋体;SimSun" w:cs="宋体;SimSun" w:ascii="宋体;SimSun" w:hAnsi="宋体;SimSun"/>
            </w:rPr>
          </w:r>
        </w:p>
      </w:tc>
      <w:tc>
        <w:tcPr>
          <w:tcW w:w="3325" w:type="dxa"/>
          <w:tcBorders>
            <w:top w:val="single" w:sz="6" w:space="0" w:color="000000"/>
            <w:left w:val="single" w:sz="6" w:space="0" w:color="000000"/>
            <w:bottom w:val="single" w:sz="6"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版本修订号：   </w:t>
          </w:r>
          <w:r>
            <w:rPr>
              <w:rFonts w:eastAsia="宋体;SimSun" w:cs="宋体;SimSun" w:ascii="宋体;SimSun" w:hAnsi="宋体;SimSun"/>
              <w:sz w:val="24"/>
              <w:szCs w:val="24"/>
            </w:rPr>
            <w:t>A00</w:t>
          </w:r>
        </w:p>
      </w:tc>
    </w:tr>
    <w:tr>
      <w:trPr>
        <w:trHeight w:val="399" w:hRule="atLeast"/>
      </w:trPr>
      <w:tc>
        <w:tcPr>
          <w:tcW w:w="6024" w:type="dxa"/>
          <w:gridSpan w:val="2"/>
          <w:tcBorders>
            <w:top w:val="single" w:sz="4" w:space="0" w:color="000000"/>
            <w:left w:val="double" w:sz="4" w:space="0" w:color="000000"/>
            <w:bottom w:val="double" w:sz="4" w:space="0" w:color="000000"/>
            <w:right w:val="single" w:sz="6" w:space="0" w:color="000000"/>
          </w:tcBorders>
        </w:tcPr>
        <w:p>
          <w:pPr>
            <w:pStyle w:val="Normal"/>
            <w:jc w:val="center"/>
            <w:rPr>
              <w:rFonts w:ascii="宋体;SimSun" w:hAnsi="宋体;SimSun" w:eastAsia="宋体;SimSun" w:cs="宋体;SimSun"/>
            </w:rPr>
          </w:pPr>
          <w:r>
            <w:rPr>
              <w:rFonts w:ascii="宋体;SimSun" w:hAnsi="宋体;SimSun" w:cs="宋体;SimSun" w:eastAsia="宋体;SimSun"/>
            </w:rPr>
            <w:t>上海深至信息科技有限公司程序文件</w:t>
          </w:r>
        </w:p>
      </w:tc>
      <w:tc>
        <w:tcPr>
          <w:tcW w:w="3325" w:type="dxa"/>
          <w:tcBorders>
            <w:top w:val="single" w:sz="6" w:space="0" w:color="000000"/>
            <w:left w:val="single" w:sz="6" w:space="0" w:color="000000"/>
            <w:bottom w:val="double" w:sz="4"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页      码：   </w:t>
          </w:r>
          <w:r>
            <w:rPr>
              <w:rFonts w:ascii="宋体;SimSun" w:hAnsi="宋体;SimSun" w:cs="宋体;SimSun" w:eastAsia="宋体;SimSun"/>
              <w:sz w:val="24"/>
              <w:szCs w:val="24"/>
            </w:rPr>
            <w:fldChar w:fldCharType="begin"/>
          </w:r>
          <w:r>
            <w:rPr>
              <w:sz w:val="24"/>
              <w:szCs w:val="24"/>
              <w:rFonts w:ascii="宋体;SimSun" w:hAnsi="宋体;SimSun" w:cs="宋体;SimSun" w:eastAsia="宋体;SimSun"/>
            </w:rPr>
            <w:instrText xml:space="preserve"> PAGE </w:instrText>
          </w:r>
          <w:r>
            <w:rPr>
              <w:sz w:val="24"/>
              <w:szCs w:val="24"/>
              <w:rFonts w:ascii="宋体;SimSun" w:hAnsi="宋体;SimSun" w:cs="宋体;SimSun" w:eastAsia="宋体;SimSun"/>
            </w:rPr>
            <w:fldChar w:fldCharType="separate"/>
          </w:r>
          <w:r>
            <w:rPr>
              <w:sz w:val="24"/>
              <w:szCs w:val="24"/>
              <w:rFonts w:ascii="宋体;SimSun" w:hAnsi="宋体;SimSun" w:cs="宋体;SimSun" w:eastAsia="宋体;SimSun"/>
            </w:rPr>
            <w:t>4</w:t>
          </w:r>
          <w:r>
            <w:rPr>
              <w:sz w:val="24"/>
              <w:szCs w:val="24"/>
              <w:rFonts w:ascii="宋体;SimSun" w:hAnsi="宋体;SimSun" w:cs="宋体;SimSun" w:eastAsia="宋体;SimSun"/>
            </w:rPr>
            <w:fldChar w:fldCharType="end"/>
          </w:r>
          <w:r>
            <w:rPr>
              <w:rFonts w:eastAsia="宋体;SimSun" w:cs="宋体;SimSun" w:ascii="宋体;SimSun" w:hAnsi="宋体;SimSun"/>
              <w:sz w:val="24"/>
              <w:szCs w:val="24"/>
            </w:rPr>
            <w:t>/4</w:t>
          </w:r>
        </w:p>
      </w:tc>
    </w:tr>
  </w:tbl>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420"/>
        </w:tabs>
        <w:ind w:left="1050" w:hanging="420"/>
      </w:pPr>
    </w:lvl>
    <w:lvl w:ilvl="1">
      <w:start w:val="1"/>
      <w:numFmt w:val="lowerLetter"/>
      <w:lvlText w:val="%2)"/>
      <w:lvlJc w:val="left"/>
      <w:pPr>
        <w:tabs>
          <w:tab w:val="num" w:pos="0"/>
        </w:tabs>
        <w:ind w:left="1470" w:hanging="420"/>
      </w:pPr>
    </w:lvl>
    <w:lvl w:ilvl="2">
      <w:start w:val="1"/>
      <w:numFmt w:val="lowerRoman"/>
      <w:lvlText w:val="%3."/>
      <w:lvlJc w:val="right"/>
      <w:pPr>
        <w:tabs>
          <w:tab w:val="num" w:pos="0"/>
        </w:tabs>
        <w:ind w:left="1890" w:hanging="420"/>
      </w:pPr>
    </w:lvl>
    <w:lvl w:ilvl="3">
      <w:start w:val="1"/>
      <w:numFmt w:val="decimal"/>
      <w:lvlText w:val="%4."/>
      <w:lvlJc w:val="left"/>
      <w:pPr>
        <w:tabs>
          <w:tab w:val="num" w:pos="0"/>
        </w:tabs>
        <w:ind w:left="2310" w:hanging="420"/>
      </w:pPr>
    </w:lvl>
    <w:lvl w:ilvl="4">
      <w:start w:val="1"/>
      <w:numFmt w:val="lowerLetter"/>
      <w:lvlText w:val="%5)"/>
      <w:lvlJc w:val="left"/>
      <w:pPr>
        <w:tabs>
          <w:tab w:val="num" w:pos="0"/>
        </w:tabs>
        <w:ind w:left="2730" w:hanging="420"/>
      </w:pPr>
    </w:lvl>
    <w:lvl w:ilvl="5">
      <w:start w:val="1"/>
      <w:numFmt w:val="lowerRoman"/>
      <w:lvlText w:val="%6."/>
      <w:lvlJc w:val="right"/>
      <w:pPr>
        <w:tabs>
          <w:tab w:val="num" w:pos="0"/>
        </w:tabs>
        <w:ind w:left="3150" w:hanging="420"/>
      </w:pPr>
    </w:lvl>
    <w:lvl w:ilvl="6">
      <w:start w:val="1"/>
      <w:numFmt w:val="decimal"/>
      <w:lvlText w:val="%7."/>
      <w:lvlJc w:val="left"/>
      <w:pPr>
        <w:tabs>
          <w:tab w:val="num" w:pos="0"/>
        </w:tabs>
        <w:ind w:left="3570" w:hanging="420"/>
      </w:pPr>
    </w:lvl>
    <w:lvl w:ilvl="7">
      <w:start w:val="1"/>
      <w:numFmt w:val="lowerLetter"/>
      <w:lvlText w:val="%8)"/>
      <w:lvlJc w:val="left"/>
      <w:pPr>
        <w:tabs>
          <w:tab w:val="num" w:pos="0"/>
        </w:tabs>
        <w:ind w:left="3990" w:hanging="420"/>
      </w:pPr>
    </w:lvl>
    <w:lvl w:ilvl="8">
      <w:start w:val="1"/>
      <w:numFmt w:val="lowerRoman"/>
      <w:lvlText w:val="%9."/>
      <w:lvlJc w:val="right"/>
      <w:pPr>
        <w:tabs>
          <w:tab w:val="num" w:pos="0"/>
        </w:tabs>
        <w:ind w:left="4410" w:hanging="420"/>
      </w:pPr>
    </w:lvl>
  </w:abstractNum>
  <w:num w:numId="1">
    <w:abstractNumId w:val="1"/>
  </w:num>
  <w:num w:numId="2">
    <w:abstractNumId w:val="2"/>
  </w:num>
</w:numbering>
</file>

<file path=word/settings.xml><?xml version="1.0" encoding="utf-8"?>
<w:settings xmlns:w="http://schemas.openxmlformats.org/wordprocessingml/2006/main">
  <w:zoom w:percent="85"/>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DengXian" w:hAnsi="等线;DengXian" w:eastAsia="等线;DengXian" w:cs="等线;DengXian"/>
      <w:color w:val="auto"/>
      <w:kern w:val="2"/>
      <w:sz w:val="21"/>
      <w:szCs w:val="24"/>
      <w:lang w:val="en-US" w:eastAsia="zh-CN" w:bidi="ar-SA"/>
    </w:rPr>
  </w:style>
  <w:style w:type="paragraph" w:styleId="Heading1">
    <w:name w:val="Heading 1"/>
    <w:basedOn w:val="Normal"/>
    <w:next w:val="Normal"/>
    <w:qFormat/>
    <w:pPr>
      <w:keepNext w:val="true"/>
      <w:numPr>
        <w:ilvl w:val="0"/>
        <w:numId w:val="1"/>
      </w:numPr>
      <w:spacing w:lineRule="auto" w:line="360"/>
      <w:jc w:val="center"/>
      <w:outlineLvl w:val="0"/>
    </w:pPr>
    <w:rPr>
      <w:rFonts w:ascii="Arial Black" w:hAnsi="Arial Black" w:cs="Arial Black"/>
      <w:b/>
      <w:bCs/>
    </w:rPr>
  </w:style>
  <w:style w:type="character" w:styleId="Style13">
    <w:name w:val="默认段落字体"/>
    <w:qFormat/>
    <w:rPr/>
  </w:style>
  <w:style w:type="character" w:styleId="Style14">
    <w:name w:val="页眉 字符"/>
    <w:qFormat/>
    <w:rPr>
      <w:kern w:val="2"/>
      <w:sz w:val="18"/>
      <w:szCs w:val="18"/>
    </w:rPr>
  </w:style>
  <w:style w:type="character" w:styleId="St1">
    <w:name w:val="st1"/>
    <w:basedOn w:val="Style13"/>
    <w:qFormat/>
    <w:rPr/>
  </w:style>
  <w:style w:type="character" w:styleId="PageNumber">
    <w:name w:val="Page Number"/>
    <w:basedOn w:val="Style13"/>
    <w:rPr/>
  </w:style>
  <w:style w:type="character" w:styleId="Style15">
    <w:name w:val="日期 字符"/>
    <w:qFormat/>
    <w:rPr>
      <w:kern w:val="2"/>
      <w:sz w:val="21"/>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widowControl/>
      <w:spacing w:before="0" w:after="120"/>
      <w:ind w:left="420" w:hanging="0"/>
      <w:jc w:val="left"/>
    </w:pPr>
    <w:rPr>
      <w:rFonts w:ascii="宋体;SimSun" w:hAnsi="宋体;SimSun" w:cs="宋体;SimSun"/>
      <w:kern w:val="0"/>
      <w:sz w:val="16"/>
      <w:szCs w:val="16"/>
    </w:rPr>
  </w:style>
  <w:style w:type="paragraph" w:styleId="2">
    <w:name w:val="正文文本缩进 2"/>
    <w:basedOn w:val="Normal"/>
    <w:qFormat/>
    <w:pPr>
      <w:widowControl/>
      <w:ind w:left="1260" w:hanging="180"/>
      <w:jc w:val="left"/>
    </w:pPr>
    <w:rPr>
      <w:rFonts w:ascii="ËÎÌå;宋体" w:hAnsi="ËÎÌå;宋体" w:eastAsia="ËÎÌå;宋体" w:cs="宋体;SimSun"/>
      <w:kern w:val="0"/>
      <w:sz w:val="24"/>
      <w:szCs w:val="21"/>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TextBodyIndent">
    <w:name w:val="Body Text Indent"/>
    <w:basedOn w:val="Normal"/>
    <w:pPr>
      <w:spacing w:before="0" w:after="120"/>
      <w:ind w:left="420" w:hanging="0"/>
    </w:pPr>
    <w:rPr/>
  </w:style>
  <w:style w:type="paragraph" w:styleId="Style16">
    <w:name w:val="日期"/>
    <w:basedOn w:val="Normal"/>
    <w:next w:val="Normal"/>
    <w:qFormat/>
    <w:pPr/>
    <w:rPr>
      <w:kern w:val="2"/>
      <w:sz w:val="21"/>
    </w:rPr>
  </w:style>
  <w:style w:type="paragraph" w:styleId="Style17">
    <w:name w:val="列表段落"/>
    <w:basedOn w:val="Normal"/>
    <w:qFormat/>
    <w:pPr>
      <w:ind w:firstLine="420"/>
    </w:pPr>
    <w:rPr>
      <w:rFonts w:ascii="Calibri" w:hAnsi="Calibri" w:eastAsia="宋体;SimSun" w:cs="Times New Roman"/>
      <w:szCs w:val="2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header" Target="header1.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2020-11-24T14:37:00Z</dcterms:created>
  <dc:creator>Hu</dc:creator>
  <dc:description/>
  <cp:keywords/>
  <dc:language>en-US</dc:language>
  <cp:lastModifiedBy>husmi</cp:lastModifiedBy>
  <cp:lastPrinted>2012-12-10T16:17:00Z</cp:lastPrinted>
  <dcterms:modified xsi:type="dcterms:W3CDTF">2021-07-07T19:20:00Z</dcterms:modified>
  <cp:revision>3</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