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上海深至信息科技有限公司</w:t>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zh-CN"/>
        </w:rPr>
        <w:t>质量管理体系文件</w:t>
      </w:r>
    </w:p>
    <w:p>
      <w:pPr>
        <w:pStyle w:val="Normal"/>
        <w:autoSpaceDE w:val="false"/>
        <w:spacing w:lineRule="exact" w:line="440"/>
        <w:jc w:val="center"/>
        <w:rPr>
          <w:rFonts w:ascii="宋体" w:hAnsi="宋体" w:cs="宋体"/>
          <w:b/>
          <w:b/>
          <w:sz w:val="32"/>
          <w:szCs w:val="32"/>
          <w:lang w:val="zh-CN"/>
        </w:rPr>
      </w:pPr>
      <w:r>
        <mc:AlternateContent>
          <mc:Choice Requires="wps">
            <w:drawing>
              <wp:anchor behindDoc="0" distT="0" distB="0" distL="114935" distR="114935" simplePos="0" locked="0" layoutInCell="0" allowOverlap="1" relativeHeight="3">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cs="宋体" w:ascii="宋体" w:hAnsi="宋体"/>
          <w:b/>
          <w:sz w:val="32"/>
          <w:szCs w:val="32"/>
          <w:lang w:val="zh-CN"/>
        </w:rPr>
        <w:t xml:space="preserve">  </w:t>
      </w:r>
    </w:p>
    <w:p>
      <w:pPr>
        <w:pStyle w:val="Normal"/>
        <w:autoSpaceDE w:val="false"/>
        <w:spacing w:lineRule="exact" w:line="440"/>
        <w:jc w:val="center"/>
        <w:rPr>
          <w:rFonts w:ascii="宋体" w:hAnsi="宋体" w:cs="宋体"/>
          <w:b/>
          <w:b/>
          <w:sz w:val="28"/>
          <w:szCs w:val="28"/>
          <w:lang w:val="zh-CN"/>
        </w:rPr>
      </w:pPr>
      <w:r>
        <w:rPr>
          <w:rFonts w:cs="宋体" w:ascii="宋体" w:hAnsi="宋体"/>
          <w:b/>
          <w:sz w:val="28"/>
          <w:szCs w:val="28"/>
          <w:lang w:val="zh-CN"/>
        </w:rPr>
      </w:r>
    </w:p>
    <w:p>
      <w:pPr>
        <w:pStyle w:val="Normal"/>
        <w:autoSpaceDE w:val="false"/>
        <w:spacing w:lineRule="exact" w:line="440"/>
        <w:jc w:val="center"/>
        <w:rPr>
          <w:rFonts w:ascii="宋体" w:hAnsi="宋体" w:cs="宋体"/>
          <w:b/>
          <w:b/>
          <w:sz w:val="32"/>
          <w:szCs w:val="32"/>
          <w:lang w:val="zh-CN"/>
        </w:rPr>
      </w:pPr>
      <w:r>
        <w:rPr>
          <w:rFonts w:cs="宋体" w:ascii="宋体" w:hAnsi="宋体"/>
          <w:b/>
          <w:sz w:val="32"/>
          <w:szCs w:val="32"/>
          <w:lang w:val="zh-CN"/>
        </w:rPr>
      </w:r>
    </w:p>
    <w:p>
      <w:pPr>
        <w:pStyle w:val="Normal"/>
        <w:autoSpaceDE w:val="false"/>
        <w:spacing w:lineRule="exact" w:line="440"/>
        <w:jc w:val="center"/>
        <w:rPr>
          <w:rFonts w:ascii="宋体" w:hAnsi="宋体" w:cs="宋体"/>
          <w:b/>
          <w:b/>
          <w:sz w:val="32"/>
          <w:szCs w:val="32"/>
          <w:lang w:val="zh-CN"/>
        </w:rPr>
      </w:pPr>
      <w:r>
        <w:rPr>
          <w:rFonts w:ascii="宋体" w:hAnsi="宋体" w:cs="宋体"/>
          <w:b/>
          <w:sz w:val="32"/>
          <w:szCs w:val="32"/>
          <w:lang w:val="en-US" w:eastAsia="zh-CN"/>
        </w:rPr>
        <w:t>网络安全应急响应</w:t>
      </w:r>
      <w:r>
        <w:rPr>
          <w:rFonts w:ascii="宋体" w:hAnsi="宋体" w:cs="宋体"/>
          <w:b/>
          <w:sz w:val="32"/>
          <w:szCs w:val="32"/>
          <w:lang w:val="zh-CN"/>
        </w:rPr>
        <w:t>控制程序</w:t>
      </w:r>
    </w:p>
    <w:p>
      <w:pPr>
        <w:pStyle w:val="Normal"/>
        <w:tabs>
          <w:tab w:val="clear" w:pos="420"/>
          <w:tab w:val="left" w:pos="3420" w:leader="none"/>
        </w:tabs>
        <w:autoSpaceDE w:val="false"/>
        <w:spacing w:lineRule="exact" w:line="440"/>
        <w:jc w:val="center"/>
        <w:rPr>
          <w:rFonts w:ascii="宋体" w:hAnsi="宋体" w:cs="宋体"/>
          <w:b/>
          <w:b/>
          <w:sz w:val="30"/>
          <w:szCs w:val="30"/>
          <w:lang w:val="zh-CN"/>
        </w:rPr>
      </w:pPr>
      <w:r>
        <w:rPr>
          <w:rFonts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lang w:eastAsia="zh-CN"/>
              </w:rPr>
            </w:pPr>
            <w:r>
              <w:rPr>
                <w:rFonts w:cs="宋体" w:ascii="宋体" w:hAnsi="宋体"/>
                <w:sz w:val="30"/>
                <w:szCs w:val="30"/>
              </w:rPr>
              <w:t>QMS-P2</w:t>
            </w:r>
            <w:r>
              <w:rPr>
                <w:rFonts w:cs="宋体" w:ascii="宋体" w:hAnsi="宋体"/>
                <w:sz w:val="30"/>
                <w:szCs w:val="30"/>
                <w:lang w:val="en-US" w:eastAsia="zh-CN"/>
              </w:rPr>
              <w:t>9</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ascii="宋体" w:hAnsi="宋体" w:cs="宋体"/>
                <w:sz w:val="30"/>
                <w:szCs w:val="30"/>
                <w:lang w:val="en-US" w:eastAsia="zh-CN"/>
              </w:rPr>
              <w:t>质量</w:t>
            </w:r>
            <w:r>
              <w:rPr>
                <w:rFonts w:ascii="宋体" w:hAnsi="宋体" w:cs="宋体"/>
                <w:sz w:val="30"/>
                <w:szCs w:val="30"/>
              </w:rPr>
              <w:t>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cs="宋体"/>
                <w:sz w:val="30"/>
                <w:szCs w:val="30"/>
              </w:rPr>
            </w:pPr>
            <w:r>
              <w:rPr>
                <w:rFonts w:cs="宋体" w:ascii="宋体" w:hAnsi="宋体"/>
                <w:sz w:val="30"/>
                <w:szCs w:val="30"/>
              </w:rPr>
              <w:t>A</w:t>
            </w:r>
            <w:r>
              <w:rPr>
                <w:rFonts w:cs="宋体" w:ascii="宋体" w:hAnsi="宋体"/>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cs="宋体"/>
                <w:b/>
                <w:b/>
                <w:sz w:val="30"/>
                <w:szCs w:val="30"/>
              </w:rPr>
            </w:pPr>
            <w:r>
              <w:rPr>
                <w:rFonts w:ascii="宋体" w:hAnsi="宋体" w:cs="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cs="宋体"/>
                <w:b/>
                <w:b/>
                <w:sz w:val="30"/>
                <w:szCs w:val="30"/>
              </w:rPr>
            </w:pPr>
            <w:r>
              <w:rPr>
                <w:rFonts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cs="宋体"/>
          <w:b/>
          <w:b/>
          <w:sz w:val="30"/>
          <w:szCs w:val="30"/>
        </w:rPr>
      </w:pPr>
      <w:r>
        <w:rPr>
          <w:rFonts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cs="宋体"/>
          <w:b/>
          <w:b/>
          <w:sz w:val="30"/>
          <w:szCs w:val="30"/>
        </w:rPr>
      </w:pPr>
      <w:bookmarkStart w:id="0" w:name="_Hlk72919458"/>
      <w:bookmarkEnd w:id="0"/>
      <w:r>
        <w:rPr>
          <w:rFonts w:ascii="宋体" w:hAnsi="宋体" w:cs="宋体"/>
          <w:b/>
          <w:sz w:val="30"/>
          <w:szCs w:val="30"/>
        </w:rPr>
        <w:t>起草人：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cs="宋体"/>
          <w:b/>
          <w:b/>
          <w:sz w:val="30"/>
          <w:szCs w:val="30"/>
        </w:rPr>
      </w:pPr>
      <w:r>
        <w:rPr>
          <w:rFonts w:ascii="宋体" w:hAnsi="宋体" w:cs="宋体"/>
          <w:b/>
          <w:sz w:val="30"/>
          <w:szCs w:val="30"/>
        </w:rPr>
        <w:t>审核人：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cs="宋体"/>
          <w:b/>
          <w:b/>
          <w:sz w:val="30"/>
          <w:szCs w:val="30"/>
        </w:rPr>
      </w:pPr>
      <w:r>
        <w:rPr>
          <w:rFonts w:ascii="宋体" w:hAnsi="宋体" w:cs="宋体"/>
          <w:b/>
          <w:sz w:val="30"/>
          <w:szCs w:val="30"/>
        </w:rPr>
        <w:t>批准人：</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u w:val="single"/>
        </w:rPr>
        <w:t xml:space="preserve">  </w:t>
      </w:r>
      <w:r>
        <w:rPr>
          <w:rFonts w:ascii="宋体" w:hAnsi="宋体" w:cs="宋体"/>
          <w:b/>
          <w:sz w:val="30"/>
          <w:szCs w:val="30"/>
        </w:rPr>
        <w:t>日期：</w:t>
      </w:r>
      <w:r>
        <w:rPr>
          <w:rFonts w:ascii="宋体" w:hAnsi="宋体" w:cs="宋体"/>
          <w:b/>
          <w:sz w:val="30"/>
          <w:szCs w:val="30"/>
          <w:u w:val="single"/>
        </w:rPr>
        <w:t xml:space="preserve"> </w:t>
      </w:r>
      <w:r>
        <w:rPr>
          <w:rFonts w:ascii="宋体" w:hAnsi="宋体" w:cs="宋体"/>
          <w:b/>
          <w:sz w:val="30"/>
          <w:szCs w:val="30"/>
          <w:u w:val="single"/>
        </w:rPr>
        <w:t xml:space="preserve">           </w:t>
      </w:r>
    </w:p>
    <w:p>
      <w:pPr>
        <w:pStyle w:val="Normal"/>
        <w:ind w:right="-351" w:hanging="0"/>
        <w:rPr>
          <w:rFonts w:ascii="宋体" w:hAnsi="宋体" w:cs="宋体"/>
          <w:b/>
          <w:b/>
          <w:sz w:val="24"/>
          <w:szCs w:val="30"/>
        </w:rPr>
      </w:pPr>
      <w:r>
        <w:rPr>
          <w:rFonts w:cs="宋体" w:ascii="宋体" w:hAnsi="宋体"/>
          <w:b/>
          <w:sz w:val="24"/>
          <w:szCs w:val="30"/>
        </w:rPr>
      </w:r>
      <w:bookmarkStart w:id="1" w:name="_Hlk72919458"/>
      <w:bookmarkStart w:id="2" w:name="_Hlk72919458"/>
      <w:bookmarkEnd w:id="2"/>
    </w:p>
    <w:p>
      <w:pPr>
        <w:pStyle w:val="Normal"/>
        <w:rPr>
          <w:rFonts w:ascii="宋体" w:hAnsi="宋体" w:cs="宋体"/>
          <w:b/>
          <w:b/>
          <w:sz w:val="24"/>
        </w:rPr>
      </w:pPr>
      <w:r>
        <w:rPr>
          <w:rFonts w:cs="宋体" w:ascii="宋体" w:hAnsi="宋体"/>
          <w:b/>
          <w:sz w:val="24"/>
        </w:rPr>
      </w:r>
    </w:p>
    <w:p>
      <w:pPr>
        <w:pStyle w:val="Normal"/>
        <w:ind w:right="-351" w:hanging="0"/>
        <w:rPr>
          <w:rFonts w:ascii="宋体" w:hAnsi="宋体" w:cs="宋体"/>
          <w:b/>
          <w:b/>
          <w:sz w:val="24"/>
        </w:rPr>
      </w:pPr>
      <w:r>
        <w:rPr>
          <w:rFonts w:cs="宋体" w:ascii="宋体" w:hAnsi="宋体"/>
          <w:b/>
          <w:sz w:val="24"/>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420" w:hanging="0"/>
        <w:rPr>
          <w:rFonts w:ascii="宋体" w:hAnsi="宋体" w:cs="宋体"/>
          <w:b/>
          <w:b/>
          <w:sz w:val="24"/>
          <w:u w:val="single"/>
        </w:rPr>
      </w:pPr>
      <w:r>
        <w:rPr>
          <w:rFonts w:cs="宋体" w:ascii="宋体" w:hAnsi="宋体"/>
          <w:b/>
          <w:sz w:val="24"/>
          <w:u w:val="single"/>
        </w:rPr>
      </w:r>
    </w:p>
    <w:p>
      <w:pPr>
        <w:pStyle w:val="Normal"/>
        <w:tabs>
          <w:tab w:val="clear" w:pos="420"/>
          <w:tab w:val="left" w:pos="7513" w:leader="none"/>
        </w:tabs>
        <w:ind w:right="-286" w:hanging="0"/>
        <w:rPr>
          <w:rFonts w:ascii="宋体" w:hAnsi="宋体" w:cs="宋体"/>
          <w:b/>
          <w:b/>
          <w:sz w:val="24"/>
          <w:u w:val="single"/>
        </w:rPr>
      </w:pPr>
      <w:r>
        <w:rPr>
          <w:rFonts w:cs="宋体" w:ascii="宋体" w:hAnsi="宋体"/>
          <w:bCs/>
          <w:sz w:val="28"/>
          <w:szCs w:val="28"/>
          <w:u w:val="single"/>
        </w:rPr>
        <w:t xml:space="preserve">                                                              </w:t>
      </w:r>
      <w:r>
        <w:rPr>
          <w:rFonts w:cs="宋体" w:ascii="宋体" w:hAnsi="宋体"/>
          <w:bCs/>
          <w:sz w:val="28"/>
          <w:szCs w:val="28"/>
          <w:u w:val="single"/>
        </w:rPr>
        <w:t xml:space="preserve"> </w:t>
      </w:r>
      <w:r>
        <w:rPr>
          <w:rFonts w:cs="宋体" w:ascii="宋体" w:hAnsi="宋体"/>
          <w:bCs/>
          <w:sz w:val="28"/>
          <w:szCs w:val="28"/>
          <w:u w:val="single"/>
        </w:rPr>
        <w:t xml:space="preserve">           </w:t>
      </w:r>
      <w:r>
        <w:rPr>
          <w:rFonts w:cs="宋体" w:ascii="宋体" w:hAnsi="宋体"/>
          <w:b/>
          <w:sz w:val="24"/>
          <w:u w:val="single"/>
        </w:rPr>
        <w:t xml:space="preserve">       </w:t>
      </w:r>
    </w:p>
    <w:p>
      <w:pPr>
        <w:pStyle w:val="Normal"/>
        <w:tabs>
          <w:tab w:val="clear" w:pos="420"/>
          <w:tab w:val="left" w:pos="7513" w:leader="none"/>
        </w:tabs>
        <w:ind w:right="-144" w:hanging="0"/>
        <w:rPr>
          <w:rFonts w:ascii="宋体" w:hAnsi="宋体" w:cs="宋体"/>
          <w:b/>
          <w:b/>
          <w:color w:val="FF0000"/>
          <w:sz w:val="24"/>
        </w:rPr>
      </w:pPr>
      <w:r>
        <w:rPr>
          <w:rFonts w:ascii="宋体" w:hAnsi="宋体" w:cs="宋体"/>
          <w:b/>
          <w:sz w:val="24"/>
        </w:rPr>
        <w:t>分发部门：研发部、质量部、生产</w:t>
      </w:r>
      <w:r>
        <w:rPr>
          <w:rFonts w:cs="宋体" w:ascii="宋体" w:hAnsi="宋体"/>
          <w:b/>
          <w:sz w:val="24"/>
        </w:rPr>
        <w:t>/</w:t>
      </w:r>
      <w:r>
        <w:rPr>
          <w:rFonts w:ascii="宋体" w:hAnsi="宋体" w:cs="宋体"/>
          <w:b/>
          <w:sz w:val="24"/>
        </w:rPr>
        <w:t>运维部、销售部、</w:t>
      </w:r>
      <w:r>
        <w:rPr>
          <w:rFonts w:ascii="宋体" w:hAnsi="宋体" w:cs="宋体"/>
          <w:b/>
          <w:sz w:val="24"/>
          <w:lang w:val="en-US" w:eastAsia="zh-CN"/>
        </w:rPr>
        <w:t>行政</w:t>
      </w:r>
      <w:r>
        <w:rPr>
          <w:rFonts w:ascii="宋体" w:hAnsi="宋体" w:cs="宋体"/>
          <w:b/>
          <w:sz w:val="24"/>
        </w:rPr>
        <w:t xml:space="preserve">部    </w:t>
      </w:r>
      <w:r>
        <w:rPr>
          <w:rFonts w:ascii="宋体" w:hAnsi="宋体" w:cs="宋体"/>
          <w:b/>
          <w:color w:val="FF0000"/>
          <w:sz w:val="24"/>
        </w:rPr>
        <w:t>生效日期：</w:t>
      </w:r>
      <w:r>
        <w:rPr>
          <w:rFonts w:cs="宋体" w:ascii="宋体" w:hAnsi="宋体"/>
          <w:b/>
          <w:color w:val="FF0000"/>
          <w:sz w:val="24"/>
        </w:rPr>
        <w:t>20</w:t>
      </w:r>
      <w:r>
        <w:rPr>
          <w:rFonts w:cs="宋体" w:ascii="宋体" w:hAnsi="宋体"/>
          <w:b/>
          <w:color w:val="FF0000"/>
          <w:sz w:val="24"/>
        </w:rPr>
        <w:t>20</w:t>
      </w:r>
      <w:r>
        <w:rPr>
          <w:rFonts w:cs="宋体" w:ascii="宋体" w:hAnsi="宋体"/>
          <w:b/>
          <w:color w:val="FF0000"/>
          <w:sz w:val="24"/>
        </w:rPr>
        <w:t>-0</w:t>
      </w:r>
      <w:r>
        <w:rPr>
          <w:rFonts w:cs="宋体" w:ascii="宋体" w:hAnsi="宋体"/>
          <w:b/>
          <w:color w:val="FF0000"/>
          <w:sz w:val="24"/>
        </w:rPr>
        <w:t>6</w:t>
      </w:r>
      <w:r>
        <w:rPr>
          <w:rFonts w:cs="宋体" w:ascii="宋体" w:hAnsi="宋体"/>
          <w:b/>
          <w:color w:val="FF0000"/>
          <w:sz w:val="24"/>
        </w:rPr>
        <w:t>-</w:t>
      </w:r>
      <w:r>
        <w:rPr>
          <w:rFonts w:cs="宋体" w:ascii="宋体" w:hAnsi="宋体"/>
          <w:b/>
          <w:color w:val="FF0000"/>
          <w:sz w:val="24"/>
        </w:rPr>
        <w:t>22</w:t>
      </w:r>
    </w:p>
    <w:p>
      <w:pPr>
        <w:sectPr>
          <w:footerReference w:type="default" r:id="rId2"/>
          <w:type w:val="nextPage"/>
          <w:pgSz w:w="11906" w:h="16838"/>
          <w:pgMar w:left="1418" w:right="1418" w:gutter="0" w:header="0" w:top="1276" w:footer="992" w:bottom="1134"/>
          <w:pgNumType w:fmt="decimal"/>
          <w:formProt w:val="false"/>
          <w:textDirection w:val="lrTb"/>
          <w:docGrid w:type="lines" w:linePitch="312" w:charSpace="0"/>
        </w:sectPr>
      </w:pPr>
    </w:p>
    <w:p>
      <w:pPr>
        <w:pStyle w:val="Normal"/>
        <w:numPr>
          <w:ilvl w:val="0"/>
          <w:numId w:val="0"/>
        </w:numPr>
        <w:rPr>
          <w:rFonts w:ascii="宋体" w:hAnsi="宋体" w:cs="宋体"/>
          <w:b/>
          <w:b/>
          <w:color w:val="FF0000"/>
          <w:sz w:val="24"/>
        </w:rPr>
      </w:pPr>
      <w:r>
        <w:rPr>
          <w:rFonts w:cs="宋体" w:ascii="宋体" w:hAnsi="宋体"/>
          <w:b/>
          <w:color w:val="FF0000"/>
          <w:sz w:val="24"/>
        </w:rPr>
      </w:r>
    </w:p>
    <w:p>
      <w:pPr>
        <w:sectPr>
          <w:headerReference w:type="default" r:id="rId3"/>
          <w:footerReference w:type="default" r:id="rId4"/>
          <w:type w:val="nextPage"/>
          <w:pgSz w:w="11906" w:h="16838"/>
          <w:pgMar w:left="1134" w:right="1134" w:gutter="0" w:header="851" w:top="1134" w:footer="992" w:bottom="1134"/>
          <w:pgNumType w:start="2" w:fmt="decimal"/>
          <w:formProt w:val="false"/>
          <w:textDirection w:val="lrTb"/>
          <w:docGrid w:type="lines" w:linePitch="312" w:charSpace="0"/>
        </w:sectPr>
      </w:pPr>
      <w:r>
        <w:br w:type="page"/>
      </w:r>
    </w:p>
    <w:p>
      <w:pPr>
        <w:pStyle w:val="TextBodyIndent"/>
        <w:pageBreakBefore w:val="false"/>
        <w:widowControl w:val="false"/>
        <w:numPr>
          <w:ilvl w:val="0"/>
          <w:numId w:val="5"/>
        </w:numPr>
        <w:kinsoku w:val="true"/>
        <w:overflowPunct w:val="true"/>
        <w:bidi w:val="0"/>
        <w:snapToGrid w:val="true"/>
        <w:spacing w:lineRule="auto" w:line="360" w:before="0" w:after="0"/>
        <w:ind w:left="0" w:hanging="0"/>
        <w:rPr>
          <w:rFonts w:ascii="宋体" w:hAnsi="宋体" w:eastAsia="宋体" w:cs="宋体"/>
          <w:b/>
          <w:b/>
          <w:bCs/>
          <w:sz w:val="21"/>
          <w:szCs w:val="21"/>
        </w:rPr>
      </w:pPr>
      <w:r>
        <w:rPr>
          <w:rFonts w:ascii="宋体" w:hAnsi="宋体" w:cs="宋体"/>
          <w:b/>
          <w:bCs/>
          <w:sz w:val="21"/>
          <w:szCs w:val="21"/>
        </w:rPr>
        <w:t>目的：</w:t>
      </w:r>
      <w:r>
        <w:rPr>
          <w:rFonts w:ascii="宋体" w:hAnsi="宋体" w:cs="宋体"/>
          <w:sz w:val="21"/>
          <w:szCs w:val="21"/>
        </w:rPr>
        <w:t>本程序明确了网络安全事件的计划与准备、探测与报告、评估与决策、应急响应措施的实施、总结与改进等阶段的任务和要求。</w:t>
      </w:r>
    </w:p>
    <w:p>
      <w:pPr>
        <w:pStyle w:val="Normal"/>
        <w:pageBreakBefore w:val="false"/>
        <w:widowControl w:val="false"/>
        <w:numPr>
          <w:ilvl w:val="0"/>
          <w:numId w:val="5"/>
        </w:numPr>
        <w:kinsoku w:val="true"/>
        <w:overflowPunct w:val="true"/>
        <w:autoSpaceDE w:val="false"/>
        <w:bidi w:val="0"/>
        <w:snapToGrid w:val="true"/>
        <w:spacing w:lineRule="auto" w:line="360"/>
        <w:ind w:left="0" w:hanging="0"/>
        <w:rPr>
          <w:rFonts w:ascii="宋体" w:hAnsi="宋体" w:eastAsia="宋体" w:cs="宋体"/>
          <w:b/>
          <w:b/>
          <w:bCs/>
          <w:sz w:val="21"/>
          <w:szCs w:val="21"/>
        </w:rPr>
      </w:pPr>
      <w:r>
        <w:rPr>
          <w:rFonts w:ascii="宋体" w:hAnsi="宋体" w:cs="宋体"/>
          <w:b/>
          <w:bCs/>
          <w:sz w:val="21"/>
          <w:szCs w:val="21"/>
        </w:rPr>
        <w:t>范围：</w:t>
      </w:r>
      <w:r>
        <w:rPr>
          <w:rFonts w:ascii="宋体" w:hAnsi="宋体" w:cs="宋体"/>
          <w:sz w:val="21"/>
          <w:szCs w:val="21"/>
        </w:rPr>
        <w:t>适用于本公司所有涉及网络安全的医疗器械产品，如独立软件产品、产品包含系统软件，以及涵盖现成软件等。</w:t>
      </w:r>
    </w:p>
    <w:p>
      <w:pPr>
        <w:pStyle w:val="Normal"/>
        <w:pageBreakBefore w:val="false"/>
        <w:widowControl w:val="false"/>
        <w:kinsoku w:val="true"/>
        <w:overflowPunct w:val="true"/>
        <w:autoSpaceDE w:val="false"/>
        <w:bidi w:val="0"/>
        <w:snapToGrid w:val="true"/>
        <w:spacing w:lineRule="auto" w:line="360"/>
        <w:rPr>
          <w:rFonts w:ascii="宋体" w:hAnsi="宋体" w:eastAsia="宋体" w:cs="宋体"/>
          <w:b/>
          <w:b/>
          <w:bCs/>
          <w:sz w:val="21"/>
          <w:szCs w:val="21"/>
        </w:rPr>
      </w:pPr>
      <w:r>
        <w:rPr>
          <w:rFonts w:eastAsia="宋体" w:cs="宋体" w:ascii="宋体" w:hAnsi="宋体"/>
          <w:sz w:val="21"/>
          <w:szCs w:val="21"/>
        </w:rPr>
        <w:t xml:space="preserve">3. </w:t>
      </w:r>
      <w:r>
        <w:rPr>
          <w:rFonts w:ascii="宋体" w:hAnsi="宋体" w:cs="宋体"/>
          <w:b/>
          <w:bCs/>
          <w:sz w:val="21"/>
          <w:szCs w:val="21"/>
        </w:rPr>
        <w:t>职责：</w:t>
      </w:r>
    </w:p>
    <w:p>
      <w:pPr>
        <w:pStyle w:val="Normal"/>
        <w:pageBreakBefore w:val="false"/>
        <w:widowControl w:val="false"/>
        <w:kinsoku w:val="true"/>
        <w:overflowPunct w:val="true"/>
        <w:bidi w:val="0"/>
        <w:snapToGrid w:val="true"/>
        <w:spacing w:lineRule="auto" w:line="360"/>
        <w:ind w:left="315" w:hanging="0"/>
        <w:rPr>
          <w:rFonts w:ascii="宋体" w:hAnsi="宋体" w:eastAsia="宋体" w:cs="宋体"/>
          <w:sz w:val="21"/>
          <w:szCs w:val="21"/>
        </w:rPr>
      </w:pPr>
      <w:r>
        <w:rPr>
          <w:rFonts w:eastAsia="宋体" w:cs="宋体" w:ascii="宋体" w:hAnsi="宋体"/>
          <w:sz w:val="21"/>
          <w:szCs w:val="21"/>
        </w:rPr>
        <w:t xml:space="preserve">3.1 </w:t>
      </w:r>
      <w:r>
        <w:rPr>
          <w:rFonts w:ascii="宋体" w:hAnsi="宋体" w:cs="宋体"/>
          <w:sz w:val="21"/>
          <w:szCs w:val="21"/>
        </w:rPr>
        <w:t>研发部：负责在产品策划中考虑网络安全的风险，考虑如何采取措施降低风险，审核设计开发输入中控制风险的措施，并组织网络安全性能的测试。</w:t>
      </w:r>
    </w:p>
    <w:p>
      <w:pPr>
        <w:pStyle w:val="TextBodyIndent"/>
        <w:pageBreakBefore w:val="false"/>
        <w:widowControl w:val="false"/>
        <w:kinsoku w:val="true"/>
        <w:overflowPunct w:val="true"/>
        <w:bidi w:val="0"/>
        <w:snapToGrid w:val="true"/>
        <w:spacing w:lineRule="auto" w:line="360" w:before="0" w:after="0"/>
        <w:ind w:left="0" w:firstLine="218"/>
        <w:rPr>
          <w:rFonts w:ascii="宋体" w:hAnsi="宋体" w:eastAsia="宋体" w:cs="宋体"/>
          <w:sz w:val="21"/>
          <w:szCs w:val="21"/>
        </w:rPr>
      </w:pPr>
      <w:r>
        <w:rPr>
          <w:rFonts w:eastAsia="宋体" w:cs="宋体" w:ascii="宋体" w:hAnsi="宋体"/>
          <w:sz w:val="21"/>
          <w:szCs w:val="21"/>
        </w:rPr>
        <w:t xml:space="preserve">3.2 </w:t>
      </w:r>
      <w:r>
        <w:rPr>
          <w:rFonts w:ascii="宋体" w:hAnsi="宋体" w:cs="宋体"/>
          <w:sz w:val="21"/>
          <w:szCs w:val="21"/>
        </w:rPr>
        <w:t>质量部：负责主导上市后产品的网络安全事件的紧急响应、推动公司内部制定纠正措施；验证纠正措施的有效性和网络安全事件的关闭。结合风险管理程序，主导网络安全相关风险的识别、分析、评价、控制和剩余风险的可接受性评价活动。</w:t>
      </w:r>
    </w:p>
    <w:p>
      <w:pPr>
        <w:pStyle w:val="Normal"/>
        <w:pageBreakBefore w:val="false"/>
        <w:widowControl w:val="false"/>
        <w:kinsoku w:val="true"/>
        <w:overflowPunct w:val="true"/>
        <w:bidi w:val="0"/>
        <w:snapToGrid w:val="true"/>
        <w:spacing w:lineRule="auto" w:line="360"/>
        <w:ind w:firstLine="420"/>
        <w:rPr>
          <w:rFonts w:ascii="宋体" w:hAnsi="宋体" w:eastAsia="宋体" w:cs="宋体"/>
          <w:b/>
          <w:b/>
          <w:sz w:val="21"/>
          <w:szCs w:val="21"/>
        </w:rPr>
      </w:pPr>
      <w:r>
        <w:rPr>
          <w:rFonts w:eastAsia="宋体" w:cs="宋体" w:ascii="宋体" w:hAnsi="宋体"/>
          <w:sz w:val="21"/>
          <w:szCs w:val="21"/>
        </w:rPr>
        <w:t>3.</w:t>
      </w:r>
      <w:r>
        <w:rPr>
          <w:rFonts w:eastAsia="宋体" w:cs="宋体" w:ascii="宋体" w:hAnsi="宋体"/>
          <w:sz w:val="21"/>
          <w:szCs w:val="21"/>
          <w:lang w:val="en-US" w:eastAsia="zh-CN"/>
        </w:rPr>
        <w:t>3</w:t>
      </w:r>
      <w:r>
        <w:rPr>
          <w:rFonts w:eastAsia="宋体" w:cs="宋体" w:ascii="宋体" w:hAnsi="宋体"/>
          <w:sz w:val="21"/>
          <w:szCs w:val="21"/>
        </w:rPr>
        <w:t xml:space="preserve"> </w:t>
      </w:r>
      <w:r>
        <w:rPr>
          <w:rFonts w:ascii="宋体" w:hAnsi="宋体" w:cs="宋体"/>
          <w:sz w:val="21"/>
          <w:szCs w:val="21"/>
        </w:rPr>
        <w:t>销售部：负责收集和反馈上市后产品的网络安全事件。必要时，造成严重后果或影响的事件应向药监部门报告；适用时按照医疗器械不良事件、召回相关法规要求处理，向国家网络安全主管部门报告。</w:t>
      </w:r>
    </w:p>
    <w:p>
      <w:pPr>
        <w:pStyle w:val="Normal"/>
        <w:pageBreakBefore w:val="false"/>
        <w:widowControl w:val="false"/>
        <w:numPr>
          <w:ilvl w:val="0"/>
          <w:numId w:val="0"/>
        </w:numPr>
        <w:kinsoku w:val="true"/>
        <w:overflowPunct w:val="true"/>
        <w:autoSpaceDE w:val="false"/>
        <w:bidi w:val="0"/>
        <w:snapToGrid w:val="true"/>
        <w:spacing w:lineRule="auto" w:line="360"/>
        <w:ind w:left="0" w:hanging="0"/>
        <w:rPr>
          <w:rFonts w:ascii="宋体" w:hAnsi="宋体" w:eastAsia="宋体" w:cs="宋体"/>
          <w:sz w:val="21"/>
          <w:szCs w:val="21"/>
        </w:rPr>
      </w:pPr>
      <w:r>
        <w:rPr>
          <w:rFonts w:eastAsia="宋体" w:cs="宋体" w:ascii="宋体" w:hAnsi="宋体"/>
          <w:b/>
          <w:sz w:val="21"/>
          <w:szCs w:val="21"/>
          <w:lang w:val="en-US" w:eastAsia="zh-CN"/>
        </w:rPr>
        <w:t xml:space="preserve">4. </w:t>
      </w:r>
      <w:r>
        <w:rPr>
          <w:rFonts w:ascii="宋体" w:hAnsi="宋体" w:cs="宋体"/>
          <w:b/>
          <w:sz w:val="21"/>
          <w:szCs w:val="21"/>
        </w:rPr>
        <w:t>程序：</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b w:val="false"/>
          <w:sz w:val="21"/>
          <w:szCs w:val="21"/>
          <w:lang w:val="en-US" w:eastAsia="zh-CN"/>
        </w:rPr>
        <w:t xml:space="preserve"> </w:t>
      </w:r>
      <w:r>
        <w:rPr>
          <w:rFonts w:eastAsia="宋体" w:cs="宋体" w:ascii="宋体" w:hAnsi="宋体"/>
          <w:b/>
          <w:sz w:val="21"/>
          <w:szCs w:val="21"/>
          <w:lang w:val="en-US" w:eastAsia="zh-CN"/>
        </w:rPr>
        <w:t xml:space="preserve">  </w:t>
      </w:r>
      <w:r>
        <w:rPr>
          <w:rFonts w:eastAsia="宋体" w:cs="宋体" w:ascii="宋体" w:hAnsi="宋体"/>
          <w:b/>
          <w:sz w:val="21"/>
          <w:szCs w:val="21"/>
          <w:lang w:val="en-US" w:eastAsia="zh-CN"/>
        </w:rPr>
        <w:t>4</w:t>
      </w:r>
      <w:r>
        <w:rPr>
          <w:rFonts w:eastAsia="宋体" w:cs="宋体" w:ascii="宋体" w:hAnsi="宋体"/>
          <w:sz w:val="21"/>
          <w:szCs w:val="21"/>
        </w:rPr>
        <w:t xml:space="preserve">.1 </w:t>
      </w:r>
      <w:r>
        <w:rPr>
          <w:rFonts w:ascii="宋体" w:hAnsi="宋体" w:cs="宋体"/>
          <w:sz w:val="21"/>
          <w:szCs w:val="21"/>
        </w:rPr>
        <w:t>网络安全事件的分类</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网络安全事件应结合严重程度、紧迫程度、广泛程度等因素进行分类分级管理。</w:t>
      </w:r>
    </w:p>
    <w:p>
      <w:pPr>
        <w:pStyle w:val="TextBodyIndent"/>
        <w:pageBreakBefore w:val="false"/>
        <w:widowControl w:val="false"/>
        <w:numPr>
          <w:ilvl w:val="0"/>
          <w:numId w:val="2"/>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严重程度高、紧急且广泛发生的网络安全事件做优先紧急处理处理；</w:t>
      </w:r>
    </w:p>
    <w:p>
      <w:pPr>
        <w:pStyle w:val="TextBodyIndent"/>
        <w:pageBreakBefore w:val="false"/>
        <w:widowControl w:val="false"/>
        <w:numPr>
          <w:ilvl w:val="0"/>
          <w:numId w:val="2"/>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严重程度中等，紧急程度一般，非频繁发生的网络安全事件做加急处理。</w:t>
      </w:r>
    </w:p>
    <w:p>
      <w:pPr>
        <w:pStyle w:val="TextBodyIndent"/>
        <w:pageBreakBefore w:val="false"/>
        <w:widowControl w:val="false"/>
        <w:numPr>
          <w:ilvl w:val="0"/>
          <w:numId w:val="2"/>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严重程度低，不紧急且偶发的网络安全事件做一般处理。</w:t>
      </w:r>
    </w:p>
    <w:p>
      <w:pPr>
        <w:pStyle w:val="Heading2"/>
        <w:pageBreakBefore w:val="false"/>
        <w:widowControl w:val="false"/>
        <w:numPr>
          <w:ilvl w:val="0"/>
          <w:numId w:val="0"/>
        </w:numPr>
        <w:kinsoku w:val="true"/>
        <w:overflowPunct w:val="true"/>
        <w:bidi w:val="0"/>
        <w:snapToGrid w:val="true"/>
        <w:spacing w:lineRule="auto" w:line="360" w:before="0" w:after="0"/>
        <w:ind w:left="0" w:firstLine="211"/>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 xml:space="preserve">2 </w:t>
      </w:r>
      <w:r>
        <w:rPr>
          <w:rFonts w:ascii="宋体" w:hAnsi="宋体" w:cs="宋体"/>
          <w:sz w:val="21"/>
          <w:szCs w:val="21"/>
        </w:rPr>
        <w:t>上市前网络安全事件的处理</w:t>
      </w:r>
    </w:p>
    <w:p>
      <w:pPr>
        <w:pStyle w:val="TextBodyIndent"/>
        <w:pageBreakBefore w:val="false"/>
        <w:widowControl w:val="false"/>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因为医疗器械设计开发只能针对已知网络安全漏洞采取相应风险控制措施，该阶段网络安全事件按照网络安全控制要求执行，将上市前的网络安全事件作为风险源进行分析、评价、控制和剩余风险的可接受性评价等风险管理活动，优化产品的风险安全。</w:t>
      </w:r>
    </w:p>
    <w:p>
      <w:pPr>
        <w:pStyle w:val="Heading2"/>
        <w:pageBreakBefore w:val="false"/>
        <w:widowControl w:val="false"/>
        <w:numPr>
          <w:ilvl w:val="0"/>
          <w:numId w:val="0"/>
        </w:numPr>
        <w:kinsoku w:val="true"/>
        <w:overflowPunct w:val="true"/>
        <w:bidi w:val="0"/>
        <w:snapToGrid w:val="true"/>
        <w:spacing w:lineRule="auto" w:line="360" w:before="0" w:after="0"/>
        <w:ind w:left="0" w:firstLine="211"/>
        <w:jc w:val="left"/>
        <w:rPr>
          <w:rFonts w:ascii="宋体" w:hAnsi="宋体" w:eastAsia="宋体" w:cs="宋体"/>
          <w:sz w:val="21"/>
          <w:szCs w:val="21"/>
        </w:rPr>
      </w:pPr>
      <w:r>
        <w:rPr>
          <w:rFonts w:eastAsia="宋体" w:cs="宋体" w:ascii="宋体" w:hAnsi="宋体"/>
          <w:sz w:val="21"/>
          <w:szCs w:val="21"/>
          <w:lang w:val="en-US" w:eastAsia="zh-CN"/>
        </w:rPr>
        <w:t xml:space="preserve">4.3 </w:t>
      </w:r>
      <w:r>
        <w:rPr>
          <w:rFonts w:ascii="宋体" w:hAnsi="宋体" w:cs="宋体"/>
          <w:sz w:val="21"/>
          <w:szCs w:val="21"/>
        </w:rPr>
        <w:t>网络安全应急响应阶段</w:t>
      </w:r>
    </w:p>
    <w:p>
      <w:pPr>
        <w:pStyle w:val="TextBodyIndent"/>
        <w:pageBreakBefore w:val="false"/>
        <w:widowControl w:val="false"/>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为最大限度科学、合理、有序地处置网络安全事件，将应急响应分成计划与准备阶段、探测与报告阶段、评估与决策阶段、应急响应临时措施实施阶段、应急响应根除措施实施阶段、应急响应措施的验证和恢复阶段和应急响应措施总结和改进阶段</w:t>
      </w:r>
      <w:r>
        <w:rPr>
          <w:rFonts w:eastAsia="宋体" w:cs="宋体" w:ascii="宋体" w:hAnsi="宋体"/>
          <w:sz w:val="21"/>
          <w:szCs w:val="21"/>
        </w:rPr>
        <w:t>7</w:t>
      </w:r>
      <w:r>
        <w:rPr>
          <w:rFonts w:ascii="宋体" w:hAnsi="宋体" w:cs="宋体"/>
          <w:sz w:val="21"/>
          <w:szCs w:val="21"/>
        </w:rPr>
        <w:t>个阶段的工作，并根据网络安全应急响应总体策略对每个阶段定义适当的目的，明确响应顺序和过程。</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w:t>
      </w:r>
      <w:r>
        <w:rPr>
          <w:rFonts w:ascii="宋体" w:hAnsi="宋体" w:cs="宋体"/>
          <w:sz w:val="21"/>
          <w:szCs w:val="21"/>
        </w:rPr>
        <w:t>网络安全事件分阶段响应流程</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.4.1</w:t>
      </w:r>
      <w:r>
        <w:rPr>
          <w:rFonts w:ascii="宋体" w:hAnsi="宋体" w:cs="宋体"/>
          <w:sz w:val="21"/>
          <w:szCs w:val="21"/>
        </w:rPr>
        <w:t>计划与准备阶段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选择、安装和熟悉响应过程中的协助工具及有助于收集和维护与入侵相关数据的工具，为所有的应用软件和操作系统创建启动盘或随机器发行的介质库。用初始可靠的启动盘（或</w:t>
      </w:r>
      <w:r>
        <w:rPr>
          <w:rFonts w:eastAsia="宋体" w:cs="宋体" w:ascii="宋体" w:hAnsi="宋体"/>
          <w:sz w:val="21"/>
          <w:szCs w:val="21"/>
        </w:rPr>
        <w:t>CD−ROM</w:t>
      </w:r>
      <w:r>
        <w:rPr>
          <w:rFonts w:ascii="宋体" w:hAnsi="宋体" w:cs="宋体"/>
          <w:sz w:val="21"/>
          <w:szCs w:val="21"/>
        </w:rPr>
        <w:t>）使机器以已知的预先设定的配置重新启动，这在相当程度上能保证被入侵后的文件、程序以及数据不会加载到系统中。</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为了防止不可预期的变化，在试验机器上安装可信任版本的系统；为了避免有意或无意的破坏，所有的介质应该处于硬件写保护状态。</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建立一个包含所有应用程序和不同版本的操作系统的安全补丁库。确保备份程序足够从任何损害中恢复。建立资源工具包并准备相关硬件设备资源工具包，包含在响应过程中可能要使用的所有工具。确保测试系统正确配置且可用在任何分析或测试中，使用被入侵的系统都可能导致这些系统进一步地暴露和损害。已被入侵的系统产生的任何结果都是不可靠的。此外，采用这样的系统或许会由于恶意程序而暴露正在进行的测试。使用物理和逻辑上与任何运行的系统和网络隔离的测试系统和测试网络。选择将被入侵的系统移到测试网络中，并且部署新安装的打过补丁的安全系统，以便继续运行。在完成分析后，清除所有的磁盘，这样可以确保任何残留文件或恶意程序不影响将来的分析，或任何正在测试系统上进行的工作，或无意中被传到其他运行系统中。这在测试系统还有其他用途时是很关键的。备份所有被分析的系统以及保护分析结果，以备将来进一步分析。</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.4.2</w:t>
      </w:r>
      <w:r>
        <w:rPr>
          <w:rFonts w:ascii="宋体" w:hAnsi="宋体" w:cs="宋体"/>
          <w:sz w:val="21"/>
          <w:szCs w:val="21"/>
        </w:rPr>
        <w:t>探测与报告阶段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探测与报告阶段的主要任务有发现可疑迹象或问题发生后进行的一系列初步处理工作，分析所有可能得到的信息来确定入侵行为的特征，并形成报告。</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一旦被入侵检测机制或另外可信的站点警告已经检测到了入侵，需要确定系统和数据被入侵到了什么程度。需要权衡收集尽可能多信息的价值和入侵者发现他们的活动被发现的风险之间的关系。一些入侵者会惊慌并试图删除他们活动的所有痕迹，进一步破坏准备拯救的系统。这会使分析无法进行下去。</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备份并“隔离”被入侵的系统，进一步查找其他系统上的入侵痕迹。检查防火墙、网络监视软件以及路由器的日志，确定攻击者的入侵路径和方法，以及入侵者进入系统后都做了什么。</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在当前缺少安全预警机制的情况下，网络安全的应急响应活动主要还是立足于事中或事后的确认，而且，即使是在事中或事后，也不一定可以发现存在的安全问题，往往都是在已经造成了破坏之后，才发生了对系统可用性、完整性和保密性造成明显破坏的行为或者有了用户投诉后才会去了解发生的安全问题。</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一般典型的事故现象包括：</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1</w:t>
      </w:r>
      <w:r>
        <w:rPr>
          <w:rFonts w:ascii="宋体" w:hAnsi="宋体" w:cs="宋体"/>
          <w:sz w:val="21"/>
          <w:szCs w:val="21"/>
        </w:rPr>
        <w:t>）账号被盗用；</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2</w:t>
      </w:r>
      <w:r>
        <w:rPr>
          <w:rFonts w:ascii="宋体" w:hAnsi="宋体" w:cs="宋体"/>
          <w:sz w:val="21"/>
          <w:szCs w:val="21"/>
        </w:rPr>
        <w:t>）骚扰性的垃圾信息；</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3</w:t>
      </w:r>
      <w:r>
        <w:rPr>
          <w:rFonts w:ascii="宋体" w:hAnsi="宋体" w:cs="宋体"/>
          <w:sz w:val="21"/>
          <w:szCs w:val="21"/>
        </w:rPr>
        <w:t>）业务服务功能失效；</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4</w:t>
      </w:r>
      <w:r>
        <w:rPr>
          <w:rFonts w:ascii="宋体" w:hAnsi="宋体" w:cs="宋体"/>
          <w:sz w:val="21"/>
          <w:szCs w:val="21"/>
        </w:rPr>
        <w:t>）业务内容被明显篡改；</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5</w:t>
      </w:r>
      <w:r>
        <w:rPr>
          <w:rFonts w:ascii="宋体" w:hAnsi="宋体" w:cs="宋体"/>
          <w:sz w:val="21"/>
          <w:szCs w:val="21"/>
        </w:rPr>
        <w:t>）系统崩溃、资源不足。</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.4.3</w:t>
      </w:r>
      <w:r>
        <w:rPr>
          <w:rFonts w:ascii="宋体" w:hAnsi="宋体" w:cs="宋体"/>
          <w:sz w:val="21"/>
          <w:szCs w:val="21"/>
        </w:rPr>
        <w:t>评估与决策阶段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评估与决策阶段，研发应组织产品经理，</w:t>
      </w:r>
      <w:r>
        <w:rPr>
          <w:rFonts w:ascii="宋体" w:hAnsi="宋体" w:cs="宋体"/>
          <w:sz w:val="21"/>
          <w:szCs w:val="21"/>
          <w:lang w:val="en-US" w:eastAsia="zh-CN"/>
        </w:rPr>
        <w:t>管理者代表</w:t>
      </w:r>
      <w:r>
        <w:rPr>
          <w:rFonts w:ascii="宋体" w:hAnsi="宋体" w:cs="宋体"/>
          <w:sz w:val="21"/>
          <w:szCs w:val="21"/>
        </w:rPr>
        <w:t>、质量</w:t>
      </w:r>
      <w:r>
        <w:rPr>
          <w:rFonts w:ascii="宋体" w:hAnsi="宋体" w:cs="宋体"/>
          <w:sz w:val="21"/>
          <w:szCs w:val="21"/>
          <w:lang w:val="en-US" w:eastAsia="zh-CN"/>
        </w:rPr>
        <w:t>部</w:t>
      </w:r>
      <w:r>
        <w:rPr>
          <w:rFonts w:ascii="宋体" w:hAnsi="宋体" w:cs="宋体"/>
          <w:sz w:val="21"/>
          <w:szCs w:val="21"/>
        </w:rPr>
        <w:t>等成员，对上市产品网络安全事故的严重程度、紧迫程度，广泛程度进行评价，做分类处理。</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对于已经出现网络安全事件的产品，按照评价的分类，</w:t>
      </w:r>
      <w:r>
        <w:rPr>
          <w:rFonts w:ascii="宋体" w:hAnsi="宋体" w:cs="宋体"/>
          <w:sz w:val="21"/>
          <w:szCs w:val="21"/>
        </w:rPr>
        <w:t>结合</w:t>
      </w:r>
      <w:r>
        <w:rPr>
          <w:rFonts w:eastAsia="宋体" w:cs="宋体" w:ascii="宋体" w:hAnsi="宋体"/>
          <w:sz w:val="21"/>
          <w:szCs w:val="21"/>
        </w:rPr>
        <w:t>Q</w:t>
      </w:r>
      <w:r>
        <w:rPr>
          <w:rFonts w:eastAsia="宋体" w:cs="宋体" w:ascii="宋体" w:hAnsi="宋体"/>
          <w:sz w:val="21"/>
          <w:szCs w:val="21"/>
          <w:lang w:val="en-US" w:eastAsia="zh-CN"/>
        </w:rPr>
        <w:t>MS-P1</w:t>
      </w:r>
      <w:r>
        <w:rPr>
          <w:rFonts w:eastAsia="宋体" w:cs="宋体" w:ascii="宋体" w:hAnsi="宋体"/>
          <w:sz w:val="21"/>
          <w:szCs w:val="21"/>
        </w:rPr>
        <w:t xml:space="preserve">9 </w:t>
      </w:r>
      <w:r>
        <w:rPr>
          <w:rFonts w:ascii="宋体" w:hAnsi="宋体" w:cs="宋体"/>
          <w:sz w:val="21"/>
          <w:szCs w:val="21"/>
        </w:rPr>
        <w:t>《产品</w:t>
      </w:r>
      <w:r>
        <w:rPr>
          <w:rFonts w:ascii="宋体" w:hAnsi="宋体" w:cs="宋体"/>
          <w:sz w:val="21"/>
          <w:szCs w:val="21"/>
          <w:lang w:val="en-US" w:eastAsia="zh-CN"/>
        </w:rPr>
        <w:t>召回</w:t>
      </w:r>
      <w:r>
        <w:rPr>
          <w:rFonts w:ascii="宋体" w:hAnsi="宋体" w:cs="宋体"/>
          <w:sz w:val="21"/>
          <w:szCs w:val="21"/>
        </w:rPr>
        <w:t>控制程序》，决策以下内容（包括但不限于）：</w:t>
      </w:r>
    </w:p>
    <w:p>
      <w:pPr>
        <w:pStyle w:val="TextBodyIndent"/>
        <w:pageBreakBefore w:val="false"/>
        <w:widowControl w:val="false"/>
        <w:numPr>
          <w:ilvl w:val="0"/>
          <w:numId w:val="6"/>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现场产品的紧急处理措施；</w:t>
      </w:r>
    </w:p>
    <w:p>
      <w:pPr>
        <w:pStyle w:val="TextBodyIndent"/>
        <w:pageBreakBefore w:val="false"/>
        <w:widowControl w:val="false"/>
        <w:numPr>
          <w:ilvl w:val="0"/>
          <w:numId w:val="6"/>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内部的纠正和预防措施；</w:t>
      </w:r>
    </w:p>
    <w:p>
      <w:pPr>
        <w:pStyle w:val="TextBodyIndent"/>
        <w:pageBreakBefore w:val="false"/>
        <w:widowControl w:val="false"/>
        <w:numPr>
          <w:ilvl w:val="0"/>
          <w:numId w:val="6"/>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用户告知的方式和时机；</w:t>
      </w:r>
    </w:p>
    <w:p>
      <w:pPr>
        <w:pStyle w:val="TextBodyIndent"/>
        <w:pageBreakBefore w:val="false"/>
        <w:widowControl w:val="false"/>
        <w:numPr>
          <w:ilvl w:val="0"/>
          <w:numId w:val="6"/>
        </w:numPr>
        <w:kinsoku w:val="true"/>
        <w:overflowPunct w:val="true"/>
        <w:bidi w:val="0"/>
        <w:snapToGrid w:val="true"/>
        <w:spacing w:lineRule="auto" w:line="360" w:before="0" w:after="0"/>
        <w:rPr>
          <w:rFonts w:ascii="宋体" w:hAnsi="宋体" w:eastAsia="宋体" w:cs="宋体"/>
          <w:sz w:val="21"/>
          <w:szCs w:val="21"/>
        </w:rPr>
      </w:pPr>
      <w:r>
        <w:rPr>
          <w:rFonts w:ascii="宋体" w:hAnsi="宋体" w:cs="宋体"/>
          <w:sz w:val="21"/>
          <w:szCs w:val="21"/>
        </w:rPr>
        <w:t>是否触发召回程序等等。</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.4.4</w:t>
      </w:r>
      <w:r>
        <w:rPr>
          <w:rFonts w:ascii="宋体" w:hAnsi="宋体" w:cs="宋体"/>
          <w:sz w:val="21"/>
          <w:szCs w:val="21"/>
        </w:rPr>
        <w:t>应急响应临时措施实施阶段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应急响应临时措施实施阶段的主要任务是限制事件扩散和影响的范围。抑制举措往往会对合法业务流量造成影响，最有效的抑制方式是尽可能地靠近攻击的发起端实施抑制。但是，一般情况下攻击包都会伪造源</w:t>
      </w:r>
      <w:r>
        <w:rPr>
          <w:rFonts w:eastAsia="宋体" w:cs="宋体" w:ascii="宋体" w:hAnsi="宋体"/>
          <w:sz w:val="21"/>
          <w:szCs w:val="21"/>
        </w:rPr>
        <w:t>IP</w:t>
      </w:r>
      <w:r>
        <w:rPr>
          <w:rFonts w:ascii="宋体" w:hAnsi="宋体" w:cs="宋体"/>
          <w:sz w:val="21"/>
          <w:szCs w:val="21"/>
        </w:rPr>
        <w:t>地址，在</w:t>
      </w:r>
      <w:r>
        <w:rPr>
          <w:rFonts w:eastAsia="宋体" w:cs="宋体" w:ascii="宋体" w:hAnsi="宋体"/>
          <w:sz w:val="21"/>
          <w:szCs w:val="21"/>
        </w:rPr>
        <w:t>Internet</w:t>
      </w:r>
      <w:r>
        <w:rPr>
          <w:rFonts w:ascii="宋体" w:hAnsi="宋体" w:cs="宋体"/>
          <w:sz w:val="21"/>
          <w:szCs w:val="21"/>
        </w:rPr>
        <w:t xml:space="preserve">这样的大型网络环境中难以确定攻击流的真正来源，因此，要靠近攻击发起端实施面向 </w:t>
      </w:r>
      <w:r>
        <w:rPr>
          <w:rFonts w:eastAsia="宋体" w:cs="宋体" w:ascii="宋体" w:hAnsi="宋体"/>
          <w:sz w:val="21"/>
          <w:szCs w:val="21"/>
        </w:rPr>
        <w:t xml:space="preserve">Internet </w:t>
      </w:r>
      <w:r>
        <w:rPr>
          <w:rFonts w:ascii="宋体" w:hAnsi="宋体" w:cs="宋体"/>
          <w:sz w:val="21"/>
          <w:szCs w:val="21"/>
        </w:rPr>
        <w:t>全网的抑制操作在当前技术上依然不成熟。</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抑制采用的方式可能有多种，常见的包括：</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1</w:t>
      </w:r>
      <w:r>
        <w:rPr>
          <w:rFonts w:ascii="宋体" w:hAnsi="宋体" w:cs="宋体"/>
          <w:sz w:val="21"/>
          <w:szCs w:val="21"/>
        </w:rPr>
        <w:t>）关掉已受害的系统；</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2</w:t>
      </w:r>
      <w:r>
        <w:rPr>
          <w:rFonts w:ascii="宋体" w:hAnsi="宋体" w:cs="宋体"/>
          <w:sz w:val="21"/>
          <w:szCs w:val="21"/>
        </w:rPr>
        <w:t>）断开网络；</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3</w:t>
      </w:r>
      <w:r>
        <w:rPr>
          <w:rFonts w:ascii="宋体" w:hAnsi="宋体" w:cs="宋体"/>
          <w:sz w:val="21"/>
          <w:szCs w:val="21"/>
        </w:rPr>
        <w:t>）修改防火墙或路由器的过滤规则；</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4</w:t>
      </w:r>
      <w:r>
        <w:rPr>
          <w:rFonts w:ascii="宋体" w:hAnsi="宋体" w:cs="宋体"/>
          <w:sz w:val="21"/>
          <w:szCs w:val="21"/>
        </w:rPr>
        <w:t>）封锁或删除被攻破的登录账号；</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5</w:t>
      </w:r>
      <w:r>
        <w:rPr>
          <w:rFonts w:ascii="宋体" w:hAnsi="宋体" w:cs="宋体"/>
          <w:sz w:val="21"/>
          <w:szCs w:val="21"/>
        </w:rPr>
        <w:t>）关闭可被攻击利用的服务功能。</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.4.5</w:t>
      </w:r>
      <w:r>
        <w:rPr>
          <w:rFonts w:ascii="宋体" w:hAnsi="宋体" w:cs="宋体"/>
          <w:sz w:val="21"/>
          <w:szCs w:val="21"/>
        </w:rPr>
        <w:t>应急响应根除措施实施阶段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应急响应临时根除措施实施阶段的主要任务是通过事件分析查明事件危害的方式，并且给出清除危害的解决方案。</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对事件的确认仅是初步的事件分析过程。事件分析的目的是找出问题出现的根本原因。在事件分析的过程中主要有主动和被动</w:t>
      </w:r>
      <w:r>
        <w:rPr>
          <w:rFonts w:eastAsia="宋体" w:cs="宋体" w:ascii="宋体" w:hAnsi="宋体"/>
          <w:sz w:val="21"/>
          <w:szCs w:val="21"/>
        </w:rPr>
        <w:t>2</w:t>
      </w:r>
      <w:r>
        <w:rPr>
          <w:rFonts w:ascii="宋体" w:hAnsi="宋体" w:cs="宋体"/>
          <w:sz w:val="21"/>
          <w:szCs w:val="21"/>
        </w:rPr>
        <w:t>种方式。</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主动方式是采用攻击诱骗技术，通过让攻击方去侵入一个受监视存在漏洞的系统，直接观察到攻击方所采用的攻击方法。</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被动方式是根据系统的异常现象去追查问题的根本原因。被动方式会综合用到以下的多种方法。</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1</w:t>
      </w:r>
      <w:r>
        <w:rPr>
          <w:rFonts w:ascii="宋体" w:hAnsi="宋体" w:cs="宋体"/>
          <w:sz w:val="21"/>
          <w:szCs w:val="21"/>
        </w:rPr>
        <w:t>）系统异常行为分析：这是在维护系统及其环境特征白板的基础上，通过与正常情况做比较，找出攻击者的活动轨迹以及攻击者在系统中植下的攻击代码。</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2</w:t>
      </w:r>
      <w:r>
        <w:rPr>
          <w:rFonts w:ascii="宋体" w:hAnsi="宋体" w:cs="宋体"/>
          <w:sz w:val="21"/>
          <w:szCs w:val="21"/>
        </w:rPr>
        <w:t>）日志审计：日志审计是通过检查系统及其环境的日志信息和告警信息来分析是否有攻击者做了哪些违规行为。</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3</w:t>
      </w:r>
      <w:r>
        <w:rPr>
          <w:rFonts w:ascii="宋体" w:hAnsi="宋体" w:cs="宋体"/>
          <w:sz w:val="21"/>
          <w:szCs w:val="21"/>
        </w:rPr>
        <w:t>）入侵监测：对于还在进行的攻击行为，入侵监测方式通过捕获并检测进出系统的数据流，利用入侵监测工具所带的攻击特征数据库，可以在事件分析过程中帮助定位攻击的类型。</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4</w:t>
      </w:r>
      <w:r>
        <w:rPr>
          <w:rFonts w:ascii="宋体" w:hAnsi="宋体" w:cs="宋体"/>
          <w:sz w:val="21"/>
          <w:szCs w:val="21"/>
        </w:rPr>
        <w:t>）安全风险评估：无论是利用系统漏洞进行的网络攻击还是感染病毒，都会对系统造成破坏，通过漏洞扫描工具或者是防病毒软件等安全风险评估工具扫描系统的漏洞或病毒可以有效地帮助定位攻击事件。</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但是，在实际的事件分析过程中，往往会综合采用被动和主动的事件分析方法。特别是对于在网上自动传播的攻击行为，当采用被动方式难以分析出事件根本原因的时候，采用主动方式往往会很有效。</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最后，改变全部可能受到攻击的系统的口令、重新设置被入侵系统、消除所有的入侵路径包括入侵者已经改变的方法、从最初的配置中恢复可执行程序（包括应用服务）和二进制文件、检查系统配置、确定是否有未修正的系统和网络漏洞并改正、限制网络和系统的暴露程度以改善保护机制、改善探测机制使它在受到攻击时得到较好的报告。</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.4.6</w:t>
      </w:r>
      <w:r>
        <w:rPr>
          <w:rFonts w:ascii="宋体" w:hAnsi="宋体" w:cs="宋体"/>
          <w:sz w:val="21"/>
          <w:szCs w:val="21"/>
        </w:rPr>
        <w:t>应急响应措施的验证和恢复阶段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应急响应措施的验证和恢复阶段主要分为措施的验证和恢复阶段。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措施的验证阶段，研发部对网络安全事件的应急响应措施进行验证和关闭处理，应按照</w:t>
      </w:r>
      <w:r>
        <w:rPr>
          <w:rFonts w:eastAsia="宋体" w:cs="宋体" w:ascii="宋体" w:hAnsi="宋体"/>
          <w:sz w:val="21"/>
          <w:szCs w:val="21"/>
        </w:rPr>
        <w:t>Q</w:t>
      </w:r>
      <w:r>
        <w:rPr>
          <w:rFonts w:eastAsia="宋体" w:cs="宋体" w:ascii="宋体" w:hAnsi="宋体"/>
          <w:sz w:val="21"/>
          <w:szCs w:val="21"/>
          <w:lang w:val="en-US" w:eastAsia="zh-CN"/>
        </w:rPr>
        <w:t>MS-P25</w:t>
      </w:r>
      <w:r>
        <w:rPr>
          <w:rFonts w:ascii="宋体" w:hAnsi="宋体" w:cs="宋体"/>
          <w:sz w:val="21"/>
          <w:szCs w:val="21"/>
        </w:rPr>
        <w:t>《纠正和预防措施控制程序》执行，并形成相关记录。</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恢复阶段的主要任务是把被破坏的信息彻底地还原到正常运作状态。确定使系统恢复正常的需求和时间表、从可信的备份介质中恢复用户数据、打开系统和应用服务、恢复系统网络连接、验证恢复系统、观察其他的扫描、探测等可能表示入侵者再次侵袭的信号。一般来说，要成功地恢复被破坏的系统，需要维护干净的备份系统，编制并维护系统恢复的操作手册，而且在系统重装后需要对系统进行全面的安全加固。</w:t>
      </w:r>
    </w:p>
    <w:p>
      <w:pPr>
        <w:pStyle w:val="Heading3"/>
        <w:pageBreakBefore w:val="false"/>
        <w:widowControl w:val="false"/>
        <w:numPr>
          <w:ilvl w:val="0"/>
          <w:numId w:val="0"/>
        </w:numPr>
        <w:kinsoku w:val="true"/>
        <w:overflowPunct w:val="true"/>
        <w:bidi w:val="0"/>
        <w:snapToGrid w:val="true"/>
        <w:spacing w:lineRule="auto" w:line="360" w:before="0" w:after="0"/>
        <w:ind w:left="0" w:hanging="0"/>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.4.7</w:t>
      </w:r>
      <w:r>
        <w:rPr>
          <w:rFonts w:ascii="宋体" w:hAnsi="宋体" w:cs="宋体"/>
          <w:sz w:val="21"/>
          <w:szCs w:val="21"/>
        </w:rPr>
        <w:t>应急响应总结和改进阶段</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应急响应总结和改进阶段的主要任务是回顾并整合应急响应过程的相关信息，进行事后分析总结、修订安全计划、政策、程序并进行训练以防止再次入侵，基于入侵的严重性和影响，确定是否进行新的风险分析、给系统和网络资产制定一个新的目录清单、如果需要，参与调查和起诉。这一阶段的工作对于准备阶段工作的开展起到重要的支持作用。</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跟踪阶段的工作主要包括</w:t>
      </w:r>
      <w:r>
        <w:rPr>
          <w:rFonts w:eastAsia="宋体" w:cs="宋体" w:ascii="宋体" w:hAnsi="宋体"/>
          <w:sz w:val="21"/>
          <w:szCs w:val="21"/>
        </w:rPr>
        <w:t>3</w:t>
      </w:r>
      <w:r>
        <w:rPr>
          <w:rFonts w:ascii="宋体" w:hAnsi="宋体" w:cs="宋体"/>
          <w:sz w:val="21"/>
          <w:szCs w:val="21"/>
        </w:rPr>
        <w:t>个方面的内容。</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1</w:t>
      </w:r>
      <w:r>
        <w:rPr>
          <w:rFonts w:ascii="宋体" w:hAnsi="宋体" w:cs="宋体"/>
          <w:sz w:val="21"/>
          <w:szCs w:val="21"/>
        </w:rPr>
        <w:t>）形成事件处理的最终报告。</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2</w:t>
      </w:r>
      <w:r>
        <w:rPr>
          <w:rFonts w:ascii="宋体" w:hAnsi="宋体" w:cs="宋体"/>
          <w:sz w:val="21"/>
          <w:szCs w:val="21"/>
        </w:rPr>
        <w:t>）检查应急响应过程中存在的问题，重新评估和修改事件响应过程。</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w:t>
      </w:r>
      <w:r>
        <w:rPr>
          <w:rFonts w:eastAsia="宋体" w:cs="宋体" w:ascii="宋体" w:hAnsi="宋体"/>
          <w:sz w:val="21"/>
          <w:szCs w:val="21"/>
        </w:rPr>
        <w:t>3</w:t>
      </w:r>
      <w:r>
        <w:rPr>
          <w:rFonts w:ascii="宋体" w:hAnsi="宋体" w:cs="宋体"/>
          <w:sz w:val="21"/>
          <w:szCs w:val="21"/>
        </w:rPr>
        <w:t>）评估应急响应人员相互沟通在事件处理上存在的缺陷，以促进事后进行有针对性的培训。</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 xml:space="preserve">.5 </w:t>
      </w:r>
      <w:r>
        <w:rPr>
          <w:rFonts w:ascii="宋体" w:hAnsi="宋体" w:cs="宋体"/>
          <w:sz w:val="21"/>
          <w:szCs w:val="21"/>
        </w:rPr>
        <w:t>用户告知和召回</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highlight w:val="none"/>
        </w:rPr>
      </w:pPr>
      <w:r>
        <w:rPr>
          <w:rFonts w:ascii="宋体" w:hAnsi="宋体" w:cs="宋体"/>
          <w:sz w:val="21"/>
          <w:szCs w:val="21"/>
        </w:rPr>
        <w:t>当产品发生网络安全事件时，应通知告知用户并对有问题产品进行召回，应按照</w:t>
      </w:r>
      <w:r>
        <w:rPr>
          <w:rFonts w:eastAsia="宋体" w:cs="宋体" w:ascii="宋体" w:hAnsi="宋体"/>
          <w:sz w:val="21"/>
          <w:szCs w:val="21"/>
        </w:rPr>
        <w:t>Q</w:t>
      </w:r>
      <w:r>
        <w:rPr>
          <w:rFonts w:eastAsia="宋体" w:cs="宋体" w:ascii="宋体" w:hAnsi="宋体"/>
          <w:sz w:val="21"/>
          <w:szCs w:val="21"/>
          <w:lang w:val="en-US" w:eastAsia="zh-CN"/>
        </w:rPr>
        <w:t>MS-P1</w:t>
      </w:r>
      <w:r>
        <w:rPr>
          <w:rFonts w:eastAsia="宋体" w:cs="宋体" w:ascii="宋体" w:hAnsi="宋体"/>
          <w:sz w:val="21"/>
          <w:szCs w:val="21"/>
        </w:rPr>
        <w:t xml:space="preserve">9 </w:t>
      </w:r>
      <w:r>
        <w:rPr>
          <w:rFonts w:ascii="宋体" w:hAnsi="宋体" w:cs="宋体"/>
          <w:sz w:val="21"/>
          <w:szCs w:val="21"/>
        </w:rPr>
        <w:t>《产品</w:t>
      </w:r>
      <w:r>
        <w:rPr>
          <w:rFonts w:ascii="宋体" w:hAnsi="宋体" w:cs="宋体"/>
          <w:sz w:val="21"/>
          <w:szCs w:val="21"/>
          <w:lang w:val="en-US" w:eastAsia="zh-CN"/>
        </w:rPr>
        <w:t>召回</w:t>
      </w:r>
      <w:r>
        <w:rPr>
          <w:rFonts w:ascii="宋体" w:hAnsi="宋体" w:cs="宋体"/>
          <w:sz w:val="21"/>
          <w:szCs w:val="21"/>
        </w:rPr>
        <w:t>控制程序》执行，并形成相关记录。</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.6</w:t>
      </w:r>
      <w:r>
        <w:rPr>
          <w:rFonts w:ascii="宋体" w:hAnsi="宋体" w:cs="宋体"/>
          <w:sz w:val="21"/>
          <w:szCs w:val="21"/>
        </w:rPr>
        <w:t>操作系统加固优化</w:t>
      </w:r>
    </w:p>
    <w:p>
      <w:pPr>
        <w:pStyle w:val="TextBodyIndent"/>
        <w:pageBreakBefore w:val="false"/>
        <w:widowControl w:val="false"/>
        <w:kinsoku w:val="true"/>
        <w:overflowPunct w:val="true"/>
        <w:bidi w:val="0"/>
        <w:snapToGrid w:val="true"/>
        <w:spacing w:lineRule="auto" w:line="360" w:before="0" w:after="0"/>
        <w:ind w:left="420" w:firstLine="480"/>
        <w:rPr>
          <w:rFonts w:ascii="宋体" w:hAnsi="宋体" w:eastAsia="宋体" w:cs="宋体"/>
          <w:sz w:val="21"/>
          <w:szCs w:val="21"/>
        </w:rPr>
      </w:pPr>
      <w:r>
        <w:rPr>
          <w:rFonts w:ascii="宋体" w:hAnsi="宋体" w:cs="宋体"/>
          <w:sz w:val="21"/>
          <w:szCs w:val="21"/>
        </w:rPr>
        <w:t>操作系统是电脑网络与服务的基础，其安全稳定地运行取决于操作系统环境是否安全可靠。关于操作系统的加固优化，主要可以通过两种方法来实现</w:t>
      </w:r>
      <w:r>
        <w:rPr>
          <w:rFonts w:eastAsia="宋体" w:cs="宋体" w:ascii="宋体" w:hAnsi="宋体"/>
          <w:sz w:val="21"/>
          <w:szCs w:val="21"/>
        </w:rPr>
        <w:t>:</w:t>
      </w:r>
    </w:p>
    <w:p>
      <w:pPr>
        <w:pStyle w:val="TextBodyIndent"/>
        <w:pageBreakBefore w:val="false"/>
        <w:widowControl w:val="false"/>
        <w:numPr>
          <w:ilvl w:val="0"/>
          <w:numId w:val="4"/>
        </w:numPr>
        <w:kinsoku w:val="true"/>
        <w:overflowPunct w:val="true"/>
        <w:bidi w:val="0"/>
        <w:snapToGrid w:val="true"/>
        <w:spacing w:lineRule="auto" w:line="360" w:before="0" w:after="0"/>
        <w:ind w:left="0" w:firstLine="480"/>
        <w:rPr>
          <w:rFonts w:ascii="宋体" w:hAnsi="宋体" w:eastAsia="宋体" w:cs="宋体"/>
          <w:sz w:val="21"/>
          <w:szCs w:val="21"/>
        </w:rPr>
      </w:pPr>
      <w:r>
        <w:rPr>
          <w:rFonts w:ascii="宋体" w:hAnsi="宋体" w:cs="宋体"/>
          <w:sz w:val="21"/>
          <w:szCs w:val="21"/>
        </w:rPr>
        <w:t>对操作系统进行不断的完善，操作人员不断通过自我学习，发现操作系统当中的漏洞，当发现漏洞的时候一定要进行及时地修正。</w:t>
      </w:r>
    </w:p>
    <w:p>
      <w:pPr>
        <w:pStyle w:val="TextBodyIndent"/>
        <w:pageBreakBefore w:val="false"/>
        <w:widowControl w:val="false"/>
        <w:numPr>
          <w:ilvl w:val="0"/>
          <w:numId w:val="4"/>
        </w:numPr>
        <w:kinsoku w:val="true"/>
        <w:overflowPunct w:val="true"/>
        <w:bidi w:val="0"/>
        <w:snapToGrid w:val="true"/>
        <w:spacing w:lineRule="auto" w:line="360" w:before="0" w:after="0"/>
        <w:ind w:left="0" w:firstLine="480"/>
        <w:rPr>
          <w:rFonts w:ascii="宋体" w:hAnsi="宋体" w:eastAsia="宋体" w:cs="宋体"/>
          <w:sz w:val="21"/>
          <w:szCs w:val="21"/>
        </w:rPr>
      </w:pPr>
      <w:r>
        <w:rPr>
          <w:rFonts w:ascii="宋体" w:hAnsi="宋体" w:cs="宋体"/>
          <w:sz w:val="21"/>
          <w:szCs w:val="21"/>
        </w:rPr>
        <w:t>要不断完善现有的操作系统，加强对重要文件和进程的监控和管理，不断加强操作系统的稳定性和安全性。</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 xml:space="preserve">.7 </w:t>
      </w:r>
      <w:r>
        <w:rPr>
          <w:rFonts w:ascii="宋体" w:hAnsi="宋体" w:cs="宋体"/>
          <w:sz w:val="21"/>
          <w:szCs w:val="21"/>
        </w:rPr>
        <w:t>防火墙技术</w:t>
      </w:r>
    </w:p>
    <w:p>
      <w:pPr>
        <w:pStyle w:val="Normal"/>
        <w:pageBreakBefore w:val="false"/>
        <w:widowControl w:val="false"/>
        <w:kinsoku w:val="true"/>
        <w:overflowPunct w:val="true"/>
        <w:bidi w:val="0"/>
        <w:snapToGrid w:val="true"/>
        <w:spacing w:lineRule="auto" w:line="360"/>
        <w:ind w:firstLine="420"/>
        <w:jc w:val="left"/>
        <w:textAlignment w:val="baseline"/>
        <w:rPr>
          <w:rFonts w:ascii="宋体" w:hAnsi="宋体" w:eastAsia="宋体" w:cs="宋体"/>
          <w:sz w:val="21"/>
          <w:szCs w:val="21"/>
        </w:rPr>
      </w:pPr>
      <w:r>
        <w:rPr>
          <w:rFonts w:ascii="宋体" w:hAnsi="宋体" w:cs="宋体"/>
          <w:sz w:val="21"/>
          <w:szCs w:val="21"/>
        </w:rPr>
        <w:t>防火墙技术实际上是一种计算机网络与局域网之间的一个把关者，通过建立这样一所把关门，可以有效地保护局域网的安全，避免病毒或者黑客的侵入。在目前的互联网技术上来讲，防火墙是计算机网络安全防护当中最为基础和相对安全的一个防护措施，它可以在不改变计算机网络系统的情况之下，对电脑实施一定的保护措施，因此防火墙是一种最为普遍、应用最为广泛的应急技术。一般的计算机用户可以将其安装到电脑内，从而对计算机网络实施安全保护功能，其实用性非常大。</w:t>
      </w:r>
    </w:p>
    <w:p>
      <w:pPr>
        <w:pStyle w:val="Heading2"/>
        <w:pageBreakBefore w:val="false"/>
        <w:widowControl w:val="false"/>
        <w:numPr>
          <w:ilvl w:val="0"/>
          <w:numId w:val="0"/>
        </w:numPr>
        <w:kinsoku w:val="true"/>
        <w:overflowPunct w:val="true"/>
        <w:bidi w:val="0"/>
        <w:snapToGrid w:val="true"/>
        <w:spacing w:lineRule="auto" w:line="360" w:before="0" w:after="0"/>
        <w:ind w:left="0" w:hanging="0"/>
        <w:jc w:val="left"/>
        <w:rPr>
          <w:rFonts w:ascii="宋体" w:hAnsi="宋体" w:eastAsia="宋体" w:cs="宋体"/>
          <w:sz w:val="21"/>
          <w:szCs w:val="21"/>
        </w:rPr>
      </w:pPr>
      <w:r>
        <w:rPr>
          <w:rFonts w:eastAsia="宋体" w:cs="宋体" w:ascii="宋体" w:hAnsi="宋体"/>
          <w:sz w:val="21"/>
          <w:szCs w:val="21"/>
          <w:lang w:val="en-US" w:eastAsia="zh-CN"/>
        </w:rPr>
        <w:t>4</w:t>
      </w:r>
      <w:r>
        <w:rPr>
          <w:rFonts w:eastAsia="宋体" w:cs="宋体" w:ascii="宋体" w:hAnsi="宋体"/>
          <w:sz w:val="21"/>
          <w:szCs w:val="21"/>
        </w:rPr>
        <w:t>.8</w:t>
      </w:r>
      <w:r>
        <w:rPr>
          <w:rFonts w:ascii="宋体" w:hAnsi="宋体" w:cs="宋体"/>
          <w:sz w:val="21"/>
          <w:szCs w:val="21"/>
        </w:rPr>
        <w:t>计算机病毒预防</w:t>
      </w:r>
    </w:p>
    <w:p>
      <w:pPr>
        <w:pStyle w:val="Normal"/>
        <w:pageBreakBefore w:val="false"/>
        <w:widowControl w:val="false"/>
        <w:kinsoku w:val="true"/>
        <w:overflowPunct w:val="true"/>
        <w:bidi w:val="0"/>
        <w:snapToGrid w:val="true"/>
        <w:spacing w:lineRule="auto" w:line="360"/>
        <w:ind w:firstLine="420"/>
        <w:jc w:val="left"/>
        <w:textAlignment w:val="baseline"/>
        <w:rPr>
          <w:rFonts w:ascii="宋体" w:hAnsi="宋体" w:eastAsia="宋体" w:cs="宋体"/>
          <w:sz w:val="21"/>
          <w:szCs w:val="21"/>
        </w:rPr>
      </w:pPr>
      <w:r>
        <w:rPr>
          <w:rFonts w:ascii="宋体" w:hAnsi="宋体" w:cs="宋体"/>
          <w:sz w:val="21"/>
          <w:szCs w:val="21"/>
        </w:rPr>
        <w:t>由于现在电脑技术不断更新换代，网络病毒的技术也变得更急复杂，对于电脑的攻击也更加猛烈。因此，很多用户都会在电脑的主机上安装相应的杀毒软件，防止病毒的入侵。而在功能上来讲，计算机病毒软件主要分为两种类型：</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网络的防毒软件主要是检测互联网是否存在病毒，一旦有病毒进入计算机网络的时候，网络防毒软件就会自动检测出来并且提示用户删除该病毒；</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单机杀毒软件则是我们常用的杀毒软件，主要是用户安装在电脑上通过网络的检测来进行电脑的全面检查，发现有病毒的话可以立即进行清除。</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防止病毒的方法主要包含：</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防病毒软件的实时监控功能默认情况下是打开的，限制严禁用户自行关闭的权限。</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定时访问防病毒软件供应商网站，及时更新最新的病毒引擎和病毒库，查杀受感染服务器上的病毒，同时查杀受感染服务器管理的计算机上的病毒。</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如果服务器被病毒感染，应立即停止服务器的程序和服务，防止病毒进一步扩散。</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eastAsia="宋体" w:cs="宋体"/>
          <w:sz w:val="21"/>
          <w:szCs w:val="21"/>
        </w:rPr>
      </w:pPr>
      <w:r>
        <w:rPr>
          <w:rFonts w:ascii="宋体" w:hAnsi="宋体" w:cs="宋体"/>
          <w:sz w:val="21"/>
          <w:szCs w:val="21"/>
        </w:rPr>
        <w:t>如果病毒将系统破坏，导致系统无法恢复，应将受感染计算机上的数据备份到其它存储介质，确保数据不会丢失。对备份的数据也要进行病毒检测，防止病毒再次感染其它计算机。</w:t>
      </w:r>
    </w:p>
    <w:p>
      <w:pPr>
        <w:pStyle w:val="Style17"/>
        <w:pageBreakBefore w:val="false"/>
        <w:widowControl w:val="false"/>
        <w:numPr>
          <w:ilvl w:val="0"/>
          <w:numId w:val="3"/>
        </w:numPr>
        <w:kinsoku w:val="true"/>
        <w:overflowPunct w:val="true"/>
        <w:bidi w:val="0"/>
        <w:snapToGrid w:val="true"/>
        <w:spacing w:lineRule="auto" w:line="360"/>
        <w:jc w:val="left"/>
        <w:textAlignment w:val="baseline"/>
        <w:rPr>
          <w:rFonts w:ascii="宋体" w:hAnsi="宋体" w:cs="宋体"/>
          <w:szCs w:val="21"/>
        </w:rPr>
      </w:pPr>
      <w:r>
        <w:rPr>
          <w:rFonts w:ascii="宋体" w:hAnsi="宋体" w:cs="宋体"/>
          <w:sz w:val="21"/>
          <w:szCs w:val="21"/>
        </w:rPr>
        <w:t>如果数据也被破坏导致无法恢复，经数据拥有者同意，可求助于反病毒组织的支持。</w:t>
      </w:r>
    </w:p>
    <w:p>
      <w:pPr>
        <w:pStyle w:val="Normal"/>
        <w:autoSpaceDE w:val="false"/>
        <w:spacing w:lineRule="auto" w:line="360"/>
        <w:rPr>
          <w:rFonts w:ascii="宋体" w:hAnsi="宋体" w:cs="宋体"/>
          <w:szCs w:val="21"/>
        </w:rPr>
      </w:pPr>
      <w:r>
        <w:rPr>
          <w:rFonts w:cs="宋体" w:ascii="宋体" w:hAnsi="宋体"/>
          <w:szCs w:val="21"/>
          <w:lang w:val="en-US" w:eastAsia="zh-CN"/>
        </w:rPr>
        <w:t>5</w:t>
      </w:r>
      <w:r>
        <w:rPr>
          <w:rFonts w:cs="宋体" w:ascii="宋体" w:hAnsi="宋体"/>
          <w:szCs w:val="21"/>
        </w:rPr>
        <w:t xml:space="preserve">. </w:t>
      </w:r>
      <w:r>
        <w:rPr>
          <w:rFonts w:ascii="宋体" w:hAnsi="宋体" w:cs="宋体"/>
          <w:b/>
          <w:bCs/>
          <w:szCs w:val="21"/>
        </w:rPr>
        <w:t>相关文件</w:t>
      </w:r>
    </w:p>
    <w:p>
      <w:pPr>
        <w:pStyle w:val="Normal"/>
        <w:autoSpaceDE w:val="false"/>
        <w:spacing w:lineRule="auto" w:line="360"/>
        <w:ind w:firstLine="420"/>
        <w:rPr>
          <w:rFonts w:ascii="宋体" w:hAnsi="宋体" w:cs="宋体"/>
          <w:szCs w:val="21"/>
        </w:rPr>
      </w:pPr>
      <w:r>
        <w:rPr>
          <w:rFonts w:cs="宋体" w:ascii="宋体" w:hAnsi="宋体"/>
          <w:szCs w:val="21"/>
        </w:rPr>
        <w:t>QMS-</w:t>
      </w:r>
      <w:r>
        <w:rPr>
          <w:rFonts w:cs="宋体" w:ascii="宋体" w:hAnsi="宋体"/>
          <w:szCs w:val="21"/>
        </w:rPr>
        <w:t>P</w:t>
      </w:r>
      <w:r>
        <w:rPr>
          <w:rFonts w:cs="宋体" w:ascii="宋体" w:hAnsi="宋体"/>
          <w:szCs w:val="21"/>
          <w:lang w:val="en-US" w:eastAsia="zh-CN"/>
        </w:rPr>
        <w:t>19</w:t>
      </w:r>
      <w:r>
        <w:rPr>
          <w:rFonts w:ascii="宋体" w:hAnsi="宋体" w:cs="宋体"/>
          <w:szCs w:val="21"/>
        </w:rPr>
        <w:t>《</w:t>
      </w:r>
      <w:r>
        <w:rPr>
          <w:rFonts w:ascii="宋体" w:hAnsi="宋体" w:cs="宋体"/>
          <w:szCs w:val="21"/>
          <w:lang w:val="en-US" w:eastAsia="zh-CN"/>
        </w:rPr>
        <w:t>产品召回</w:t>
      </w:r>
      <w:r>
        <w:rPr>
          <w:rFonts w:ascii="宋体" w:hAnsi="宋体" w:cs="宋体"/>
          <w:szCs w:val="21"/>
        </w:rPr>
        <w:t>控制程序》</w:t>
      </w:r>
    </w:p>
    <w:p>
      <w:pPr>
        <w:pStyle w:val="Normal"/>
        <w:autoSpaceDE w:val="false"/>
        <w:spacing w:lineRule="auto" w:line="360"/>
        <w:rPr>
          <w:rFonts w:ascii="宋体" w:hAnsi="宋体" w:cs="宋体"/>
          <w:b/>
          <w:b/>
          <w:bCs/>
          <w:szCs w:val="21"/>
        </w:rPr>
      </w:pPr>
      <w:r>
        <w:rPr>
          <w:rFonts w:cs="宋体" w:ascii="宋体" w:hAnsi="宋体"/>
          <w:szCs w:val="21"/>
          <w:lang w:val="en-US" w:eastAsia="zh-CN"/>
        </w:rPr>
        <w:t>6</w:t>
      </w:r>
      <w:r>
        <w:rPr>
          <w:rFonts w:cs="宋体" w:ascii="宋体" w:hAnsi="宋体"/>
          <w:szCs w:val="21"/>
        </w:rPr>
        <w:t xml:space="preserve">. </w:t>
      </w:r>
      <w:r>
        <w:rPr>
          <w:rFonts w:ascii="宋体" w:hAnsi="宋体" w:cs="宋体"/>
          <w:b/>
          <w:bCs/>
          <w:szCs w:val="21"/>
        </w:rPr>
        <w:t>记录</w:t>
      </w:r>
    </w:p>
    <w:p>
      <w:pPr>
        <w:pStyle w:val="Normal"/>
        <w:autoSpaceDE w:val="false"/>
        <w:spacing w:lineRule="auto" w:line="360"/>
        <w:ind w:firstLine="525"/>
        <w:rPr>
          <w:rFonts w:ascii="宋体" w:hAnsi="宋体" w:cs="宋体"/>
          <w:szCs w:val="21"/>
        </w:rPr>
      </w:pPr>
      <w:r>
        <w:rPr>
          <w:rFonts w:ascii="宋体" w:hAnsi="宋体" w:cs="宋体"/>
          <w:szCs w:val="21"/>
        </w:rPr>
        <w:t>无</w:t>
      </w:r>
    </w:p>
    <w:p>
      <w:pPr>
        <w:pStyle w:val="Normal"/>
        <w:autoSpaceDE w:val="false"/>
        <w:spacing w:lineRule="auto" w:line="360"/>
        <w:rPr>
          <w:rFonts w:ascii="宋体" w:hAnsi="宋体" w:cs="宋体"/>
          <w:b/>
          <w:b/>
          <w:szCs w:val="21"/>
        </w:rPr>
      </w:pPr>
      <w:r>
        <w:rPr>
          <w:rFonts w:cs="宋体" w:ascii="宋体" w:hAnsi="宋体"/>
          <w:b/>
          <w:szCs w:val="21"/>
          <w:lang w:val="en-US" w:eastAsia="zh-CN"/>
        </w:rPr>
        <w:t>7</w:t>
      </w:r>
      <w:r>
        <w:rPr>
          <w:rFonts w:cs="宋体" w:ascii="宋体" w:hAnsi="宋体"/>
          <w:b/>
          <w:szCs w:val="21"/>
        </w:rPr>
        <w:t xml:space="preserve">. </w:t>
      </w:r>
      <w:r>
        <w:rPr>
          <w:rFonts w:ascii="宋体" w:hAnsi="宋体" w:cs="宋体"/>
          <w:b/>
          <w:szCs w:val="21"/>
        </w:rPr>
        <w:t>文件更改履历表</w:t>
      </w:r>
    </w:p>
    <w:tbl>
      <w:tblPr>
        <w:tblW w:w="9011" w:type="dxa"/>
        <w:jc w:val="left"/>
        <w:tblInd w:w="392" w:type="dxa"/>
        <w:tblLayout w:type="fixed"/>
        <w:tblCellMar>
          <w:top w:w="0" w:type="dxa"/>
          <w:left w:w="108" w:type="dxa"/>
          <w:bottom w:w="0" w:type="dxa"/>
          <w:right w:w="108" w:type="dxa"/>
        </w:tblCellMar>
      </w:tblPr>
      <w:tblGrid>
        <w:gridCol w:w="1559"/>
        <w:gridCol w:w="4978"/>
        <w:gridCol w:w="2474"/>
      </w:tblGrid>
      <w:tr>
        <w:trPr>
          <w:trHeight w:val="378"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left="141" w:firstLine="316"/>
              <w:rPr>
                <w:rFonts w:ascii="宋体" w:hAnsi="宋体" w:cs="宋体"/>
                <w:b/>
                <w:b/>
                <w:szCs w:val="21"/>
              </w:rPr>
            </w:pPr>
            <w:r>
              <w:rPr>
                <w:rFonts w:ascii="宋体" w:hAnsi="宋体" w:cs="宋体"/>
                <w:b/>
                <w:szCs w:val="21"/>
              </w:rPr>
              <w:t>版本号</w:t>
            </w:r>
          </w:p>
        </w:tc>
        <w:tc>
          <w:tcPr>
            <w:tcW w:w="4978"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cs="宋体"/>
                <w:b/>
                <w:b/>
                <w:color w:val="000000"/>
                <w:szCs w:val="21"/>
              </w:rPr>
            </w:pPr>
            <w:r>
              <w:rPr>
                <w:rFonts w:ascii="宋体" w:hAnsi="宋体" w:cs="宋体"/>
                <w:b/>
                <w:szCs w:val="21"/>
              </w:rPr>
              <w:t>更改描述</w:t>
            </w:r>
          </w:p>
        </w:tc>
        <w:tc>
          <w:tcPr>
            <w:tcW w:w="2474"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cs="宋体"/>
                <w:b/>
                <w:b/>
                <w:color w:val="000000"/>
                <w:szCs w:val="21"/>
              </w:rPr>
            </w:pPr>
            <w:r>
              <w:rPr>
                <w:rFonts w:ascii="宋体" w:hAnsi="宋体" w:cs="宋体"/>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w:t>
            </w:r>
            <w:r>
              <w:rPr>
                <w:rFonts w:eastAsia="宋体" w:cs="宋体" w:ascii="宋体" w:hAnsi="宋体"/>
                <w:sz w:val="21"/>
              </w:rPr>
              <w:t>00</w:t>
            </w:r>
          </w:p>
        </w:tc>
        <w:tc>
          <w:tcPr>
            <w:tcW w:w="4978"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474"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rPr/>
      </w:pPr>
      <w:r>
        <w:rPr>
          <w:rFonts w:eastAsia="Calibri" w:cs="Calibri"/>
        </w:rPr>
        <w:t xml:space="preserve"> </w:t>
      </w:r>
      <w:r>
        <w:rPr>
          <w:rFonts w:eastAsia="Calibri" w:cs="Calibri"/>
        </w:rPr>
        <w:t xml:space="preserve">   </w:t>
      </w:r>
    </w:p>
    <w:sectPr>
      <w:headerReference w:type="default" r:id="rId5"/>
      <w:footerReference w:type="default" r:id="rId6"/>
      <w:type w:val="nextPage"/>
      <w:pgSz w:w="11906" w:h="16838"/>
      <w:pgMar w:left="1134" w:right="1134" w:gutter="0" w:header="851" w:top="2031" w:footer="637"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default"/>
  </w:font>
  <w:font w:name="Arial Black">
    <w:charset w:val="00"/>
    <w:family w:val="swiss"/>
    <w:pitch w:val="default"/>
  </w:font>
  <w:font w:name="Cambria">
    <w:charset w:val="00"/>
    <w:family w:val="roman"/>
    <w:pitch w:val="default"/>
  </w:font>
  <w:font w:name="Wingdings">
    <w:charset w:val="02"/>
    <w:family w:val="auto"/>
    <w:pitch w:val="default"/>
  </w:font>
  <w:font w:name="宋体">
    <w:charset w:val="86"/>
    <w:family w:val="auto"/>
    <w:pitch w:val="default"/>
  </w:font>
  <w:font w:name="Arial">
    <w:charset w:val="00"/>
    <w:family w:val="swiss"/>
    <w:pitch w:val="default"/>
  </w:font>
  <w:font w:name="等线 Light">
    <w:charset w:val="86"/>
    <w:family w:val="auto"/>
    <w:pitch w:val="default"/>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r>
      <mc:AlternateContent>
        <mc:Choice Requires="wps">
          <w:drawing>
            <wp:anchor behindDoc="0" distT="0" distB="0" distL="114300" distR="114300" simplePos="0" locked="0" layoutInCell="0" allowOverlap="1" relativeHeight="2">
              <wp:simplePos x="0" y="0"/>
              <wp:positionH relativeFrom="page">
                <wp:posOffset>883920</wp:posOffset>
              </wp:positionH>
              <wp:positionV relativeFrom="page">
                <wp:posOffset>569595</wp:posOffset>
              </wp:positionV>
              <wp:extent cx="5829300" cy="645795"/>
              <wp:effectExtent l="0" t="0" r="0" b="0"/>
              <wp:wrapSquare wrapText="bothSides"/>
              <wp:docPr id="2" name="Frame2"/>
              <a:graphic xmlns:a="http://schemas.openxmlformats.org/drawingml/2006/main">
                <a:graphicData uri="http://schemas.microsoft.com/office/word/2010/wordprocessingShape">
                  <wps:wsp>
                    <wps:cNvSpPr txBox="1"/>
                    <wps:spPr>
                      <a:xfrm>
                        <a:off x="0" y="0"/>
                        <a:ext cx="5829300" cy="645795"/>
                      </a:xfrm>
                      <a:prstGeom prst="rect"/>
                      <a:solidFill>
                        <a:srgbClr val="FFFFFF">
                          <a:alpha val="0"/>
                        </a:srgbClr>
                      </a:solidFill>
                    </wps:spPr>
                    <wps:txbx>
                      <w:txbxContent>
                        <w:tbl>
                          <w:tblPr>
                            <w:tblW w:w="9180" w:type="dxa"/>
                            <w:jc w:val="left"/>
                            <w:tblInd w:w="108" w:type="dxa"/>
                            <w:tblLayout w:type="fixed"/>
                            <w:tblCellMar>
                              <w:top w:w="0" w:type="dxa"/>
                              <w:left w:w="108" w:type="dxa"/>
                              <w:bottom w:w="0" w:type="dxa"/>
                              <w:right w:w="108" w:type="dxa"/>
                            </w:tblCellMar>
                          </w:tblPr>
                          <w:tblGrid>
                            <w:gridCol w:w="1843"/>
                            <w:gridCol w:w="4536"/>
                            <w:gridCol w:w="2801"/>
                          </w:tblGrid>
                          <w:tr>
                            <w:trPr>
                              <w:trHeight w:val="327" w:hRule="atLeast"/>
                            </w:trPr>
                            <w:tc>
                              <w:tcPr>
                                <w:tcW w:w="184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 w:hAnsi="宋体" w:cs="宋体"/>
                                    <w:szCs w:val="21"/>
                                  </w:rPr>
                                </w:pPr>
                                <w:r>
                                  <w:rPr>
                                    <w:rFonts w:ascii="宋体" w:hAnsi="宋体" w:cs="宋体"/>
                                    <w:szCs w:val="21"/>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cs="宋体"/>
                                    <w:szCs w:val="21"/>
                                  </w:rPr>
                                </w:pPr>
                                <w:r>
                                  <w:rPr>
                                    <w:rFonts w:ascii="宋体" w:hAnsi="宋体" w:cs="宋体"/>
                                    <w:szCs w:val="21"/>
                                    <w:lang w:val="en-US" w:eastAsia="zh-CN"/>
                                  </w:rPr>
                                  <w:t>网络安全应急响应</w:t>
                                </w:r>
                                <w:r>
                                  <w:rPr>
                                    <w:rFonts w:ascii="宋体" w:hAnsi="宋体" w:cs="宋体"/>
                                    <w:szCs w:val="21"/>
                                  </w:rPr>
                                  <w:t>控制程序</w:t>
                                </w:r>
                              </w:p>
                            </w:tc>
                            <w:tc>
                              <w:tcPr>
                                <w:tcW w:w="280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eastAsia="宋体" w:cs="宋体"/>
                                    <w:kern w:val="0"/>
                                    <w:szCs w:val="21"/>
                                    <w:lang w:eastAsia="zh-CN"/>
                                  </w:rPr>
                                </w:pPr>
                                <w:r>
                                  <w:rPr>
                                    <w:rFonts w:ascii="宋体" w:hAnsi="宋体" w:cs="宋体"/>
                                    <w:kern w:val="0"/>
                                    <w:szCs w:val="21"/>
                                  </w:rPr>
                                  <w:t xml:space="preserve">文件编号： </w:t>
                                </w:r>
                                <w:r>
                                  <w:rPr>
                                    <w:rFonts w:cs="宋体" w:ascii="宋体" w:hAnsi="宋体"/>
                                    <w:kern w:val="0"/>
                                    <w:szCs w:val="21"/>
                                  </w:rPr>
                                  <w:t>QMS-P2</w:t>
                                </w:r>
                                <w:r>
                                  <w:rPr>
                                    <w:rFonts w:cs="宋体" w:ascii="宋体" w:hAnsi="宋体"/>
                                    <w:kern w:val="0"/>
                                    <w:szCs w:val="21"/>
                                    <w:lang w:val="en-US" w:eastAsia="zh-CN"/>
                                  </w:rPr>
                                  <w:t>9</w:t>
                                </w:r>
                              </w:p>
                            </w:tc>
                          </w:tr>
                          <w:tr>
                            <w:trPr>
                              <w:trHeight w:val="221" w:hRule="atLeast"/>
                            </w:trPr>
                            <w:tc>
                              <w:tcPr>
                                <w:tcW w:w="1843"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eastAsia="宋体" w:cs="宋体"/>
                                    <w:kern w:val="0"/>
                                    <w:szCs w:val="21"/>
                                    <w:lang w:eastAsia="zh-CN"/>
                                  </w:rPr>
                                </w:pPr>
                                <w:r>
                                  <w:rPr>
                                    <w:rFonts w:eastAsia="宋体" w:cs="宋体" w:ascii="宋体" w:hAnsi="宋体"/>
                                    <w:kern w:val="0"/>
                                    <w:szCs w:val="21"/>
                                    <w:lang w:eastAsia="zh-CN"/>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cs="宋体"/>
                                    <w:kern w:val="0"/>
                                    <w:szCs w:val="21"/>
                                  </w:rPr>
                                </w:pPr>
                                <w:r>
                                  <w:rPr>
                                    <w:rFonts w:cs="宋体" w:ascii="宋体" w:hAnsi="宋体"/>
                                    <w:kern w:val="0"/>
                                    <w:szCs w:val="21"/>
                                  </w:rPr>
                                </w:r>
                              </w:p>
                            </w:tc>
                            <w:tc>
                              <w:tcPr>
                                <w:tcW w:w="280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cs="宋体"/>
                                    <w:kern w:val="0"/>
                                    <w:szCs w:val="21"/>
                                  </w:rPr>
                                </w:pPr>
                                <w:r>
                                  <w:rPr>
                                    <w:rFonts w:ascii="宋体" w:hAnsi="宋体" w:cs="宋体"/>
                                    <w:kern w:val="0"/>
                                    <w:szCs w:val="21"/>
                                  </w:rPr>
                                  <w:t xml:space="preserve">版本修订号： </w:t>
                                </w:r>
                                <w:r>
                                  <w:rPr>
                                    <w:rFonts w:cs="宋体" w:ascii="宋体" w:hAnsi="宋体"/>
                                    <w:kern w:val="0"/>
                                    <w:szCs w:val="21"/>
                                  </w:rPr>
                                  <w:t>A</w:t>
                                </w:r>
                                <w:r>
                                  <w:rPr>
                                    <w:rFonts w:cs="宋体" w:ascii="宋体" w:hAnsi="宋体"/>
                                    <w:kern w:val="0"/>
                                    <w:szCs w:val="21"/>
                                  </w:rPr>
                                  <w:t>00</w:t>
                                </w:r>
                              </w:p>
                            </w:tc>
                          </w:tr>
                          <w:tr>
                            <w:trPr>
                              <w:trHeight w:val="312" w:hRule="atLeast"/>
                            </w:trPr>
                            <w:tc>
                              <w:tcPr>
                                <w:tcW w:w="6379"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ind w:left="1050" w:hanging="1050"/>
                                  <w:jc w:val="center"/>
                                  <w:textAlignment w:val="baseline"/>
                                  <w:rPr>
                                    <w:rFonts w:ascii="宋体" w:hAnsi="宋体" w:cs="宋体"/>
                                    <w:kern w:val="0"/>
                                    <w:szCs w:val="21"/>
                                  </w:rPr>
                                </w:pPr>
                                <w:r>
                                  <w:rPr>
                                    <w:rFonts w:ascii="宋体" w:hAnsi="宋体" w:cs="宋体"/>
                                  </w:rPr>
                                  <w:t>上海深至信息科技有限公司</w:t>
                                </w:r>
                                <w:r>
                                  <w:rPr>
                                    <w:rFonts w:ascii="宋体" w:hAnsi="宋体" w:cs="宋体"/>
                                    <w:kern w:val="0"/>
                                    <w:szCs w:val="21"/>
                                  </w:rPr>
                                  <w:t>程序文件</w:t>
                                </w:r>
                              </w:p>
                            </w:tc>
                            <w:tc>
                              <w:tcPr>
                                <w:tcW w:w="280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cs="宋体"/>
                                    <w:kern w:val="0"/>
                                    <w:szCs w:val="21"/>
                                  </w:rPr>
                                </w:pPr>
                                <w:r>
                                  <w:rPr>
                                    <w:rFonts w:ascii="宋体" w:hAnsi="宋体" w:cs="宋体"/>
                                    <w:kern w:val="0"/>
                                    <w:szCs w:val="21"/>
                                  </w:rPr>
                                  <w:t xml:space="preserve">页     码： </w:t>
                                </w:r>
                                <w:r>
                                  <w:rPr>
                                    <w:rFonts w:ascii="宋体" w:hAnsi="宋体" w:cs="宋体"/>
                                    <w:kern w:val="0"/>
                                    <w:szCs w:val="21"/>
                                  </w:rPr>
                                  <w:fldChar w:fldCharType="begin"/>
                                </w:r>
                                <w:r>
                                  <w:rPr>
                                    <w:kern w:val="0"/>
                                    <w:szCs w:val="21"/>
                                    <w:rFonts w:ascii="宋体" w:hAnsi="宋体" w:cs="宋体"/>
                                  </w:rPr>
                                  <w:instrText xml:space="preserve"> PAGE </w:instrText>
                                </w:r>
                                <w:r>
                                  <w:rPr>
                                    <w:kern w:val="0"/>
                                    <w:szCs w:val="21"/>
                                    <w:rFonts w:ascii="宋体" w:hAnsi="宋体" w:cs="宋体"/>
                                  </w:rPr>
                                  <w:fldChar w:fldCharType="separate"/>
                                </w:r>
                                <w:r>
                                  <w:rPr>
                                    <w:kern w:val="0"/>
                                    <w:szCs w:val="21"/>
                                    <w:rFonts w:ascii="宋体" w:hAnsi="宋体" w:cs="宋体"/>
                                  </w:rPr>
                                  <w:t>2</w:t>
                                </w:r>
                                <w:r>
                                  <w:rPr>
                                    <w:kern w:val="0"/>
                                    <w:szCs w:val="21"/>
                                    <w:rFonts w:ascii="宋体" w:hAnsi="宋体" w:cs="宋体"/>
                                  </w:rPr>
                                  <w:fldChar w:fldCharType="end"/>
                                </w:r>
                                <w:r>
                                  <w:rPr>
                                    <w:rFonts w:cs="宋体" w:ascii="宋体" w:hAnsi="宋体"/>
                                    <w:szCs w:val="21"/>
                                  </w:rPr>
                                  <w:t xml:space="preserve">/ </w:t>
                                </w:r>
                                <w:r>
                                  <w:rPr>
                                    <w:rFonts w:cs="宋体" w:ascii="宋体" w:hAnsi="宋体"/>
                                    <w:szCs w:val="21"/>
                                  </w:rPr>
                                  <w:t>9</w:t>
                                </w:r>
                              </w:p>
                            </w:tc>
                          </w:tr>
                        </w:tbl>
                      </w:txbxContent>
                    </wps:txbx>
                    <wps:bodyPr anchor="t" lIns="0" tIns="0" rIns="0" bIns="0">
                      <a:noAutofit/>
                    </wps:bodyPr>
                  </wps:wsp>
                </a:graphicData>
              </a:graphic>
            </wp:anchor>
          </w:drawing>
        </mc:Choice>
        <mc:Fallback>
          <w:pict>
            <v:rect fillcolor="#FFFFFF" style="position:absolute;rotation:-0;width:459pt;height:50.85pt;mso-wrap-distance-left:9pt;mso-wrap-distance-right:9pt;mso-wrap-distance-top:0pt;mso-wrap-distance-bottom:0pt;margin-top:44.85pt;mso-position-vertical-relative:page;margin-left:69.6pt;mso-position-horizontal-relative:page">
              <v:fill opacity="0f"/>
              <v:textbox inset="0in,0in,0in,0in">
                <w:txbxContent>
                  <w:tbl>
                    <w:tblPr>
                      <w:tblW w:w="9180" w:type="dxa"/>
                      <w:jc w:val="left"/>
                      <w:tblInd w:w="108" w:type="dxa"/>
                      <w:tblLayout w:type="fixed"/>
                      <w:tblCellMar>
                        <w:top w:w="0" w:type="dxa"/>
                        <w:left w:w="108" w:type="dxa"/>
                        <w:bottom w:w="0" w:type="dxa"/>
                        <w:right w:w="108" w:type="dxa"/>
                      </w:tblCellMar>
                    </w:tblPr>
                    <w:tblGrid>
                      <w:gridCol w:w="1843"/>
                      <w:gridCol w:w="4536"/>
                      <w:gridCol w:w="2801"/>
                    </w:tblGrid>
                    <w:tr>
                      <w:trPr>
                        <w:trHeight w:val="327" w:hRule="atLeast"/>
                      </w:trPr>
                      <w:tc>
                        <w:tcPr>
                          <w:tcW w:w="184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 w:hAnsi="宋体" w:cs="宋体"/>
                              <w:szCs w:val="21"/>
                            </w:rPr>
                          </w:pPr>
                          <w:r>
                            <w:rPr>
                              <w:rFonts w:ascii="宋体" w:hAnsi="宋体" w:cs="宋体"/>
                              <w:szCs w:val="21"/>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cs="宋体"/>
                              <w:szCs w:val="21"/>
                            </w:rPr>
                          </w:pPr>
                          <w:r>
                            <w:rPr>
                              <w:rFonts w:ascii="宋体" w:hAnsi="宋体" w:cs="宋体"/>
                              <w:szCs w:val="21"/>
                              <w:lang w:val="en-US" w:eastAsia="zh-CN"/>
                            </w:rPr>
                            <w:t>网络安全应急响应</w:t>
                          </w:r>
                          <w:r>
                            <w:rPr>
                              <w:rFonts w:ascii="宋体" w:hAnsi="宋体" w:cs="宋体"/>
                              <w:szCs w:val="21"/>
                            </w:rPr>
                            <w:t>控制程序</w:t>
                          </w:r>
                        </w:p>
                      </w:tc>
                      <w:tc>
                        <w:tcPr>
                          <w:tcW w:w="280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eastAsia="宋体" w:cs="宋体"/>
                              <w:kern w:val="0"/>
                              <w:szCs w:val="21"/>
                              <w:lang w:eastAsia="zh-CN"/>
                            </w:rPr>
                          </w:pPr>
                          <w:r>
                            <w:rPr>
                              <w:rFonts w:ascii="宋体" w:hAnsi="宋体" w:cs="宋体"/>
                              <w:kern w:val="0"/>
                              <w:szCs w:val="21"/>
                            </w:rPr>
                            <w:t xml:space="preserve">文件编号： </w:t>
                          </w:r>
                          <w:r>
                            <w:rPr>
                              <w:rFonts w:cs="宋体" w:ascii="宋体" w:hAnsi="宋体"/>
                              <w:kern w:val="0"/>
                              <w:szCs w:val="21"/>
                            </w:rPr>
                            <w:t>QMS-P2</w:t>
                          </w:r>
                          <w:r>
                            <w:rPr>
                              <w:rFonts w:cs="宋体" w:ascii="宋体" w:hAnsi="宋体"/>
                              <w:kern w:val="0"/>
                              <w:szCs w:val="21"/>
                              <w:lang w:val="en-US" w:eastAsia="zh-CN"/>
                            </w:rPr>
                            <w:t>9</w:t>
                          </w:r>
                        </w:p>
                      </w:tc>
                    </w:tr>
                    <w:tr>
                      <w:trPr>
                        <w:trHeight w:val="221" w:hRule="atLeast"/>
                      </w:trPr>
                      <w:tc>
                        <w:tcPr>
                          <w:tcW w:w="1843"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eastAsia="宋体" w:cs="宋体"/>
                              <w:kern w:val="0"/>
                              <w:szCs w:val="21"/>
                              <w:lang w:eastAsia="zh-CN"/>
                            </w:rPr>
                          </w:pPr>
                          <w:r>
                            <w:rPr>
                              <w:rFonts w:eastAsia="宋体" w:cs="宋体" w:ascii="宋体" w:hAnsi="宋体"/>
                              <w:kern w:val="0"/>
                              <w:szCs w:val="21"/>
                              <w:lang w:eastAsia="zh-CN"/>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cs="宋体"/>
                              <w:kern w:val="0"/>
                              <w:szCs w:val="21"/>
                            </w:rPr>
                          </w:pPr>
                          <w:r>
                            <w:rPr>
                              <w:rFonts w:cs="宋体" w:ascii="宋体" w:hAnsi="宋体"/>
                              <w:kern w:val="0"/>
                              <w:szCs w:val="21"/>
                            </w:rPr>
                          </w:r>
                        </w:p>
                      </w:tc>
                      <w:tc>
                        <w:tcPr>
                          <w:tcW w:w="280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cs="宋体"/>
                              <w:kern w:val="0"/>
                              <w:szCs w:val="21"/>
                            </w:rPr>
                          </w:pPr>
                          <w:r>
                            <w:rPr>
                              <w:rFonts w:ascii="宋体" w:hAnsi="宋体" w:cs="宋体"/>
                              <w:kern w:val="0"/>
                              <w:szCs w:val="21"/>
                            </w:rPr>
                            <w:t xml:space="preserve">版本修订号： </w:t>
                          </w:r>
                          <w:r>
                            <w:rPr>
                              <w:rFonts w:cs="宋体" w:ascii="宋体" w:hAnsi="宋体"/>
                              <w:kern w:val="0"/>
                              <w:szCs w:val="21"/>
                            </w:rPr>
                            <w:t>A</w:t>
                          </w:r>
                          <w:r>
                            <w:rPr>
                              <w:rFonts w:cs="宋体" w:ascii="宋体" w:hAnsi="宋体"/>
                              <w:kern w:val="0"/>
                              <w:szCs w:val="21"/>
                            </w:rPr>
                            <w:t>00</w:t>
                          </w:r>
                        </w:p>
                      </w:tc>
                    </w:tr>
                    <w:tr>
                      <w:trPr>
                        <w:trHeight w:val="312" w:hRule="atLeast"/>
                      </w:trPr>
                      <w:tc>
                        <w:tcPr>
                          <w:tcW w:w="6379"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ind w:left="1050" w:hanging="1050"/>
                            <w:jc w:val="center"/>
                            <w:textAlignment w:val="baseline"/>
                            <w:rPr>
                              <w:rFonts w:ascii="宋体" w:hAnsi="宋体" w:cs="宋体"/>
                              <w:kern w:val="0"/>
                              <w:szCs w:val="21"/>
                            </w:rPr>
                          </w:pPr>
                          <w:r>
                            <w:rPr>
                              <w:rFonts w:ascii="宋体" w:hAnsi="宋体" w:cs="宋体"/>
                            </w:rPr>
                            <w:t>上海深至信息科技有限公司</w:t>
                          </w:r>
                          <w:r>
                            <w:rPr>
                              <w:rFonts w:ascii="宋体" w:hAnsi="宋体" w:cs="宋体"/>
                              <w:kern w:val="0"/>
                              <w:szCs w:val="21"/>
                            </w:rPr>
                            <w:t>程序文件</w:t>
                          </w:r>
                        </w:p>
                      </w:tc>
                      <w:tc>
                        <w:tcPr>
                          <w:tcW w:w="280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rFonts w:ascii="宋体" w:hAnsi="宋体" w:cs="宋体"/>
                              <w:kern w:val="0"/>
                              <w:szCs w:val="21"/>
                            </w:rPr>
                          </w:pPr>
                          <w:r>
                            <w:rPr>
                              <w:rFonts w:ascii="宋体" w:hAnsi="宋体" w:cs="宋体"/>
                              <w:kern w:val="0"/>
                              <w:szCs w:val="21"/>
                            </w:rPr>
                            <w:t xml:space="preserve">页     码： </w:t>
                          </w:r>
                          <w:r>
                            <w:rPr>
                              <w:rFonts w:ascii="宋体" w:hAnsi="宋体" w:cs="宋体"/>
                              <w:kern w:val="0"/>
                              <w:szCs w:val="21"/>
                            </w:rPr>
                            <w:fldChar w:fldCharType="begin"/>
                          </w:r>
                          <w:r>
                            <w:rPr>
                              <w:kern w:val="0"/>
                              <w:szCs w:val="21"/>
                              <w:rFonts w:ascii="宋体" w:hAnsi="宋体" w:cs="宋体"/>
                            </w:rPr>
                            <w:instrText xml:space="preserve"> PAGE </w:instrText>
                          </w:r>
                          <w:r>
                            <w:rPr>
                              <w:kern w:val="0"/>
                              <w:szCs w:val="21"/>
                              <w:rFonts w:ascii="宋体" w:hAnsi="宋体" w:cs="宋体"/>
                            </w:rPr>
                            <w:fldChar w:fldCharType="separate"/>
                          </w:r>
                          <w:r>
                            <w:rPr>
                              <w:kern w:val="0"/>
                              <w:szCs w:val="21"/>
                              <w:rFonts w:ascii="宋体" w:hAnsi="宋体" w:cs="宋体"/>
                            </w:rPr>
                            <w:t>2</w:t>
                          </w:r>
                          <w:r>
                            <w:rPr>
                              <w:kern w:val="0"/>
                              <w:szCs w:val="21"/>
                              <w:rFonts w:ascii="宋体" w:hAnsi="宋体" w:cs="宋体"/>
                            </w:rPr>
                            <w:fldChar w:fldCharType="end"/>
                          </w:r>
                          <w:r>
                            <w:rPr>
                              <w:rFonts w:cs="宋体" w:ascii="宋体" w:hAnsi="宋体"/>
                              <w:szCs w:val="21"/>
                            </w:rPr>
                            <w:t xml:space="preserve">/ </w:t>
                          </w:r>
                          <w:r>
                            <w:rPr>
                              <w:rFonts w:cs="宋体" w:ascii="宋体" w:hAnsi="宋体"/>
                              <w:szCs w:val="21"/>
                            </w:rPr>
                            <w:t>9</w:t>
                          </w:r>
                        </w:p>
                      </w:tc>
                    </w:tr>
                  </w:tbl>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r>
      <mc:AlternateContent>
        <mc:Choice Requires="wps">
          <w:drawing>
            <wp:anchor behindDoc="0" distT="0" distB="0" distL="114300" distR="114300" simplePos="0" locked="0" layoutInCell="0" allowOverlap="1" relativeHeight="9">
              <wp:simplePos x="0" y="0"/>
              <wp:positionH relativeFrom="page">
                <wp:posOffset>883920</wp:posOffset>
              </wp:positionH>
              <wp:positionV relativeFrom="page">
                <wp:posOffset>569595</wp:posOffset>
              </wp:positionV>
              <wp:extent cx="5829300" cy="837565"/>
              <wp:effectExtent l="0" t="0" r="0" b="0"/>
              <wp:wrapSquare wrapText="bothSides"/>
              <wp:docPr id="3" name="Frame3"/>
              <a:graphic xmlns:a="http://schemas.openxmlformats.org/drawingml/2006/main">
                <a:graphicData uri="http://schemas.microsoft.com/office/word/2010/wordprocessingShape">
                  <wps:wsp>
                    <wps:cNvSpPr txBox="1"/>
                    <wps:spPr>
                      <a:xfrm>
                        <a:off x="0" y="0"/>
                        <a:ext cx="5829300" cy="837565"/>
                      </a:xfrm>
                      <a:prstGeom prst="rect"/>
                      <a:solidFill>
                        <a:srgbClr val="FFFFFF">
                          <a:alpha val="0"/>
                        </a:srgbClr>
                      </a:solidFill>
                    </wps:spPr>
                    <wps:txbx>
                      <w:txbxContent>
                        <w:tbl>
                          <w:tblPr>
                            <w:tblW w:w="9180" w:type="dxa"/>
                            <w:jc w:val="left"/>
                            <w:tblInd w:w="108" w:type="dxa"/>
                            <w:tblLayout w:type="fixed"/>
                            <w:tblCellMar>
                              <w:top w:w="0" w:type="dxa"/>
                              <w:left w:w="108" w:type="dxa"/>
                              <w:bottom w:w="0" w:type="dxa"/>
                              <w:right w:w="108" w:type="dxa"/>
                            </w:tblCellMar>
                          </w:tblPr>
                          <w:tblGrid>
                            <w:gridCol w:w="1843"/>
                            <w:gridCol w:w="4536"/>
                            <w:gridCol w:w="2801"/>
                          </w:tblGrid>
                          <w:tr>
                            <w:trPr>
                              <w:trHeight w:val="327" w:hRule="atLeast"/>
                            </w:trPr>
                            <w:tc>
                              <w:tcPr>
                                <w:tcW w:w="184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 w:hAnsi="宋体" w:cs="宋体"/>
                                    <w:szCs w:val="21"/>
                                  </w:rPr>
                                </w:pPr>
                                <w:r>
                                  <w:rPr>
                                    <w:rFonts w:ascii="宋体" w:hAnsi="宋体" w:cs="宋体"/>
                                    <w:szCs w:val="21"/>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rFonts w:ascii="宋体" w:hAnsi="宋体" w:cs="宋体"/>
                                    <w:szCs w:val="21"/>
                                    <w:lang w:val="en-US" w:eastAsia="zh-CN"/>
                                  </w:rPr>
                                  <w:t>网络安全应急响应</w:t>
                                </w:r>
                                <w:r>
                                  <w:rPr>
                                    <w:rFonts w:ascii="宋体" w:hAnsi="宋体" w:cs="宋体"/>
                                    <w:szCs w:val="21"/>
                                  </w:rPr>
                                  <w:t>控制程序</w:t>
                                </w:r>
                              </w:p>
                            </w:tc>
                            <w:tc>
                              <w:tcPr>
                                <w:tcW w:w="280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文件编号： </w:t>
                                </w:r>
                                <w:r>
                                  <w:rPr>
                                    <w:rFonts w:cs="宋体" w:ascii="宋体" w:hAnsi="宋体"/>
                                    <w:kern w:val="0"/>
                                    <w:szCs w:val="21"/>
                                  </w:rPr>
                                  <w:t>QMS-P2</w:t>
                                </w:r>
                                <w:r>
                                  <w:rPr>
                                    <w:rFonts w:cs="宋体" w:ascii="宋体" w:hAnsi="宋体"/>
                                    <w:kern w:val="0"/>
                                    <w:szCs w:val="21"/>
                                    <w:lang w:val="en-US" w:eastAsia="zh-CN"/>
                                  </w:rPr>
                                  <w:t>9</w:t>
                                </w:r>
                              </w:p>
                            </w:tc>
                          </w:tr>
                          <w:tr>
                            <w:trPr>
                              <w:trHeight w:val="221" w:hRule="atLeast"/>
                            </w:trPr>
                            <w:tc>
                              <w:tcPr>
                                <w:tcW w:w="1843"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eastAsia="宋体" w:cs="宋体"/>
                                    <w:kern w:val="0"/>
                                    <w:szCs w:val="21"/>
                                    <w:lang w:eastAsia="zh-CN"/>
                                  </w:rPr>
                                </w:pPr>
                                <w:r>
                                  <w:rPr>
                                    <w:rFonts w:eastAsia="宋体" w:cs="宋体" w:ascii="宋体" w:hAnsi="宋体"/>
                                    <w:kern w:val="0"/>
                                    <w:szCs w:val="21"/>
                                    <w:lang w:eastAsia="zh-CN"/>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cs="宋体"/>
                                    <w:kern w:val="0"/>
                                    <w:szCs w:val="21"/>
                                  </w:rPr>
                                </w:pPr>
                                <w:r>
                                  <w:rPr>
                                    <w:rFonts w:cs="宋体" w:ascii="宋体" w:hAnsi="宋体"/>
                                    <w:kern w:val="0"/>
                                    <w:szCs w:val="21"/>
                                  </w:rPr>
                                </w:r>
                              </w:p>
                            </w:tc>
                            <w:tc>
                              <w:tcPr>
                                <w:tcW w:w="280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版本修订号： </w:t>
                                </w:r>
                                <w:r>
                                  <w:rPr>
                                    <w:rFonts w:cs="宋体" w:ascii="宋体" w:hAnsi="宋体"/>
                                    <w:kern w:val="0"/>
                                    <w:szCs w:val="21"/>
                                  </w:rPr>
                                  <w:t>A</w:t>
                                </w:r>
                                <w:r>
                                  <w:rPr>
                                    <w:rFonts w:cs="宋体" w:ascii="宋体" w:hAnsi="宋体"/>
                                    <w:kern w:val="0"/>
                                    <w:szCs w:val="21"/>
                                  </w:rPr>
                                  <w:t>00</w:t>
                                </w:r>
                              </w:p>
                            </w:tc>
                          </w:tr>
                          <w:tr>
                            <w:trPr>
                              <w:trHeight w:val="312" w:hRule="atLeast"/>
                            </w:trPr>
                            <w:tc>
                              <w:tcPr>
                                <w:tcW w:w="6379"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ind w:left="1050" w:hanging="1050"/>
                                  <w:jc w:val="center"/>
                                  <w:textAlignment w:val="baseline"/>
                                  <w:rPr/>
                                </w:pPr>
                                <w:r>
                                  <w:rPr>
                                    <w:rFonts w:ascii="宋体" w:hAnsi="宋体" w:cs="宋体"/>
                                  </w:rPr>
                                  <w:t>上海深至信息科技有限公司</w:t>
                                </w:r>
                                <w:r>
                                  <w:rPr>
                                    <w:rFonts w:ascii="宋体" w:hAnsi="宋体" w:cs="宋体"/>
                                    <w:kern w:val="0"/>
                                    <w:szCs w:val="21"/>
                                  </w:rPr>
                                  <w:t>程序文件</w:t>
                                </w:r>
                              </w:p>
                            </w:tc>
                            <w:tc>
                              <w:tcPr>
                                <w:tcW w:w="280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页     码： </w:t>
                                </w:r>
                                <w:r>
                                  <w:rPr>
                                    <w:rFonts w:ascii="宋体" w:hAnsi="宋体" w:cs="宋体"/>
                                    <w:kern w:val="0"/>
                                    <w:szCs w:val="21"/>
                                  </w:rPr>
                                  <w:fldChar w:fldCharType="begin"/>
                                </w:r>
                                <w:r>
                                  <w:rPr>
                                    <w:kern w:val="0"/>
                                    <w:szCs w:val="21"/>
                                    <w:rFonts w:ascii="宋体" w:hAnsi="宋体" w:cs="宋体"/>
                                  </w:rPr>
                                  <w:instrText xml:space="preserve"> PAGE </w:instrText>
                                </w:r>
                                <w:r>
                                  <w:rPr>
                                    <w:kern w:val="0"/>
                                    <w:szCs w:val="21"/>
                                    <w:rFonts w:ascii="宋体" w:hAnsi="宋体" w:cs="宋体"/>
                                  </w:rPr>
                                  <w:fldChar w:fldCharType="separate"/>
                                </w:r>
                                <w:r>
                                  <w:rPr>
                                    <w:kern w:val="0"/>
                                    <w:szCs w:val="21"/>
                                    <w:rFonts w:ascii="宋体" w:hAnsi="宋体" w:cs="宋体"/>
                                  </w:rPr>
                                  <w:t>6</w:t>
                                </w:r>
                                <w:r>
                                  <w:rPr>
                                    <w:kern w:val="0"/>
                                    <w:szCs w:val="21"/>
                                    <w:rFonts w:ascii="宋体" w:hAnsi="宋体" w:cs="宋体"/>
                                  </w:rPr>
                                  <w:fldChar w:fldCharType="end"/>
                                </w:r>
                                <w:r>
                                  <w:rPr>
                                    <w:rFonts w:cs="宋体" w:ascii="宋体" w:hAnsi="宋体"/>
                                    <w:szCs w:val="21"/>
                                  </w:rPr>
                                  <w:t xml:space="preserve">/ </w:t>
                                </w:r>
                                <w:r>
                                  <w:rPr>
                                    <w:rFonts w:cs="宋体" w:ascii="宋体" w:hAnsi="宋体"/>
                                    <w:szCs w:val="21"/>
                                  </w:rPr>
                                  <w:t>9</w:t>
                                </w:r>
                              </w:p>
                            </w:tc>
                          </w:tr>
                        </w:tbl>
                        <w:p>
                          <w:pPr>
                            <w:pStyle w:val="FrameContents"/>
                            <w:rPr>
                              <w:rFonts w:ascii="宋体" w:hAnsi="宋体" w:cs="宋体"/>
                              <w:kern w:val="0"/>
                              <w:szCs w:val="21"/>
                            </w:rPr>
                          </w:pPr>
                          <w:r>
                            <w:rPr>
                              <w:rFonts w:cs="宋体" w:ascii="宋体" w:hAnsi="宋体"/>
                              <w:kern w:val="0"/>
                              <w:szCs w:val="21"/>
                            </w:rPr>
                          </w:r>
                        </w:p>
                      </w:txbxContent>
                    </wps:txbx>
                    <wps:bodyPr anchor="t" lIns="0" tIns="0" rIns="0" bIns="0">
                      <a:noAutofit/>
                    </wps:bodyPr>
                  </wps:wsp>
                </a:graphicData>
              </a:graphic>
            </wp:anchor>
          </w:drawing>
        </mc:Choice>
        <mc:Fallback>
          <w:pict>
            <v:rect fillcolor="#FFFFFF" style="position:absolute;rotation:-0;width:459pt;height:65.95pt;mso-wrap-distance-left:9pt;mso-wrap-distance-right:9pt;mso-wrap-distance-top:0pt;mso-wrap-distance-bottom:0pt;margin-top:44.85pt;mso-position-vertical-relative:page;margin-left:69.6pt;mso-position-horizontal-relative:page">
              <v:fill opacity="0f"/>
              <v:textbox inset="0in,0in,0in,0in">
                <w:txbxContent>
                  <w:tbl>
                    <w:tblPr>
                      <w:tblW w:w="9180" w:type="dxa"/>
                      <w:jc w:val="left"/>
                      <w:tblInd w:w="108" w:type="dxa"/>
                      <w:tblLayout w:type="fixed"/>
                      <w:tblCellMar>
                        <w:top w:w="0" w:type="dxa"/>
                        <w:left w:w="108" w:type="dxa"/>
                        <w:bottom w:w="0" w:type="dxa"/>
                        <w:right w:w="108" w:type="dxa"/>
                      </w:tblCellMar>
                    </w:tblPr>
                    <w:tblGrid>
                      <w:gridCol w:w="1843"/>
                      <w:gridCol w:w="4536"/>
                      <w:gridCol w:w="2801"/>
                    </w:tblGrid>
                    <w:tr>
                      <w:trPr>
                        <w:trHeight w:val="327" w:hRule="atLeast"/>
                      </w:trPr>
                      <w:tc>
                        <w:tcPr>
                          <w:tcW w:w="184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ind w:firstLine="210"/>
                            <w:rPr>
                              <w:rFonts w:ascii="宋体" w:hAnsi="宋体" w:cs="宋体"/>
                              <w:szCs w:val="21"/>
                            </w:rPr>
                          </w:pPr>
                          <w:r>
                            <w:rPr>
                              <w:rFonts w:ascii="宋体" w:hAnsi="宋体" w:cs="宋体"/>
                              <w:szCs w:val="21"/>
                            </w:rPr>
                            <w:t xml:space="preserve">文件名称  </w:t>
                          </w:r>
                        </w:p>
                      </w:tc>
                      <w:tc>
                        <w:tcPr>
                          <w:tcW w:w="4536"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rFonts w:ascii="宋体" w:hAnsi="宋体" w:cs="宋体"/>
                              <w:szCs w:val="21"/>
                              <w:lang w:val="en-US" w:eastAsia="zh-CN"/>
                            </w:rPr>
                            <w:t>网络安全应急响应</w:t>
                          </w:r>
                          <w:r>
                            <w:rPr>
                              <w:rFonts w:ascii="宋体" w:hAnsi="宋体" w:cs="宋体"/>
                              <w:szCs w:val="21"/>
                            </w:rPr>
                            <w:t>控制程序</w:t>
                          </w:r>
                        </w:p>
                      </w:tc>
                      <w:tc>
                        <w:tcPr>
                          <w:tcW w:w="2801" w:type="dxa"/>
                          <w:tcBorders>
                            <w:top w:val="double" w:sz="4"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文件编号： </w:t>
                          </w:r>
                          <w:r>
                            <w:rPr>
                              <w:rFonts w:cs="宋体" w:ascii="宋体" w:hAnsi="宋体"/>
                              <w:kern w:val="0"/>
                              <w:szCs w:val="21"/>
                            </w:rPr>
                            <w:t>QMS-P2</w:t>
                          </w:r>
                          <w:r>
                            <w:rPr>
                              <w:rFonts w:cs="宋体" w:ascii="宋体" w:hAnsi="宋体"/>
                              <w:kern w:val="0"/>
                              <w:szCs w:val="21"/>
                              <w:lang w:val="en-US" w:eastAsia="zh-CN"/>
                            </w:rPr>
                            <w:t>9</w:t>
                          </w:r>
                        </w:p>
                      </w:tc>
                    </w:tr>
                    <w:tr>
                      <w:trPr>
                        <w:trHeight w:val="221" w:hRule="atLeast"/>
                      </w:trPr>
                      <w:tc>
                        <w:tcPr>
                          <w:tcW w:w="1843" w:type="dxa"/>
                          <w:vMerge w:val="continue"/>
                          <w:tcBorders>
                            <w:top w:val="double" w:sz="4" w:space="0" w:color="000000"/>
                            <w:left w:val="double" w:sz="4" w:space="0" w:color="000000"/>
                            <w:bottom w:val="single" w:sz="6" w:space="0" w:color="000000"/>
                            <w:right w:val="single" w:sz="4"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eastAsia="宋体" w:cs="宋体"/>
                              <w:kern w:val="0"/>
                              <w:szCs w:val="21"/>
                              <w:lang w:eastAsia="zh-CN"/>
                            </w:rPr>
                          </w:pPr>
                          <w:r>
                            <w:rPr>
                              <w:rFonts w:eastAsia="宋体" w:cs="宋体" w:ascii="宋体" w:hAnsi="宋体"/>
                              <w:kern w:val="0"/>
                              <w:szCs w:val="21"/>
                              <w:lang w:eastAsia="zh-CN"/>
                            </w:rPr>
                          </w:r>
                        </w:p>
                      </w:tc>
                      <w:tc>
                        <w:tcPr>
                          <w:tcW w:w="4536" w:type="dxa"/>
                          <w:vMerge w:val="continue"/>
                          <w:tcBorders>
                            <w:top w:val="double" w:sz="4" w:space="0" w:color="000000"/>
                            <w:left w:val="single" w:sz="4" w:space="0" w:color="000000"/>
                            <w:bottom w:val="single" w:sz="6" w:space="0" w:color="000000"/>
                            <w:right w:val="single" w:sz="6" w:space="0" w:color="000000"/>
                          </w:tcBorders>
                          <w:vAlign w:val="center"/>
                        </w:tcPr>
                        <w:p>
                          <w:pPr>
                            <w:pStyle w:val="Normal"/>
                            <w:tabs>
                              <w:tab w:val="clear" w:pos="420"/>
                              <w:tab w:val="center" w:pos="4153" w:leader="none"/>
                              <w:tab w:val="right" w:pos="8306" w:leader="none"/>
                            </w:tabs>
                            <w:snapToGrid w:val="false"/>
                            <w:jc w:val="center"/>
                            <w:textAlignment w:val="baseline"/>
                            <w:rPr>
                              <w:rFonts w:ascii="宋体" w:hAnsi="宋体" w:cs="宋体"/>
                              <w:kern w:val="0"/>
                              <w:szCs w:val="21"/>
                            </w:rPr>
                          </w:pPr>
                          <w:r>
                            <w:rPr>
                              <w:rFonts w:cs="宋体" w:ascii="宋体" w:hAnsi="宋体"/>
                              <w:kern w:val="0"/>
                              <w:szCs w:val="21"/>
                            </w:rPr>
                          </w:r>
                        </w:p>
                      </w:tc>
                      <w:tc>
                        <w:tcPr>
                          <w:tcW w:w="2801" w:type="dxa"/>
                          <w:tcBorders>
                            <w:top w:val="single" w:sz="6" w:space="0" w:color="000000"/>
                            <w:left w:val="single" w:sz="6" w:space="0" w:color="000000"/>
                            <w:bottom w:val="single" w:sz="6"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版本修订号： </w:t>
                          </w:r>
                          <w:r>
                            <w:rPr>
                              <w:rFonts w:cs="宋体" w:ascii="宋体" w:hAnsi="宋体"/>
                              <w:kern w:val="0"/>
                              <w:szCs w:val="21"/>
                            </w:rPr>
                            <w:t>A</w:t>
                          </w:r>
                          <w:r>
                            <w:rPr>
                              <w:rFonts w:cs="宋体" w:ascii="宋体" w:hAnsi="宋体"/>
                              <w:kern w:val="0"/>
                              <w:szCs w:val="21"/>
                            </w:rPr>
                            <w:t>00</w:t>
                          </w:r>
                        </w:p>
                      </w:tc>
                    </w:tr>
                    <w:tr>
                      <w:trPr>
                        <w:trHeight w:val="312" w:hRule="atLeast"/>
                      </w:trPr>
                      <w:tc>
                        <w:tcPr>
                          <w:tcW w:w="6379" w:type="dxa"/>
                          <w:gridSpan w:val="2"/>
                          <w:tcBorders>
                            <w:top w:val="single" w:sz="4" w:space="0" w:color="000000"/>
                            <w:left w:val="double" w:sz="4" w:space="0" w:color="000000"/>
                            <w:bottom w:val="double" w:sz="4" w:space="0" w:color="000000"/>
                            <w:right w:val="single" w:sz="6" w:space="0" w:color="000000"/>
                          </w:tcBorders>
                        </w:tcPr>
                        <w:p>
                          <w:pPr>
                            <w:pStyle w:val="Normal"/>
                            <w:tabs>
                              <w:tab w:val="clear" w:pos="420"/>
                              <w:tab w:val="center" w:pos="4153" w:leader="none"/>
                              <w:tab w:val="right" w:pos="8306" w:leader="none"/>
                            </w:tabs>
                            <w:snapToGrid w:val="false"/>
                            <w:ind w:left="1050" w:hanging="1050"/>
                            <w:jc w:val="center"/>
                            <w:textAlignment w:val="baseline"/>
                            <w:rPr/>
                          </w:pPr>
                          <w:r>
                            <w:rPr>
                              <w:rFonts w:ascii="宋体" w:hAnsi="宋体" w:cs="宋体"/>
                            </w:rPr>
                            <w:t>上海深至信息科技有限公司</w:t>
                          </w:r>
                          <w:r>
                            <w:rPr>
                              <w:rFonts w:ascii="宋体" w:hAnsi="宋体" w:cs="宋体"/>
                              <w:kern w:val="0"/>
                              <w:szCs w:val="21"/>
                            </w:rPr>
                            <w:t>程序文件</w:t>
                          </w:r>
                        </w:p>
                      </w:tc>
                      <w:tc>
                        <w:tcPr>
                          <w:tcW w:w="2801" w:type="dxa"/>
                          <w:tcBorders>
                            <w:top w:val="single" w:sz="6" w:space="0" w:color="000000"/>
                            <w:left w:val="single" w:sz="6" w:space="0" w:color="000000"/>
                            <w:bottom w:val="double" w:sz="4" w:space="0" w:color="000000"/>
                            <w:right w:val="double" w:sz="4" w:space="0" w:color="000000"/>
                          </w:tcBorders>
                          <w:vAlign w:val="center"/>
                        </w:tcPr>
                        <w:p>
                          <w:pPr>
                            <w:pStyle w:val="Normal"/>
                            <w:tabs>
                              <w:tab w:val="clear" w:pos="420"/>
                              <w:tab w:val="center" w:pos="4153" w:leader="none"/>
                              <w:tab w:val="right" w:pos="8306" w:leader="none"/>
                            </w:tabs>
                            <w:snapToGrid w:val="false"/>
                            <w:textAlignment w:val="baseline"/>
                            <w:rPr/>
                          </w:pPr>
                          <w:r>
                            <w:rPr>
                              <w:rFonts w:ascii="宋体" w:hAnsi="宋体" w:cs="宋体"/>
                              <w:kern w:val="0"/>
                              <w:szCs w:val="21"/>
                            </w:rPr>
                            <w:t xml:space="preserve">页     码： </w:t>
                          </w:r>
                          <w:r>
                            <w:rPr>
                              <w:rFonts w:ascii="宋体" w:hAnsi="宋体" w:cs="宋体"/>
                              <w:kern w:val="0"/>
                              <w:szCs w:val="21"/>
                            </w:rPr>
                            <w:fldChar w:fldCharType="begin"/>
                          </w:r>
                          <w:r>
                            <w:rPr>
                              <w:kern w:val="0"/>
                              <w:szCs w:val="21"/>
                              <w:rFonts w:ascii="宋体" w:hAnsi="宋体" w:cs="宋体"/>
                            </w:rPr>
                            <w:instrText xml:space="preserve"> PAGE </w:instrText>
                          </w:r>
                          <w:r>
                            <w:rPr>
                              <w:kern w:val="0"/>
                              <w:szCs w:val="21"/>
                              <w:rFonts w:ascii="宋体" w:hAnsi="宋体" w:cs="宋体"/>
                            </w:rPr>
                            <w:fldChar w:fldCharType="separate"/>
                          </w:r>
                          <w:r>
                            <w:rPr>
                              <w:kern w:val="0"/>
                              <w:szCs w:val="21"/>
                              <w:rFonts w:ascii="宋体" w:hAnsi="宋体" w:cs="宋体"/>
                            </w:rPr>
                            <w:t>6</w:t>
                          </w:r>
                          <w:r>
                            <w:rPr>
                              <w:kern w:val="0"/>
                              <w:szCs w:val="21"/>
                              <w:rFonts w:ascii="宋体" w:hAnsi="宋体" w:cs="宋体"/>
                            </w:rPr>
                            <w:fldChar w:fldCharType="end"/>
                          </w:r>
                          <w:r>
                            <w:rPr>
                              <w:rFonts w:cs="宋体" w:ascii="宋体" w:hAnsi="宋体"/>
                              <w:szCs w:val="21"/>
                            </w:rPr>
                            <w:t xml:space="preserve">/ </w:t>
                          </w:r>
                          <w:r>
                            <w:rPr>
                              <w:rFonts w:cs="宋体" w:ascii="宋体" w:hAnsi="宋体"/>
                              <w:szCs w:val="21"/>
                            </w:rPr>
                            <w:t>9</w:t>
                          </w:r>
                        </w:p>
                      </w:tc>
                    </w:tr>
                  </w:tbl>
                  <w:p>
                    <w:pPr>
                      <w:pStyle w:val="FrameContents"/>
                      <w:rPr>
                        <w:rFonts w:ascii="宋体" w:hAnsi="宋体" w:cs="宋体"/>
                        <w:kern w:val="0"/>
                        <w:szCs w:val="21"/>
                      </w:rPr>
                    </w:pPr>
                    <w:r>
                      <w:rPr>
                        <w:rFonts w:cs="宋体" w:ascii="宋体" w:hAnsi="宋体"/>
                        <w:kern w:val="0"/>
                        <w:szCs w:val="21"/>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章 "/>
      <w:lvlJc w:val="left"/>
      <w:pPr>
        <w:tabs>
          <w:tab w:val="num" w:pos="0"/>
        </w:tabs>
        <w:ind w:left="0" w:hanging="0"/>
      </w:pPr>
      <w:rPr/>
    </w:lvl>
    <w:lvl w:ilvl="1">
      <w:start w:val="1"/>
      <w:numFmt w:val="decimal"/>
      <w:suff w:val="nothing"/>
      <w:lvlText w:val="%1.%2"/>
      <w:lvlJc w:val="left"/>
      <w:pPr>
        <w:tabs>
          <w:tab w:val="num" w:pos="0"/>
        </w:tabs>
        <w:ind w:left="0" w:hanging="0"/>
      </w:pPr>
      <w:rPr/>
    </w:lvl>
    <w:lvl w:ilvl="2">
      <w:start w:val="1"/>
      <w:numFmt w:val="decimal"/>
      <w:suff w:val="nothing"/>
      <w:lvlText w:val="%1.%2.%3"/>
      <w:lvlJc w:val="left"/>
      <w:pPr>
        <w:tabs>
          <w:tab w:val="num" w:pos="0"/>
        </w:tabs>
        <w:ind w:left="0" w:hanging="0"/>
      </w:pPr>
      <w:rPr/>
    </w:lvl>
    <w:lvl w:ilvl="3">
      <w:start w:val="1"/>
      <w:pStyle w:val="Heading4"/>
      <w:numFmt w:val="chineseCountingThousand"/>
      <w:suff w:val="nothing"/>
      <w:lvlText w:val="第%4条 "/>
      <w:lvlJc w:val="left"/>
      <w:pPr>
        <w:tabs>
          <w:tab w:val="num" w:pos="0"/>
        </w:tabs>
        <w:ind w:left="142" w:hanging="0"/>
      </w:pPr>
      <w:rPr>
        <w:b/>
        <w:rFonts w:ascii="宋体" w:hAnsi="宋体" w:eastAsia="宋体" w:cs="宋体"/>
        <w:lang w:val="en-US"/>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900" w:hanging="42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lvl w:ilvl="0">
      <w:start w:val="1"/>
      <w:numFmt w:val="decimal"/>
      <w:lvlText w:val="%1."/>
      <w:lvlJc w:val="left"/>
      <w:pPr>
        <w:tabs>
          <w:tab w:val="num" w:pos="0"/>
        </w:tabs>
        <w:ind w:left="900" w:hanging="420"/>
      </w:pPr>
      <w:r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4">
    <w:lvl w:ilvl="0">
      <w:start w:val="1"/>
      <w:numFmt w:val="decimal"/>
      <w:lvlText w:val="%1."/>
      <w:lvlJc w:val="left"/>
      <w:pPr>
        <w:tabs>
          <w:tab w:val="num" w:pos="0"/>
        </w:tabs>
        <w:ind w:left="900" w:hanging="420"/>
      </w:pPr>
      <w:r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5">
    <w:lvl w:ilvl="0">
      <w:start w:val="1"/>
      <w:numFmt w:val="decimal"/>
      <w:suff w:val="space"/>
      <w:lvlText w:val="%1."/>
      <w:lvlJc w:val="left"/>
      <w:pPr>
        <w:tabs>
          <w:tab w:val="num" w:pos="0"/>
        </w:tabs>
        <w:ind w:left="0" w:hanging="0"/>
      </w:pPr>
    </w:lvl>
  </w:abstractNum>
  <w:abstractNum w:abstractNumId="6">
    <w:lvl w:ilvl="0">
      <w:start w:val="1"/>
      <w:numFmt w:val="bullet"/>
      <w:lvlText w:val=""/>
      <w:lvlJc w:val="left"/>
      <w:pPr>
        <w:tabs>
          <w:tab w:val="num" w:pos="0"/>
        </w:tabs>
        <w:ind w:left="900" w:hanging="420"/>
      </w:pPr>
      <w:rPr>
        <w:rFonts w:ascii="Wingdings" w:hAnsi="Wingdings" w:cs="Wingdings" w:hint="default"/>
      </w:rPr>
    </w:lvl>
    <w:lvl w:ilvl="1">
      <w:start w:val="1"/>
      <w:numFmt w:val="bullet"/>
      <w:lvlText w:val=""/>
      <w:lvlJc w:val="left"/>
      <w:pPr>
        <w:tabs>
          <w:tab w:val="num" w:pos="0"/>
        </w:tabs>
        <w:ind w:left="1320" w:hanging="420"/>
      </w:pPr>
      <w:rPr>
        <w:rFonts w:ascii="Wingdings" w:hAnsi="Wingdings" w:cs="Wingdings" w:hint="default"/>
      </w:rPr>
    </w:lvl>
    <w:lvl w:ilvl="2">
      <w:start w:val="1"/>
      <w:numFmt w:val="bullet"/>
      <w:lvlText w:val=""/>
      <w:lvlJc w:val="left"/>
      <w:pPr>
        <w:tabs>
          <w:tab w:val="num" w:pos="0"/>
        </w:tabs>
        <w:ind w:left="1740" w:hanging="420"/>
      </w:pPr>
      <w:rPr>
        <w:rFonts w:ascii="Wingdings" w:hAnsi="Wingdings" w:cs="Wingdings" w:hint="default"/>
      </w:rPr>
    </w:lvl>
    <w:lvl w:ilvl="3">
      <w:start w:val="1"/>
      <w:numFmt w:val="bullet"/>
      <w:lvlText w:val=""/>
      <w:lvlJc w:val="left"/>
      <w:pPr>
        <w:tabs>
          <w:tab w:val="num" w:pos="0"/>
        </w:tabs>
        <w:ind w:left="2160" w:hanging="420"/>
      </w:pPr>
      <w:rPr>
        <w:rFonts w:ascii="Wingdings" w:hAnsi="Wingdings" w:cs="Wingdings" w:hint="default"/>
      </w:rPr>
    </w:lvl>
    <w:lvl w:ilvl="4">
      <w:start w:val="1"/>
      <w:numFmt w:val="bullet"/>
      <w:lvlText w:val=""/>
      <w:lvlJc w:val="left"/>
      <w:pPr>
        <w:tabs>
          <w:tab w:val="num" w:pos="0"/>
        </w:tabs>
        <w:ind w:left="2580" w:hanging="420"/>
      </w:pPr>
      <w:rPr>
        <w:rFonts w:ascii="Wingdings" w:hAnsi="Wingdings" w:cs="Wingdings" w:hint="default"/>
      </w:rPr>
    </w:lvl>
    <w:lvl w:ilvl="5">
      <w:start w:val="1"/>
      <w:numFmt w:val="bullet"/>
      <w:lvlText w:val=""/>
      <w:lvlJc w:val="left"/>
      <w:pPr>
        <w:tabs>
          <w:tab w:val="num" w:pos="0"/>
        </w:tabs>
        <w:ind w:left="3000" w:hanging="420"/>
      </w:pPr>
      <w:rPr>
        <w:rFonts w:ascii="Wingdings" w:hAnsi="Wingdings" w:cs="Wingdings" w:hint="default"/>
      </w:rPr>
    </w:lvl>
    <w:lvl w:ilvl="6">
      <w:start w:val="1"/>
      <w:numFmt w:val="bullet"/>
      <w:lvlText w:val=""/>
      <w:lvlJc w:val="left"/>
      <w:pPr>
        <w:tabs>
          <w:tab w:val="num" w:pos="0"/>
        </w:tabs>
        <w:ind w:left="3420" w:hanging="420"/>
      </w:pPr>
      <w:rPr>
        <w:rFonts w:ascii="Wingdings" w:hAnsi="Wingdings" w:cs="Wingdings" w:hint="default"/>
      </w:rPr>
    </w:lvl>
    <w:lvl w:ilvl="7">
      <w:start w:val="1"/>
      <w:numFmt w:val="bullet"/>
      <w:lvlText w:val=""/>
      <w:lvlJc w:val="left"/>
      <w:pPr>
        <w:tabs>
          <w:tab w:val="num" w:pos="0"/>
        </w:tabs>
        <w:ind w:left="3840" w:hanging="420"/>
      </w:pPr>
      <w:rPr>
        <w:rFonts w:ascii="Wingdings" w:hAnsi="Wingdings" w:cs="Wingdings" w:hint="default"/>
      </w:rPr>
    </w:lvl>
    <w:lvl w:ilvl="8">
      <w:start w:val="1"/>
      <w:numFmt w:val="bullet"/>
      <w:lvlText w:val=""/>
      <w:lvlJc w:val="left"/>
      <w:pPr>
        <w:tabs>
          <w:tab w:val="num" w:pos="0"/>
        </w:tabs>
        <w:ind w:left="4260"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ar-SA"/>
    </w:rPr>
  </w:style>
  <w:style w:type="paragraph" w:styleId="Heading1">
    <w:name w:val="Heading 1"/>
    <w:basedOn w:val="Normal"/>
    <w:next w:val="Normal"/>
    <w:qFormat/>
    <w:pPr>
      <w:keepNext w:val="true"/>
      <w:spacing w:lineRule="auto" w:line="360"/>
      <w:jc w:val="center"/>
      <w:outlineLvl w:val="0"/>
    </w:pPr>
    <w:rPr>
      <w:rFonts w:ascii="Arial Black" w:hAnsi="Arial Black" w:cs="Arial Black"/>
      <w:b/>
      <w:bCs/>
    </w:rPr>
  </w:style>
  <w:style w:type="paragraph" w:styleId="Heading2">
    <w:name w:val="Heading 2"/>
    <w:basedOn w:val="Normal"/>
    <w:next w:val="Normal"/>
    <w:qFormat/>
    <w:pPr>
      <w:keepNext w:val="true"/>
      <w:keepLines/>
      <w:spacing w:lineRule="auto" w:line="415" w:before="260" w:after="260"/>
      <w:outlineLvl w:val="1"/>
    </w:pPr>
    <w:rPr>
      <w:rFonts w:ascii="Cambria" w:hAnsi="Cambria" w:eastAsia="宋体" w:cs="Times New Roman"/>
      <w:b/>
      <w:bCs/>
      <w:sz w:val="32"/>
      <w:szCs w:val="32"/>
    </w:rPr>
  </w:style>
  <w:style w:type="paragraph" w:styleId="Heading3">
    <w:name w:val="Heading 3"/>
    <w:basedOn w:val="Normal"/>
    <w:next w:val="Normal"/>
    <w:qFormat/>
    <w:pPr>
      <w:keepNext w:val="true"/>
      <w:keepLines/>
      <w:spacing w:lineRule="auto" w:line="415" w:before="260" w:after="260"/>
      <w:outlineLvl w:val="2"/>
    </w:pPr>
    <w:rPr>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 w:hAnsi="Cambria" w:cs="Cambria"/>
      <w:bCs/>
      <w:sz w:val="28"/>
      <w:szCs w:val="28"/>
    </w:rPr>
  </w:style>
  <w:style w:type="character" w:styleId="WW8Num2z0">
    <w:name w:val="WW8Num2z0"/>
    <w:qFormat/>
    <w:rPr/>
  </w:style>
  <w:style w:type="character" w:styleId="WW8Num3z0">
    <w:name w:val="WW8Num3z0"/>
    <w:qFormat/>
    <w:rPr/>
  </w:style>
  <w:style w:type="character" w:styleId="WW8Num5z0">
    <w:name w:val="WW8Num5z0"/>
    <w:qFormat/>
    <w:rPr>
      <w:rFonts w:ascii="Wingdings" w:hAnsi="Wingdings" w:cs="Wingdings"/>
    </w:rPr>
  </w:style>
  <w:style w:type="character" w:styleId="WW8Num6z0">
    <w:name w:val="WW8Num6z0"/>
    <w:qFormat/>
    <w:rPr/>
  </w:style>
  <w:style w:type="character" w:styleId="WW8Num6z3">
    <w:name w:val="WW8Num6z3"/>
    <w:qFormat/>
    <w:rPr>
      <w:rFonts w:ascii="宋体" w:hAnsi="宋体" w:eastAsia="宋体" w:cs="宋体"/>
      <w:b/>
      <w:lang w:val="en-US"/>
    </w:rPr>
  </w:style>
  <w:style w:type="character" w:styleId="Style10">
    <w:name w:val="默认段落字体"/>
    <w:qFormat/>
    <w:rPr/>
  </w:style>
  <w:style w:type="character" w:styleId="Tpccontent1">
    <w:name w:val="tpc_content1"/>
    <w:qFormat/>
    <w:rPr>
      <w:sz w:val="20"/>
      <w:szCs w:val="20"/>
    </w:rPr>
  </w:style>
  <w:style w:type="character" w:styleId="Style11">
    <w:name w:val="批注框文本 字符"/>
    <w:qFormat/>
    <w:rPr>
      <w:kern w:val="2"/>
      <w:sz w:val="18"/>
      <w:szCs w:val="18"/>
    </w:rPr>
  </w:style>
  <w:style w:type="character" w:styleId="PageNumber">
    <w:name w:val="Page Number"/>
    <w:basedOn w:val="Style10"/>
    <w:rPr/>
  </w:style>
  <w:style w:type="character" w:styleId="St1">
    <w:name w:val="st1"/>
    <w:basedOn w:val="Style10"/>
    <w:qFormat/>
    <w:rPr/>
  </w:style>
  <w:style w:type="character" w:styleId="Style12">
    <w:name w:val="日期 字符"/>
    <w:qFormat/>
    <w:rPr>
      <w:kern w:val="2"/>
      <w:sz w:val="21"/>
    </w:rPr>
  </w:style>
  <w:style w:type="character" w:styleId="InternetLink">
    <w:name w:val="Hyperlink"/>
    <w:rPr>
      <w:color w:val="0000FF"/>
      <w:u w:val="single"/>
    </w:rPr>
  </w:style>
  <w:style w:type="paragraph" w:styleId="Heading">
    <w:name w:val="Heading"/>
    <w:basedOn w:val="Normal"/>
    <w:next w:val="Normal"/>
    <w:qFormat/>
    <w:pPr>
      <w:spacing w:before="240" w:after="60"/>
      <w:jc w:val="center"/>
      <w:outlineLvl w:val="0"/>
    </w:pPr>
    <w:rPr>
      <w:rFonts w:ascii="Cambria" w:hAnsi="Cambria" w:eastAsia="宋体" w:cs="Times New Roman"/>
      <w:b/>
      <w:bCs/>
      <w:sz w:val="32"/>
      <w:szCs w:val="32"/>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3">
    <w:name w:val="日期"/>
    <w:basedOn w:val="Normal"/>
    <w:next w:val="Normal"/>
    <w:qFormat/>
    <w:pPr/>
    <w:rPr>
      <w:szCs w:val="20"/>
    </w:rPr>
  </w:style>
  <w:style w:type="paragraph" w:styleId="Blocklist">
    <w:name w:val="blocklist"/>
    <w:basedOn w:val="Normal"/>
    <w:qFormat/>
    <w:pPr>
      <w:widowControl/>
      <w:spacing w:before="280" w:after="280"/>
      <w:jc w:val="lef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ubtitle">
    <w:name w:val="Subtitle"/>
    <w:basedOn w:val="Normal"/>
    <w:next w:val="Normal"/>
    <w:qFormat/>
    <w:pPr>
      <w:spacing w:lineRule="auto" w:line="312" w:before="240" w:after="60"/>
      <w:jc w:val="center"/>
      <w:outlineLvl w:val="1"/>
    </w:pPr>
    <w:rPr>
      <w:rFonts w:ascii="等线 Light" w:hAnsi="等线 Light" w:eastAsia="宋体" w:cs="Times New Roman"/>
      <w:b/>
      <w:bCs/>
      <w:kern w:val="2"/>
      <w:sz w:val="32"/>
      <w:szCs w:val="32"/>
    </w:rPr>
  </w:style>
  <w:style w:type="paragraph" w:styleId="Contents3">
    <w:name w:val="TOC 3"/>
    <w:basedOn w:val="Normal"/>
    <w:next w:val="Normal"/>
    <w:pPr>
      <w:widowControl/>
      <w:spacing w:lineRule="auto" w:line="256" w:before="0" w:after="100"/>
      <w:ind w:left="440" w:hanging="0"/>
      <w:jc w:val="left"/>
    </w:pPr>
    <w:rPr>
      <w:rFonts w:cs="Times New Roman"/>
      <w:kern w:val="0"/>
      <w:sz w:val="22"/>
    </w:rPr>
  </w:style>
  <w:style w:type="paragraph" w:styleId="Style14">
    <w:name w:val="表内容"/>
    <w:qFormat/>
    <w:pPr>
      <w:widowControl/>
      <w:bidi w:val="0"/>
    </w:pPr>
    <w:rPr>
      <w:rFonts w:ascii="宋体" w:hAnsi="宋体" w:eastAsia="宋体" w:cs="Times New Roman"/>
      <w:color w:val="auto"/>
      <w:kern w:val="2"/>
      <w:sz w:val="24"/>
      <w:szCs w:val="24"/>
      <w:lang w:val="en-US" w:eastAsia="zh-CN" w:bidi="ar-SA"/>
    </w:rPr>
  </w:style>
  <w:style w:type="paragraph" w:styleId="Contents2">
    <w:name w:val="TOC 2"/>
    <w:basedOn w:val="Normal"/>
    <w:next w:val="Normal"/>
    <w:pPr>
      <w:widowControl/>
      <w:spacing w:lineRule="auto" w:line="256" w:before="0" w:after="100"/>
      <w:ind w:left="220" w:hanging="0"/>
      <w:jc w:val="left"/>
    </w:pPr>
    <w:rPr>
      <w:rFonts w:cs="Times New Roman"/>
      <w:kern w:val="0"/>
      <w:sz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extBodyIndent">
    <w:name w:val="Body Text Indent"/>
    <w:basedOn w:val="Normal"/>
    <w:pPr>
      <w:spacing w:before="0" w:after="120"/>
      <w:ind w:left="420" w:hanging="0"/>
    </w:pPr>
    <w:rPr/>
  </w:style>
  <w:style w:type="paragraph" w:styleId="1">
    <w:name w:val="列表段落1"/>
    <w:basedOn w:val="Normal"/>
    <w:qFormat/>
    <w:pPr>
      <w:ind w:firstLine="420"/>
    </w:pPr>
    <w:rPr>
      <w:rFonts w:ascii="Calibri" w:hAnsi="Calibri" w:cs="Calibri"/>
      <w:szCs w:val="22"/>
    </w:rPr>
  </w:style>
  <w:style w:type="paragraph" w:styleId="Style15">
    <w:name w:val="批注框文本"/>
    <w:basedOn w:val="Normal"/>
    <w:qFormat/>
    <w:pPr/>
    <w:rPr>
      <w:sz w:val="18"/>
      <w:szCs w:val="18"/>
    </w:rPr>
  </w:style>
  <w:style w:type="paragraph" w:styleId="Style16">
    <w:name w:val="正文缩进"/>
    <w:basedOn w:val="Normal"/>
    <w:qFormat/>
    <w:pPr>
      <w:spacing w:before="60" w:after="0"/>
      <w:ind w:firstLine="420"/>
    </w:pPr>
    <w:rPr>
      <w:rFonts w:ascii="Times New Roman" w:hAnsi="Times New Roman" w:eastAsia="宋体" w:cs="Times New Roman"/>
      <w:szCs w:val="24"/>
    </w:rPr>
  </w:style>
  <w:style w:type="paragraph" w:styleId="Contents1">
    <w:name w:val="TOC 1"/>
    <w:basedOn w:val="Normal"/>
    <w:next w:val="Normal"/>
    <w:pPr>
      <w:widowControl/>
      <w:spacing w:lineRule="auto" w:line="256" w:before="0" w:after="100"/>
      <w:jc w:val="left"/>
    </w:pPr>
    <w:rPr>
      <w:rFonts w:cs="Times New Roman"/>
      <w:kern w:val="0"/>
      <w:sz w:val="22"/>
    </w:rPr>
  </w:style>
  <w:style w:type="paragraph" w:styleId="Style17">
    <w:name w:val="列表段落"/>
    <w:basedOn w:val="Normal"/>
    <w:qFormat/>
    <w:pPr>
      <w:ind w:firstLine="420"/>
    </w:pPr>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TOC1">
    <w:name w:val="TOC 标题1"/>
    <w:basedOn w:val="Heading1"/>
    <w:next w:val="Normal"/>
    <w:qFormat/>
    <w:pPr>
      <w:widowControl/>
      <w:spacing w:lineRule="auto" w:line="256" w:before="240" w:after="0"/>
      <w:jc w:val="left"/>
      <w:outlineLvl w:val="9"/>
    </w:pPr>
    <w:rPr>
      <w:rFonts w:ascii="Cambria" w:hAnsi="Cambria" w:eastAsia="宋体" w:cs="Times New Roman"/>
      <w:b w:val="false"/>
      <w:bCs w:val="false"/>
      <w:color w:val="366091"/>
      <w:kern w:val="0"/>
      <w:sz w:val="32"/>
      <w:szCs w:val="32"/>
    </w:rPr>
  </w:style>
  <w:style w:type="paragraph" w:styleId="Style18">
    <w:name w:val="普通(网站)"/>
    <w:basedOn w:val="Normal"/>
    <w:qFormat/>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header" Target="head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2012-02-15T13:54:00Z</dcterms:created>
  <dc:creator>Hu</dc:creator>
  <dc:description/>
  <dc:language>en-US</dc:language>
  <cp:lastModifiedBy>湖洋</cp:lastModifiedBy>
  <dcterms:modified xsi:type="dcterms:W3CDTF">2021-06-08T18:08:36Z</dcterms:modified>
  <cp:revision>124</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