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rPr>
        <w:t>上海深至信息科技</w:t>
      </w:r>
      <w:r>
        <w:rPr>
          <w:rFonts w:ascii="宋体;SimSun" w:hAnsi="宋体;SimSun" w:cs="宋体;SimSun" w:eastAsia="宋体;SimSun"/>
          <w:b/>
          <w:sz w:val="32"/>
          <w:szCs w:val="32"/>
          <w:lang w:val="zh-CN"/>
        </w:rPr>
        <w:t>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软件发布管理制度</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QMS-R10</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研发部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u w:val="single"/>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left="241" w:right="-144" w:hanging="241"/>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r>
        <w:rPr>
          <w:rFonts w:ascii="宋体;SimSun" w:hAnsi="宋体;SimSun" w:cs="宋体;SimSun" w:eastAsia="宋体;SimSun"/>
          <w:b/>
          <w:sz w:val="24"/>
        </w:rPr>
        <w:t>分发部门：</w:t>
      </w:r>
      <w:r>
        <w:rPr>
          <w:rFonts w:ascii="宋体;SimSun" w:hAnsi="宋体;SimSun" w:cs="宋体;SimSun" w:eastAsia="宋体;SimSun"/>
          <w:sz w:val="24"/>
        </w:rPr>
        <w:t>研发部、质量部、生产</w:t>
      </w:r>
      <w:r>
        <w:rPr>
          <w:rFonts w:eastAsia="宋体;SimSun" w:cs="宋体;SimSun" w:ascii="宋体;SimSun" w:hAnsi="宋体;SimSun"/>
          <w:sz w:val="24"/>
        </w:rPr>
        <w:t>/</w:t>
      </w:r>
      <w:r>
        <w:rPr>
          <w:rFonts w:ascii="宋体;SimSun" w:hAnsi="宋体;SimSun" w:cs="宋体;SimSun" w:eastAsia="宋体;SimSun"/>
          <w:sz w:val="24"/>
        </w:rPr>
        <w:t xml:space="preserve">运维部、销售部  </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color w:val="FF0000"/>
          <w:sz w:val="24"/>
        </w:rPr>
        <w:t>2020-06-22</w:t>
      </w:r>
    </w:p>
    <w:p>
      <w:pPr>
        <w:pStyle w:val="Normal"/>
        <w:tabs>
          <w:tab w:val="clear" w:pos="420"/>
          <w:tab w:val="left" w:pos="7513" w:leader="none"/>
        </w:tabs>
        <w:ind w:right="420" w:firstLine="1060"/>
        <w:rPr>
          <w:rFonts w:ascii="宋体;SimSun" w:hAnsi="宋体;SimSun" w:eastAsia="宋体;SimSun" w:cs="宋体;SimSun"/>
          <w:b/>
          <w:b/>
          <w:sz w:val="24"/>
          <w:u w:val="single"/>
        </w:rPr>
      </w:pPr>
      <w:r>
        <w:rPr>
          <w:rFonts w:eastAsia="宋体;SimSun" w:cs="宋体;SimSun" w:ascii="宋体;SimSun" w:hAnsi="宋体;SimSun"/>
          <w:b/>
          <w:sz w:val="24"/>
          <w:u w:val="single"/>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2"/>
        </w:numPr>
        <w:spacing w:lineRule="auto" w:line="360"/>
        <w:rPr>
          <w:rFonts w:ascii="宋体;SimSun" w:hAnsi="宋体;SimSun" w:eastAsia="宋体;SimSun" w:cs="宋体;SimSun"/>
          <w:b/>
          <w:b/>
        </w:rPr>
      </w:pPr>
      <w:r>
        <w:rPr>
          <w:rFonts w:ascii="宋体;SimSun" w:hAnsi="宋体;SimSun" w:cs="宋体;SimSun" w:eastAsia="宋体;SimSun"/>
          <w:b/>
        </w:rPr>
        <w:t>目的：</w:t>
      </w:r>
      <w:r>
        <w:rPr>
          <w:rFonts w:ascii="宋体;SimSun" w:hAnsi="宋体;SimSun" w:cs="宋体;SimSun" w:eastAsia="宋体;SimSun"/>
          <w:szCs w:val="21"/>
        </w:rPr>
        <w:t>为了规范软件产品的版本发布过程，提高软件发布的可控性。</w:t>
      </w:r>
    </w:p>
    <w:p>
      <w:pPr>
        <w:pStyle w:val="Normal"/>
        <w:numPr>
          <w:ilvl w:val="0"/>
          <w:numId w:val="2"/>
        </w:numPr>
        <w:tabs>
          <w:tab w:val="clear" w:pos="420"/>
          <w:tab w:val="left" w:pos="425" w:leader="none"/>
          <w:tab w:val="left" w:pos="8210" w:leader="none"/>
        </w:tabs>
        <w:spacing w:lineRule="auto" w:line="360"/>
        <w:rPr>
          <w:rFonts w:ascii="宋体;SimSun" w:hAnsi="宋体;SimSun" w:eastAsia="宋体;SimSun" w:cs="宋体;SimSun"/>
        </w:rPr>
      </w:pPr>
      <w:r>
        <w:rPr>
          <w:rFonts w:ascii="宋体;SimSun" w:hAnsi="宋体;SimSun" w:cs="宋体;SimSun" w:eastAsia="宋体;SimSun"/>
          <w:b/>
        </w:rPr>
        <w:t>范围：</w:t>
      </w:r>
      <w:r>
        <w:rPr>
          <w:rFonts w:ascii="宋体;SimSun" w:hAnsi="宋体;SimSun" w:cs="宋体;SimSun" w:eastAsia="宋体;SimSun"/>
          <w:szCs w:val="21"/>
        </w:rPr>
        <w:t>适用于公司的医疗软件的发布。</w:t>
      </w:r>
      <w:r>
        <w:rPr>
          <w:rFonts w:eastAsia="宋体;SimSun" w:cs="宋体;SimSun" w:ascii="宋体;SimSun" w:hAnsi="宋体;SimSun"/>
          <w:szCs w:val="21"/>
        </w:rPr>
        <w:tab/>
      </w:r>
    </w:p>
    <w:p>
      <w:pPr>
        <w:pStyle w:val="Normal"/>
        <w:numPr>
          <w:ilvl w:val="0"/>
          <w:numId w:val="2"/>
        </w:numPr>
        <w:spacing w:lineRule="auto" w:line="360"/>
        <w:rPr>
          <w:rFonts w:ascii="宋体;SimSun" w:hAnsi="宋体;SimSun" w:eastAsia="宋体;SimSun" w:cs="宋体;SimSun"/>
          <w:b/>
          <w:b/>
        </w:rPr>
      </w:pPr>
      <w:r>
        <w:rPr>
          <w:rFonts w:ascii="宋体;SimSun" w:hAnsi="宋体;SimSun" w:cs="宋体;SimSun" w:eastAsia="宋体;SimSun"/>
          <w:b/>
        </w:rPr>
        <w:t>职责：</w:t>
      </w:r>
    </w:p>
    <w:p>
      <w:pPr>
        <w:pStyle w:val="Normal"/>
        <w:spacing w:lineRule="auto" w:line="360"/>
        <w:ind w:left="357" w:hanging="0"/>
        <w:rPr>
          <w:rFonts w:ascii="宋体;SimSun" w:hAnsi="宋体;SimSun" w:eastAsia="宋体;SimSun" w:cs="宋体;SimSun"/>
          <w:szCs w:val="21"/>
        </w:rPr>
      </w:pPr>
      <w:r>
        <w:rPr>
          <w:rFonts w:ascii="宋体;SimSun" w:hAnsi="宋体;SimSun" w:cs="宋体;SimSun" w:eastAsia="宋体;SimSun"/>
          <w:szCs w:val="21"/>
        </w:rPr>
        <w:t>研发部：安排软件发布准备，软件的入库、打包以及文档工作。</w:t>
      </w:r>
    </w:p>
    <w:p>
      <w:pPr>
        <w:pStyle w:val="Normal"/>
        <w:spacing w:lineRule="auto" w:line="360"/>
        <w:ind w:left="357" w:hanging="0"/>
        <w:rPr>
          <w:rFonts w:ascii="宋体;SimSun" w:hAnsi="宋体;SimSun" w:eastAsia="宋体;SimSun" w:cs="宋体;SimSun"/>
          <w:szCs w:val="21"/>
        </w:rPr>
      </w:pPr>
      <w:r>
        <w:rPr>
          <w:rFonts w:ascii="宋体;SimSun" w:hAnsi="宋体;SimSun" w:cs="宋体;SimSun" w:eastAsia="宋体;SimSun"/>
          <w:szCs w:val="21"/>
        </w:rPr>
        <w:t>销售部：参与评审软件发布前的评审。</w:t>
      </w:r>
    </w:p>
    <w:p>
      <w:pPr>
        <w:pStyle w:val="Normal"/>
        <w:numPr>
          <w:ilvl w:val="0"/>
          <w:numId w:val="2"/>
        </w:numPr>
        <w:spacing w:lineRule="auto" w:line="360"/>
        <w:rPr>
          <w:rFonts w:ascii="宋体;SimSun" w:hAnsi="宋体;SimSun" w:eastAsia="宋体;SimSun" w:cs="宋体;SimSun"/>
          <w:b/>
          <w:b/>
        </w:rPr>
      </w:pPr>
      <w:r>
        <w:rPr>
          <w:rFonts w:ascii="宋体;SimSun" w:hAnsi="宋体;SimSun" w:cs="宋体;SimSun" w:eastAsia="宋体;SimSun"/>
          <w:b/>
        </w:rPr>
        <w:t>程序</w:t>
      </w:r>
    </w:p>
    <w:p>
      <w:pPr>
        <w:pStyle w:val="Style16"/>
        <w:spacing w:lineRule="auto" w:line="360"/>
        <w:ind w:hanging="0"/>
        <w:rPr>
          <w:rFonts w:ascii="宋体;SimSun" w:hAnsi="宋体;SimSun" w:eastAsia="宋体;SimSun" w:cs="宋体;SimSun"/>
          <w:color w:val="FFC000"/>
          <w:szCs w:val="21"/>
        </w:rPr>
      </w:pPr>
      <w:r>
        <w:rPr>
          <w:rFonts w:eastAsia="宋体;SimSun" w:cs="宋体;SimSun" w:ascii="宋体;SimSun" w:hAnsi="宋体;SimSun"/>
          <w:szCs w:val="21"/>
        </w:rPr>
        <w:t xml:space="preserve">4.1 </w:t>
      </w:r>
      <w:r>
        <w:rPr>
          <w:rFonts w:ascii="宋体;SimSun" w:hAnsi="宋体;SimSun" w:cs="宋体;SimSun" w:eastAsia="宋体;SimSun"/>
          <w:szCs w:val="21"/>
        </w:rPr>
        <w:t>软件完成开发后，应该按照《设计开发控制程序》的规定要求进行测试和验证，验证通过后方可进入发布流程；如果是新产品或者版本有了重大变更，软件发布前还应按照药监部门的相关法规要求进行可能需要的第三方测试、临床研究、注册审批等法规符合性操作，方可进行发布流程。</w:t>
      </w:r>
    </w:p>
    <w:p>
      <w:pPr>
        <w:pStyle w:val="Style16"/>
        <w:spacing w:lineRule="auto" w:line="360"/>
        <w:ind w:hanging="0"/>
        <w:rPr>
          <w:rFonts w:ascii="宋体;SimSun" w:hAnsi="宋体;SimSun" w:eastAsia="宋体;SimSun" w:cs="宋体;SimSun"/>
          <w:szCs w:val="21"/>
        </w:rPr>
      </w:pPr>
      <w:r>
        <w:rPr>
          <w:rFonts w:eastAsia="宋体;SimSun" w:cs="宋体;SimSun" w:ascii="宋体;SimSun" w:hAnsi="宋体;SimSun"/>
          <w:szCs w:val="21"/>
        </w:rPr>
        <w:t xml:space="preserve">4.2 </w:t>
      </w:r>
      <w:r>
        <w:rPr>
          <w:rFonts w:ascii="宋体;SimSun" w:hAnsi="宋体;SimSun" w:cs="宋体;SimSun" w:eastAsia="宋体;SimSun"/>
          <w:szCs w:val="21"/>
        </w:rPr>
        <w:t>软件发布前的评审和确认：</w:t>
      </w:r>
    </w:p>
    <w:p>
      <w:pPr>
        <w:pStyle w:val="Style16"/>
        <w:spacing w:lineRule="auto" w:line="360"/>
        <w:ind w:left="360" w:hanging="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项目负责人提交发布申请给产品经理，并通知相关部门或人员开展产品发布前评审。通常情况下，参加评审的部门人员有：产品经理、</w:t>
      </w:r>
      <w:r>
        <w:rPr>
          <w:rFonts w:eastAsia="宋体;SimSun" w:cs="宋体;SimSun" w:ascii="宋体;SimSun" w:hAnsi="宋体;SimSun"/>
          <w:szCs w:val="21"/>
        </w:rPr>
        <w:t>QA</w:t>
      </w:r>
      <w:r>
        <w:rPr>
          <w:rFonts w:ascii="宋体;SimSun" w:hAnsi="宋体;SimSun" w:cs="宋体;SimSun" w:eastAsia="宋体;SimSun"/>
          <w:szCs w:val="21"/>
        </w:rPr>
        <w:t>或注册人员、测试人员、项目负责人等。评审的内容包括但不仅限于以下内容：</w:t>
      </w:r>
    </w:p>
    <w:p>
      <w:pPr>
        <w:pStyle w:val="Style16"/>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当前版本软件的功能和性能等是否满足用户要求；</w:t>
      </w:r>
    </w:p>
    <w:p>
      <w:pPr>
        <w:pStyle w:val="Style16"/>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软件是否符合最新的法规或者标准的要求；</w:t>
      </w:r>
    </w:p>
    <w:p>
      <w:pPr>
        <w:pStyle w:val="Style16"/>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对软件存留的缺陷进行评估，确认软件缺陷的满足规定要求：</w:t>
      </w:r>
      <w:r>
        <w:rPr>
          <w:rFonts w:eastAsia="宋体;SimSun" w:cs="宋体;SimSun" w:ascii="宋体;SimSun" w:hAnsi="宋体;SimSun"/>
          <w:szCs w:val="21"/>
        </w:rPr>
        <w:t>P0\P1</w:t>
      </w:r>
      <w:r>
        <w:rPr>
          <w:rFonts w:ascii="宋体;SimSun" w:hAnsi="宋体;SimSun" w:cs="宋体;SimSun" w:eastAsia="宋体;SimSun"/>
          <w:szCs w:val="21"/>
        </w:rPr>
        <w:t>级别缺陷为</w:t>
      </w:r>
      <w:r>
        <w:rPr>
          <w:rFonts w:eastAsia="宋体;SimSun" w:cs="宋体;SimSun" w:ascii="宋体;SimSun" w:hAnsi="宋体;SimSun"/>
          <w:szCs w:val="21"/>
        </w:rPr>
        <w:t>0</w:t>
      </w:r>
      <w:r>
        <w:rPr>
          <w:rFonts w:ascii="宋体;SimSun" w:hAnsi="宋体;SimSun" w:cs="宋体;SimSun" w:eastAsia="宋体;SimSun"/>
          <w:szCs w:val="21"/>
        </w:rPr>
        <w:t>，</w:t>
      </w:r>
      <w:r>
        <w:rPr>
          <w:rFonts w:eastAsia="宋体;SimSun" w:cs="宋体;SimSun" w:ascii="宋体;SimSun" w:hAnsi="宋体;SimSun"/>
          <w:szCs w:val="21"/>
        </w:rPr>
        <w:t>P2</w:t>
      </w:r>
      <w:r>
        <w:rPr>
          <w:rFonts w:ascii="宋体;SimSun" w:hAnsi="宋体;SimSun" w:cs="宋体;SimSun" w:eastAsia="宋体;SimSun"/>
          <w:szCs w:val="21"/>
        </w:rPr>
        <w:t>级别缺陷解决率不低于</w:t>
      </w:r>
      <w:r>
        <w:rPr>
          <w:rFonts w:eastAsia="宋体;SimSun" w:cs="宋体;SimSun" w:ascii="宋体;SimSun" w:hAnsi="宋体;SimSun"/>
          <w:szCs w:val="21"/>
        </w:rPr>
        <w:t>80%</w:t>
      </w:r>
      <w:r>
        <w:rPr>
          <w:rFonts w:ascii="宋体;SimSun" w:hAnsi="宋体;SimSun" w:cs="宋体;SimSun" w:eastAsia="宋体;SimSun"/>
          <w:szCs w:val="21"/>
        </w:rPr>
        <w:t>，</w:t>
      </w:r>
      <w:r>
        <w:rPr>
          <w:rFonts w:eastAsia="宋体;SimSun" w:cs="宋体;SimSun" w:ascii="宋体;SimSun" w:hAnsi="宋体;SimSun"/>
          <w:szCs w:val="21"/>
        </w:rPr>
        <w:t>P3</w:t>
      </w:r>
      <w:r>
        <w:rPr>
          <w:rFonts w:ascii="宋体;SimSun" w:hAnsi="宋体;SimSun" w:cs="宋体;SimSun" w:eastAsia="宋体;SimSun"/>
          <w:szCs w:val="21"/>
        </w:rPr>
        <w:t>级别缺陷解决率不低于</w:t>
      </w:r>
      <w:r>
        <w:rPr>
          <w:rFonts w:eastAsia="宋体;SimSun" w:cs="宋体;SimSun" w:ascii="宋体;SimSun" w:hAnsi="宋体;SimSun"/>
          <w:szCs w:val="21"/>
        </w:rPr>
        <w:t>60%</w:t>
      </w:r>
      <w:r>
        <w:rPr>
          <w:rFonts w:ascii="宋体;SimSun" w:hAnsi="宋体;SimSun" w:cs="宋体;SimSun" w:eastAsia="宋体;SimSun"/>
          <w:szCs w:val="21"/>
        </w:rPr>
        <w:t>。软件缺陷的等级分类有：</w:t>
      </w:r>
      <w:r>
        <w:rPr>
          <w:rFonts w:eastAsia="宋体;SimSun" w:cs="宋体;SimSun" w:ascii="宋体;SimSun" w:hAnsi="宋体;SimSun"/>
          <w:szCs w:val="21"/>
        </w:rPr>
        <w:t>P0</w:t>
      </w:r>
      <w:r>
        <w:rPr>
          <w:rFonts w:ascii="宋体;SimSun" w:hAnsi="宋体;SimSun" w:cs="宋体;SimSun" w:eastAsia="宋体;SimSun"/>
          <w:szCs w:val="21"/>
        </w:rPr>
        <w:t>、</w:t>
      </w:r>
      <w:r>
        <w:rPr>
          <w:rFonts w:eastAsia="宋体;SimSun" w:cs="宋体;SimSun" w:ascii="宋体;SimSun" w:hAnsi="宋体;SimSun"/>
          <w:szCs w:val="21"/>
        </w:rPr>
        <w:t>P1</w:t>
      </w:r>
      <w:r>
        <w:rPr>
          <w:rFonts w:ascii="宋体;SimSun" w:hAnsi="宋体;SimSun" w:cs="宋体;SimSun" w:eastAsia="宋体;SimSun"/>
          <w:szCs w:val="21"/>
        </w:rPr>
        <w:t>、</w:t>
      </w:r>
      <w:r>
        <w:rPr>
          <w:rFonts w:eastAsia="宋体;SimSun" w:cs="宋体;SimSun" w:ascii="宋体;SimSun" w:hAnsi="宋体;SimSun"/>
          <w:szCs w:val="21"/>
        </w:rPr>
        <w:t>P2</w:t>
      </w:r>
      <w:r>
        <w:rPr>
          <w:rFonts w:ascii="宋体;SimSun" w:hAnsi="宋体;SimSun" w:cs="宋体;SimSun" w:eastAsia="宋体;SimSun"/>
          <w:szCs w:val="21"/>
        </w:rPr>
        <w:t>、</w:t>
      </w:r>
      <w:r>
        <w:rPr>
          <w:rFonts w:eastAsia="宋体;SimSun" w:cs="宋体;SimSun" w:ascii="宋体;SimSun" w:hAnsi="宋体;SimSun"/>
          <w:szCs w:val="21"/>
        </w:rPr>
        <w:t>P3</w:t>
      </w:r>
      <w:r>
        <w:rPr>
          <w:rFonts w:ascii="宋体;SimSun" w:hAnsi="宋体;SimSun" w:cs="宋体;SimSun" w:eastAsia="宋体;SimSun"/>
          <w:szCs w:val="21"/>
        </w:rPr>
        <w:t>。</w:t>
      </w:r>
    </w:p>
    <w:p>
      <w:pPr>
        <w:pStyle w:val="Style16"/>
        <w:numPr>
          <w:ilvl w:val="0"/>
          <w:numId w:val="5"/>
        </w:numPr>
        <w:spacing w:lineRule="auto" w:line="360"/>
        <w:rPr>
          <w:rFonts w:ascii="宋体;SimSun" w:hAnsi="宋体;SimSun" w:eastAsia="宋体;SimSun" w:cs="宋体;SimSun"/>
          <w:szCs w:val="21"/>
        </w:rPr>
      </w:pPr>
      <w:r>
        <w:rPr>
          <w:rFonts w:ascii="宋体;SimSun" w:hAnsi="宋体;SimSun" w:cs="宋体;SimSun" w:eastAsia="宋体;SimSun"/>
          <w:szCs w:val="21"/>
        </w:rPr>
        <w:t>遗留问题及影响说明的评估：在不影响正常使用的情况下，这些</w:t>
      </w:r>
      <w:r>
        <w:rPr>
          <w:rFonts w:eastAsia="宋体;SimSun" w:cs="宋体;SimSun" w:ascii="宋体;SimSun" w:hAnsi="宋体;SimSun"/>
          <w:szCs w:val="21"/>
        </w:rPr>
        <w:t>bug</w:t>
      </w:r>
      <w:r>
        <w:rPr>
          <w:rFonts w:ascii="宋体;SimSun" w:hAnsi="宋体;SimSun" w:cs="宋体;SimSun" w:eastAsia="宋体;SimSun"/>
          <w:szCs w:val="21"/>
        </w:rPr>
        <w:t>将在下一个版本发布时解决；如果</w:t>
      </w:r>
      <w:r>
        <w:rPr>
          <w:rFonts w:eastAsia="宋体;SimSun" w:cs="宋体;SimSun" w:ascii="宋体;SimSun" w:hAnsi="宋体;SimSun"/>
          <w:szCs w:val="21"/>
        </w:rPr>
        <w:t>bug</w:t>
      </w:r>
      <w:r>
        <w:rPr>
          <w:rFonts w:ascii="宋体;SimSun" w:hAnsi="宋体;SimSun" w:cs="宋体;SimSun" w:eastAsia="宋体;SimSun"/>
          <w:szCs w:val="21"/>
        </w:rPr>
        <w:t>验证影响使用，必须打补丁或者按照流程重新发布。</w:t>
      </w:r>
    </w:p>
    <w:p>
      <w:pPr>
        <w:pStyle w:val="Style16"/>
        <w:spacing w:lineRule="auto" w:line="360"/>
        <w:ind w:left="360" w:firstLine="420"/>
        <w:rPr>
          <w:rFonts w:ascii="宋体;SimSun" w:hAnsi="宋体;SimSun" w:eastAsia="宋体;SimSun" w:cs="宋体;SimSun"/>
          <w:szCs w:val="21"/>
        </w:rPr>
      </w:pPr>
      <w:r>
        <w:rPr>
          <w:rFonts w:ascii="宋体;SimSun" w:hAnsi="宋体;SimSun" w:cs="宋体;SimSun" w:eastAsia="宋体;SimSun"/>
          <w:szCs w:val="21"/>
        </w:rPr>
        <w:t>经确认后，测试人员将通过测试后的最新版本提交给配置管理员，并告知项目负责人。</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4.3 </w:t>
      </w:r>
      <w:r>
        <w:rPr>
          <w:rFonts w:ascii="宋体;SimSun" w:hAnsi="宋体;SimSun" w:cs="宋体;SimSun" w:eastAsia="宋体;SimSun"/>
          <w:szCs w:val="21"/>
        </w:rPr>
        <w:t>源码、文档入库</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软件配置管理人员安排将软件源代码及文档入库：</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1</w:t>
      </w:r>
      <w:r>
        <w:rPr>
          <w:rFonts w:ascii="宋体;SimSun" w:hAnsi="宋体;SimSun" w:cs="宋体;SimSun" w:eastAsia="宋体;SimSun"/>
          <w:szCs w:val="21"/>
        </w:rPr>
        <w:t>）源码包括数据库创建脚本（含静态数据）、编译构建脚本和所有源代码；文档包括需求、设计、测试文档、安装手册、使用手册、产品变更信息文档、相关联的系统版本号、产品介绍等相关文件。</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2</w:t>
      </w:r>
      <w:r>
        <w:rPr>
          <w:rFonts w:ascii="宋体;SimSun" w:hAnsi="宋体;SimSun" w:cs="宋体;SimSun" w:eastAsia="宋体;SimSun"/>
          <w:szCs w:val="21"/>
        </w:rPr>
        <w:t xml:space="preserve">）程序打包：软件负责人安排程序打包，标记源码，文档版本 </w:t>
      </w:r>
      <w:r>
        <w:rPr>
          <w:rFonts w:eastAsia="宋体;SimSun" w:cs="宋体;SimSun" w:ascii="宋体;SimSun" w:hAnsi="宋体;SimSun"/>
          <w:szCs w:val="21"/>
        </w:rPr>
        <w:t>tag</w:t>
      </w:r>
      <w:r>
        <w:rPr>
          <w:rFonts w:ascii="宋体;SimSun" w:hAnsi="宋体;SimSun" w:cs="宋体;SimSun" w:eastAsia="宋体;SimSun"/>
          <w:szCs w:val="21"/>
        </w:rPr>
        <w:t>等。</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4.4 </w:t>
      </w:r>
      <w:r>
        <w:rPr>
          <w:rFonts w:ascii="宋体;SimSun" w:hAnsi="宋体;SimSun" w:cs="宋体;SimSun" w:eastAsia="宋体;SimSun"/>
          <w:szCs w:val="21"/>
        </w:rPr>
        <w:t>软件发布与交付流程：</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4.4.1</w:t>
      </w:r>
      <w:r>
        <w:rPr>
          <w:rFonts w:ascii="宋体;SimSun" w:hAnsi="宋体;SimSun" w:cs="宋体;SimSun" w:eastAsia="宋体;SimSun"/>
          <w:szCs w:val="21"/>
        </w:rPr>
        <w:t>发布信息要求</w:t>
      </w:r>
    </w:p>
    <w:p>
      <w:pPr>
        <w:pStyle w:val="Normal"/>
        <w:spacing w:lineRule="auto" w:line="360"/>
        <w:ind w:firstLine="420"/>
        <w:rPr>
          <w:rFonts w:ascii="宋体;SimSun" w:hAnsi="宋体;SimSun" w:eastAsia="宋体;SimSun" w:cs="宋体;SimSun"/>
          <w:szCs w:val="21"/>
        </w:rPr>
      </w:pPr>
      <w:r>
        <w:rPr>
          <w:rFonts w:ascii="宋体;SimSun" w:hAnsi="宋体;SimSun" w:cs="宋体;SimSun" w:eastAsia="宋体;SimSun"/>
          <w:szCs w:val="21"/>
        </w:rPr>
        <w:t xml:space="preserve">研发部编写产品发布说明 </w:t>
      </w:r>
      <w:r>
        <w:rPr>
          <w:rFonts w:eastAsia="宋体;SimSun" w:cs="宋体;SimSun" w:ascii="宋体;SimSun" w:hAnsi="宋体;SimSun"/>
          <w:szCs w:val="21"/>
        </w:rPr>
        <w:t>Release Note</w:t>
      </w:r>
      <w:r>
        <w:rPr>
          <w:rFonts w:ascii="宋体;SimSun" w:hAnsi="宋体;SimSun" w:cs="宋体;SimSun" w:eastAsia="宋体;SimSun"/>
          <w:szCs w:val="21"/>
        </w:rPr>
        <w:t>，</w:t>
      </w:r>
      <w:r>
        <w:rPr>
          <w:rFonts w:eastAsia="宋体;SimSun" w:cs="宋体;SimSun" w:ascii="宋体;SimSun" w:hAnsi="宋体;SimSun"/>
          <w:szCs w:val="21"/>
        </w:rPr>
        <w:t>Release Note</w:t>
      </w:r>
      <w:r>
        <w:rPr>
          <w:rFonts w:ascii="宋体;SimSun" w:hAnsi="宋体;SimSun" w:cs="宋体;SimSun" w:eastAsia="宋体;SimSun"/>
          <w:szCs w:val="21"/>
        </w:rPr>
        <w:t>应当以规范的形式保存。发布说明应至少包括以下内容：</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产品版本说明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软件包下载路径以及相关说明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软件交付形式</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相关的文档说明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病毒防护说明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本次发布包含或者新增的功能性说明</w:t>
      </w:r>
    </w:p>
    <w:p>
      <w:pPr>
        <w:pStyle w:val="Normal"/>
        <w:numPr>
          <w:ilvl w:val="0"/>
          <w:numId w:val="3"/>
        </w:numPr>
        <w:spacing w:lineRule="auto" w:line="360"/>
        <w:rPr>
          <w:rFonts w:ascii="宋体;SimSun" w:hAnsi="宋体;SimSun" w:eastAsia="宋体;SimSun" w:cs="宋体;SimSun"/>
          <w:szCs w:val="21"/>
        </w:rPr>
      </w:pPr>
      <w:r>
        <w:rPr>
          <w:rFonts w:ascii="宋体;SimSun" w:hAnsi="宋体;SimSun" w:cs="宋体;SimSun" w:eastAsia="宋体;SimSun"/>
          <w:szCs w:val="21"/>
        </w:rPr>
        <w:t>遗留问题及影响说明</w:t>
      </w:r>
    </w:p>
    <w:p>
      <w:pPr>
        <w:pStyle w:val="Normal"/>
        <w:spacing w:lineRule="auto" w:line="360"/>
        <w:ind w:left="420" w:hanging="0"/>
        <w:rPr>
          <w:rFonts w:ascii="宋体;SimSun" w:hAnsi="宋体;SimSun" w:eastAsia="宋体;SimSun" w:cs="宋体;SimSun"/>
          <w:szCs w:val="21"/>
        </w:rPr>
      </w:pPr>
      <w:r>
        <w:rPr>
          <w:rFonts w:eastAsia="宋体;SimSun" w:cs="宋体;SimSun" w:ascii="宋体;SimSun" w:hAnsi="宋体;SimSun"/>
          <w:szCs w:val="21"/>
        </w:rPr>
        <w:t xml:space="preserve">4.4.2  </w:t>
      </w:r>
      <w:r>
        <w:rPr>
          <w:rFonts w:ascii="宋体;SimSun" w:hAnsi="宋体;SimSun" w:cs="宋体;SimSun" w:eastAsia="宋体;SimSun"/>
          <w:szCs w:val="21"/>
        </w:rPr>
        <w:t>软件发布</w:t>
      </w:r>
    </w:p>
    <w:p>
      <w:pPr>
        <w:pStyle w:val="Normal"/>
        <w:spacing w:lineRule="auto" w:line="360"/>
        <w:ind w:left="420" w:firstLine="420"/>
        <w:rPr>
          <w:rFonts w:ascii="宋体;SimSun" w:hAnsi="宋体;SimSun" w:eastAsia="宋体;SimSun" w:cs="宋体;SimSun"/>
          <w:szCs w:val="21"/>
        </w:rPr>
      </w:pPr>
      <w:r>
        <w:rPr>
          <w:rFonts w:ascii="宋体;SimSun" w:hAnsi="宋体;SimSun" w:cs="宋体;SimSun" w:eastAsia="宋体;SimSun"/>
          <w:szCs w:val="21"/>
        </w:rPr>
        <w:t>发布文件以及安装包文件名中标记好版本号。交付的产品只对有需要的用户开放相应权限，同时需要遵循本文</w:t>
      </w:r>
      <w:r>
        <w:rPr>
          <w:rFonts w:eastAsia="宋体;SimSun" w:cs="宋体;SimSun" w:ascii="宋体;SimSun" w:hAnsi="宋体;SimSun"/>
          <w:szCs w:val="21"/>
        </w:rPr>
        <w:t>4.4.3</w:t>
      </w:r>
      <w:r>
        <w:rPr>
          <w:rFonts w:ascii="宋体;SimSun" w:hAnsi="宋体;SimSun" w:cs="宋体;SimSun" w:eastAsia="宋体;SimSun"/>
          <w:szCs w:val="21"/>
        </w:rPr>
        <w:t>章节进行网络安全保证。</w:t>
      </w:r>
    </w:p>
    <w:p>
      <w:pPr>
        <w:pStyle w:val="Normal"/>
        <w:spacing w:lineRule="auto" w:line="360"/>
        <w:ind w:firstLine="840"/>
        <w:rPr>
          <w:rFonts w:ascii="宋体;SimSun" w:hAnsi="宋体;SimSun" w:eastAsia="宋体;SimSun" w:cs="宋体;SimSun"/>
          <w:szCs w:val="21"/>
        </w:rPr>
      </w:pPr>
      <w:r>
        <w:rPr>
          <w:rFonts w:ascii="宋体;SimSun" w:hAnsi="宋体;SimSun" w:cs="宋体;SimSun" w:eastAsia="宋体;SimSun"/>
          <w:szCs w:val="21"/>
        </w:rPr>
        <w:t>研发部附上“</w:t>
      </w:r>
      <w:r>
        <w:rPr>
          <w:rFonts w:eastAsia="宋体;SimSun" w:cs="宋体;SimSun" w:ascii="宋体;SimSun" w:hAnsi="宋体;SimSun"/>
          <w:szCs w:val="21"/>
        </w:rPr>
        <w:t>Release Note”</w:t>
      </w:r>
      <w:r>
        <w:rPr>
          <w:rFonts w:ascii="宋体;SimSun" w:hAnsi="宋体;SimSun" w:cs="宋体;SimSun" w:eastAsia="宋体;SimSun"/>
          <w:szCs w:val="21"/>
        </w:rPr>
        <w:t>，并将信息传递给质量、生产</w:t>
      </w:r>
      <w:r>
        <w:rPr>
          <w:rFonts w:eastAsia="宋体;SimSun" w:cs="宋体;SimSun" w:ascii="宋体;SimSun" w:hAnsi="宋体;SimSun"/>
          <w:szCs w:val="21"/>
        </w:rPr>
        <w:t>/</w:t>
      </w:r>
      <w:r>
        <w:rPr>
          <w:rFonts w:ascii="宋体;SimSun" w:hAnsi="宋体;SimSun" w:cs="宋体;SimSun" w:eastAsia="宋体;SimSun"/>
          <w:szCs w:val="21"/>
        </w:rPr>
        <w:t>运维、产品、销售各相关部门，正式发布通知。</w:t>
      </w:r>
    </w:p>
    <w:p>
      <w:pPr>
        <w:pStyle w:val="Normal"/>
        <w:spacing w:lineRule="auto" w:line="360"/>
        <w:ind w:left="420" w:hanging="0"/>
        <w:rPr>
          <w:rFonts w:ascii="宋体;SimSun" w:hAnsi="宋体;SimSun" w:eastAsia="宋体;SimSun" w:cs="宋体;SimSun"/>
          <w:szCs w:val="21"/>
        </w:rPr>
      </w:pPr>
      <w:r>
        <w:rPr>
          <w:rFonts w:eastAsia="宋体;SimSun" w:cs="宋体;SimSun" w:ascii="宋体;SimSun" w:hAnsi="宋体;SimSun"/>
          <w:szCs w:val="21"/>
        </w:rPr>
        <w:t>4.4.2</w:t>
      </w:r>
      <w:r>
        <w:rPr>
          <w:rFonts w:ascii="宋体;SimSun" w:hAnsi="宋体;SimSun" w:cs="宋体;SimSun" w:eastAsia="宋体;SimSun"/>
          <w:szCs w:val="21"/>
        </w:rPr>
        <w:t>软件包的母本下载和交付形式要求</w:t>
      </w:r>
    </w:p>
    <w:p>
      <w:pPr>
        <w:pStyle w:val="Normal"/>
        <w:spacing w:lineRule="auto" w:line="360"/>
        <w:ind w:left="420" w:firstLine="420"/>
        <w:rPr>
          <w:rFonts w:ascii="宋体;SimSun" w:hAnsi="宋体;SimSun" w:eastAsia="宋体;SimSun" w:cs="宋体;SimSun"/>
          <w:szCs w:val="21"/>
        </w:rPr>
      </w:pPr>
      <w:r>
        <w:rPr>
          <w:rFonts w:ascii="宋体;SimSun" w:hAnsi="宋体;SimSun" w:cs="宋体;SimSun" w:eastAsia="宋体;SimSun"/>
          <w:szCs w:val="21"/>
        </w:rPr>
        <w:t>产品通过了验证与确认后，交付的产品安装包保存至公司内部网盘，并且设置相应的权限。生产部门根据提供的下载路径进行软件包下载。网盘具备用户鉴权机制，只有通过验证的用户可以登录使用。</w:t>
      </w:r>
    </w:p>
    <w:p>
      <w:pPr>
        <w:pStyle w:val="Normal"/>
        <w:spacing w:lineRule="auto" w:line="360"/>
        <w:ind w:firstLine="735"/>
        <w:rPr>
          <w:rFonts w:ascii="宋体;SimSun" w:hAnsi="宋体;SimSun" w:eastAsia="宋体;SimSun" w:cs="宋体;SimSun"/>
          <w:szCs w:val="21"/>
        </w:rPr>
      </w:pPr>
      <w:r>
        <w:rPr>
          <w:rFonts w:ascii="宋体;SimSun" w:hAnsi="宋体;SimSun" w:cs="宋体;SimSun" w:eastAsia="宋体;SimSun"/>
          <w:szCs w:val="21"/>
        </w:rPr>
        <w:t>从服务器中下载“软件包”后，作为媒介复制的“母本”。拷贝时应确认校验码一致，确保软件拷贝的版本无误，数据完整。为防止数据污染或者混淆，拷贝时应使用专用的</w:t>
      </w:r>
      <w:r>
        <w:rPr>
          <w:rFonts w:eastAsia="宋体;SimSun" w:cs="宋体;SimSun" w:ascii="宋体;SimSun" w:hAnsi="宋体;SimSun"/>
          <w:szCs w:val="21"/>
        </w:rPr>
        <w:t>U</w:t>
      </w:r>
      <w:r>
        <w:rPr>
          <w:rFonts w:ascii="宋体;SimSun" w:hAnsi="宋体;SimSun" w:cs="宋体;SimSun" w:eastAsia="宋体;SimSun"/>
          <w:szCs w:val="21"/>
        </w:rPr>
        <w:t>盘。</w:t>
      </w:r>
    </w:p>
    <w:p>
      <w:pPr>
        <w:pStyle w:val="Normal"/>
        <w:spacing w:lineRule="auto" w:line="360"/>
        <w:ind w:firstLine="735"/>
        <w:rPr>
          <w:rFonts w:ascii="宋体;SimSun" w:hAnsi="宋体;SimSun" w:eastAsia="宋体;SimSun" w:cs="宋体;SimSun"/>
          <w:szCs w:val="21"/>
        </w:rPr>
      </w:pPr>
      <w:r>
        <w:rPr>
          <w:rFonts w:ascii="宋体;SimSun" w:hAnsi="宋体;SimSun" w:cs="宋体;SimSun" w:eastAsia="宋体;SimSun"/>
          <w:szCs w:val="21"/>
        </w:rPr>
        <w:t>当前本公司的产品交付形式采用的是物理交付</w:t>
      </w:r>
      <w:r>
        <w:rPr>
          <w:rFonts w:eastAsia="宋体;SimSun" w:cs="宋体;SimSun" w:ascii="宋体;SimSun" w:hAnsi="宋体;SimSun"/>
          <w:szCs w:val="21"/>
        </w:rPr>
        <w:t>---</w:t>
      </w:r>
      <w:r>
        <w:rPr>
          <w:rFonts w:ascii="宋体;SimSun" w:hAnsi="宋体;SimSun" w:cs="宋体;SimSun" w:eastAsia="宋体;SimSun"/>
          <w:szCs w:val="21"/>
        </w:rPr>
        <w:t>即光盘刻录的复制方式。</w:t>
      </w:r>
    </w:p>
    <w:p>
      <w:pPr>
        <w:pStyle w:val="Normal"/>
        <w:spacing w:lineRule="auto" w:line="360"/>
        <w:ind w:left="420" w:hanging="0"/>
        <w:rPr>
          <w:rFonts w:ascii="宋体;SimSun" w:hAnsi="宋体;SimSun" w:eastAsia="宋体;SimSun" w:cs="宋体;SimSun"/>
          <w:szCs w:val="21"/>
        </w:rPr>
      </w:pPr>
      <w:r>
        <w:rPr>
          <w:rFonts w:eastAsia="宋体;SimSun" w:cs="宋体;SimSun" w:ascii="宋体;SimSun" w:hAnsi="宋体;SimSun"/>
          <w:szCs w:val="21"/>
        </w:rPr>
        <w:t>4.4.3</w:t>
      </w:r>
      <w:r>
        <w:rPr>
          <w:rFonts w:ascii="宋体;SimSun" w:hAnsi="宋体;SimSun" w:cs="宋体;SimSun" w:eastAsia="宋体;SimSun"/>
          <w:szCs w:val="21"/>
        </w:rPr>
        <w:t>病毒防护要求</w:t>
      </w:r>
    </w:p>
    <w:p>
      <w:pPr>
        <w:pStyle w:val="Normal"/>
        <w:spacing w:lineRule="auto" w:line="360"/>
        <w:ind w:left="420" w:hanging="0"/>
        <w:rPr>
          <w:rFonts w:ascii="宋体;SimSun" w:hAnsi="宋体;SimSun" w:eastAsia="宋体;SimSun" w:cs="宋体;SimSun"/>
          <w:szCs w:val="21"/>
        </w:rPr>
      </w:pPr>
      <w:r>
        <w:rPr>
          <w:rFonts w:ascii="宋体;SimSun" w:hAnsi="宋体;SimSun" w:cs="宋体;SimSun" w:eastAsia="宋体;SimSun"/>
          <w:szCs w:val="21"/>
        </w:rPr>
        <w:t>产品交付阶段需要采取必要的病毒防护措施保证网络安全，具体措施包括：</w:t>
      </w:r>
    </w:p>
    <w:p>
      <w:pPr>
        <w:pStyle w:val="Normal"/>
        <w:numPr>
          <w:ilvl w:val="0"/>
          <w:numId w:val="4"/>
        </w:numPr>
        <w:spacing w:lineRule="auto" w:line="360"/>
        <w:rPr>
          <w:rFonts w:ascii="宋体;SimSun" w:hAnsi="宋体;SimSun" w:eastAsia="宋体;SimSun" w:cs="宋体;SimSun"/>
          <w:szCs w:val="21"/>
        </w:rPr>
      </w:pPr>
      <w:r>
        <w:rPr>
          <w:rFonts w:ascii="宋体;SimSun" w:hAnsi="宋体;SimSun" w:cs="宋体;SimSun" w:eastAsia="宋体;SimSun"/>
          <w:szCs w:val="21"/>
        </w:rPr>
        <w:t>公司内部局域网一定程度上保证了网络安全；</w:t>
      </w:r>
    </w:p>
    <w:p>
      <w:pPr>
        <w:pStyle w:val="Normal"/>
        <w:numPr>
          <w:ilvl w:val="0"/>
          <w:numId w:val="4"/>
        </w:numPr>
        <w:spacing w:lineRule="auto" w:line="360"/>
        <w:rPr>
          <w:rFonts w:ascii="宋体;SimSun" w:hAnsi="宋体;SimSun" w:eastAsia="宋体;SimSun" w:cs="宋体;SimSun"/>
          <w:szCs w:val="21"/>
        </w:rPr>
      </w:pPr>
      <w:r>
        <w:rPr>
          <w:rFonts w:ascii="宋体;SimSun" w:hAnsi="宋体;SimSun" w:cs="宋体;SimSun" w:eastAsia="宋体;SimSun"/>
          <w:szCs w:val="21"/>
        </w:rPr>
        <w:t>内部工作电脑安装杀毒软件；</w:t>
      </w:r>
    </w:p>
    <w:p>
      <w:pPr>
        <w:pStyle w:val="Normal"/>
        <w:numPr>
          <w:ilvl w:val="0"/>
          <w:numId w:val="4"/>
        </w:numPr>
        <w:spacing w:lineRule="auto" w:line="360"/>
        <w:rPr>
          <w:rFonts w:ascii="宋体;SimSun" w:hAnsi="宋体;SimSun" w:eastAsia="宋体;SimSun" w:cs="宋体;SimSun"/>
          <w:szCs w:val="21"/>
        </w:rPr>
      </w:pPr>
      <w:r>
        <w:rPr>
          <w:rFonts w:ascii="宋体;SimSun" w:hAnsi="宋体;SimSun" w:cs="宋体;SimSun" w:eastAsia="宋体;SimSun"/>
          <w:szCs w:val="21"/>
        </w:rPr>
        <w:t>内部网盘具有用户鉴权机制；</w:t>
      </w:r>
    </w:p>
    <w:p>
      <w:pPr>
        <w:pStyle w:val="Normal"/>
        <w:numPr>
          <w:ilvl w:val="0"/>
          <w:numId w:val="4"/>
        </w:numPr>
        <w:spacing w:lineRule="auto" w:line="360"/>
        <w:rPr>
          <w:rFonts w:ascii="宋体;SimSun" w:hAnsi="宋体;SimSun" w:eastAsia="宋体;SimSun" w:cs="宋体;SimSun"/>
          <w:szCs w:val="21"/>
        </w:rPr>
      </w:pPr>
      <w:r>
        <w:rPr>
          <w:rFonts w:ascii="宋体;SimSun" w:hAnsi="宋体;SimSun" w:cs="宋体;SimSun" w:eastAsia="宋体;SimSun"/>
          <w:szCs w:val="21"/>
        </w:rPr>
        <w:t>内部网盘为不同用户设置不同的权限；</w:t>
      </w:r>
    </w:p>
    <w:p>
      <w:pPr>
        <w:pStyle w:val="Normal"/>
        <w:numPr>
          <w:ilvl w:val="0"/>
          <w:numId w:val="4"/>
        </w:numPr>
        <w:spacing w:lineRule="auto" w:line="360"/>
        <w:rPr>
          <w:rFonts w:ascii="宋体;SimSun" w:hAnsi="宋体;SimSun" w:eastAsia="宋体;SimSun" w:cs="宋体;SimSun"/>
          <w:szCs w:val="21"/>
        </w:rPr>
      </w:pPr>
      <w:r>
        <w:rPr>
          <w:rFonts w:ascii="宋体;SimSun" w:hAnsi="宋体;SimSun" w:cs="宋体;SimSun" w:eastAsia="宋体;SimSun"/>
          <w:szCs w:val="21"/>
        </w:rPr>
        <w:t>通过校验码确认软件安装包的一致性；</w:t>
      </w:r>
    </w:p>
    <w:p>
      <w:pPr>
        <w:pStyle w:val="Normal"/>
        <w:numPr>
          <w:ilvl w:val="0"/>
          <w:numId w:val="0"/>
        </w:numPr>
        <w:spacing w:lineRule="auto" w:line="360"/>
        <w:jc w:val="left"/>
        <w:outlineLvl w:val="0"/>
        <w:rPr>
          <w:rFonts w:ascii="宋体;SimSun" w:hAnsi="宋体;SimSun" w:eastAsia="宋体;SimSun" w:cs="宋体;SimSun"/>
          <w:b/>
          <w:b/>
          <w:bCs/>
          <w:szCs w:val="21"/>
        </w:rPr>
      </w:pPr>
      <w:r>
        <w:rPr>
          <w:rFonts w:eastAsia="宋体;SimSun" w:cs="宋体;SimSun" w:ascii="宋体;SimSun" w:hAnsi="宋体;SimSun"/>
          <w:b/>
          <w:bCs/>
          <w:szCs w:val="21"/>
        </w:rPr>
        <w:t>5</w:t>
      </w:r>
      <w:r>
        <w:rPr>
          <w:rFonts w:ascii="宋体;SimSun" w:hAnsi="宋体;SimSun" w:cs="宋体;SimSun" w:eastAsia="宋体;SimSun"/>
          <w:b/>
          <w:bCs/>
          <w:szCs w:val="21"/>
        </w:rPr>
        <w:t>、记录</w:t>
      </w:r>
    </w:p>
    <w:p>
      <w:pPr>
        <w:pStyle w:val="Normal"/>
        <w:numPr>
          <w:ilvl w:val="0"/>
          <w:numId w:val="0"/>
        </w:numPr>
        <w:spacing w:lineRule="auto" w:line="360"/>
        <w:ind w:firstLine="141"/>
        <w:jc w:val="left"/>
        <w:outlineLvl w:val="0"/>
        <w:rPr>
          <w:rFonts w:ascii="宋体;SimSun" w:hAnsi="宋体;SimSun" w:eastAsia="宋体;SimSun" w:cs="宋体;SimSun"/>
          <w:bCs/>
          <w:szCs w:val="21"/>
        </w:rPr>
      </w:pPr>
      <w:r>
        <w:rPr>
          <w:rFonts w:eastAsia="宋体;SimSun" w:cs="宋体;SimSun" w:ascii="宋体;SimSun" w:hAnsi="宋体;SimSun"/>
          <w:b/>
          <w:bCs/>
          <w:szCs w:val="21"/>
        </w:rPr>
        <w:t xml:space="preserve"> </w:t>
      </w:r>
      <w:r>
        <w:rPr>
          <w:rFonts w:eastAsia="宋体;SimSun" w:cs="宋体;SimSun" w:ascii="宋体;SimSun" w:hAnsi="宋体;SimSun"/>
          <w:bCs/>
          <w:szCs w:val="21"/>
        </w:rPr>
        <w:t xml:space="preserve"> </w:t>
      </w:r>
      <w:r>
        <w:rPr>
          <w:rFonts w:ascii="宋体;SimSun" w:hAnsi="宋体;SimSun" w:cs="宋体;SimSun" w:eastAsia="宋体;SimSun"/>
          <w:bCs/>
          <w:szCs w:val="21"/>
        </w:rPr>
        <w:t>无</w:t>
      </w:r>
    </w:p>
    <w:p>
      <w:pPr>
        <w:pStyle w:val="Normal"/>
        <w:autoSpaceDE w:val="false"/>
        <w:spacing w:lineRule="auto" w:line="360"/>
        <w:rPr>
          <w:rFonts w:ascii="宋体;SimSun" w:hAnsi="宋体;SimSun" w:eastAsia="宋体;SimSun" w:cs="宋体;SimSun"/>
          <w:b/>
          <w:b/>
          <w:szCs w:val="21"/>
        </w:rPr>
      </w:pPr>
      <w:r>
        <w:rPr>
          <w:rFonts w:eastAsia="宋体;SimSun" w:cs="宋体;SimSun" w:ascii="宋体;SimSun" w:hAnsi="宋体;SimSun"/>
          <w:b/>
          <w:szCs w:val="21"/>
        </w:rPr>
        <w:t>6</w:t>
      </w:r>
      <w:r>
        <w:rPr>
          <w:rFonts w:ascii="宋体;SimSun" w:hAnsi="宋体;SimSun" w:cs="宋体;SimSun" w:eastAsia="宋体;SimSun"/>
          <w:b/>
          <w:szCs w:val="21"/>
        </w:rPr>
        <w:t>、文件更改履历表</w:t>
      </w:r>
    </w:p>
    <w:tbl>
      <w:tblPr>
        <w:tblW w:w="9356" w:type="dxa"/>
        <w:jc w:val="left"/>
        <w:tblInd w:w="250" w:type="dxa"/>
        <w:tblLayout w:type="fixed"/>
        <w:tblCellMar>
          <w:top w:w="0" w:type="dxa"/>
          <w:left w:w="108" w:type="dxa"/>
          <w:bottom w:w="0" w:type="dxa"/>
          <w:right w:w="108" w:type="dxa"/>
        </w:tblCellMar>
      </w:tblPr>
      <w:tblGrid>
        <w:gridCol w:w="1309"/>
        <w:gridCol w:w="5920"/>
        <w:gridCol w:w="2127"/>
      </w:tblGrid>
      <w:tr>
        <w:trPr>
          <w:trHeight w:val="413"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2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127"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20"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127"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2020-06-22</w:t>
            </w:r>
          </w:p>
        </w:tc>
      </w:tr>
    </w:tbl>
    <w:p>
      <w:pPr>
        <w:pStyle w:val="Normal"/>
        <w:tabs>
          <w:tab w:val="clear" w:pos="420"/>
          <w:tab w:val="left" w:pos="2160" w:leader="none"/>
        </w:tabs>
        <w:rPr>
          <w:rFonts w:ascii="宋体;SimSun" w:hAnsi="宋体;SimSun" w:eastAsia="宋体;SimSun" w:cs="宋体;SimSun"/>
          <w:szCs w:val="21"/>
        </w:rPr>
      </w:pPr>
      <w:r>
        <w:rPr>
          <w:rFonts w:eastAsia="宋体;SimSun" w:cs="宋体;SimSun" w:ascii="宋体;SimSun" w:hAnsi="宋体;SimSun"/>
          <w:szCs w:val="21"/>
        </w:rPr>
        <w:tab/>
      </w:r>
    </w:p>
    <w:p>
      <w:pPr>
        <w:pStyle w:val="Normal"/>
        <w:tabs>
          <w:tab w:val="clear" w:pos="420"/>
          <w:tab w:val="left" w:pos="2160" w:leader="none"/>
        </w:tabs>
        <w:rPr>
          <w:rFonts w:ascii="宋体;SimSun" w:hAnsi="宋体;SimSun" w:eastAsia="宋体;SimSun" w:cs="宋体;SimSun"/>
          <w:szCs w:val="21"/>
        </w:rPr>
      </w:pPr>
      <w:r>
        <w:rPr>
          <w:rFonts w:eastAsia="宋体;SimSun" w:cs="宋体;SimSun" w:ascii="宋体;SimSun" w:hAnsi="宋体;SimSun"/>
          <w:szCs w:val="21"/>
        </w:rPr>
      </w:r>
    </w:p>
    <w:p>
      <w:pPr>
        <w:pStyle w:val="Normal"/>
        <w:tabs>
          <w:tab w:val="clear" w:pos="420"/>
          <w:tab w:val="left" w:pos="2160" w:leader="none"/>
        </w:tabs>
        <w:rPr>
          <w:rFonts w:ascii="宋体;SimSun" w:hAnsi="宋体;SimSun" w:eastAsia="宋体;SimSun" w:cs="宋体;SimSun"/>
          <w:szCs w:val="21"/>
        </w:rPr>
      </w:pPr>
      <w:r>
        <w:rPr>
          <w:rFonts w:eastAsia="宋体;SimSun" w:cs="宋体;SimSun" w:ascii="宋体;SimSun" w:hAnsi="宋体;SimSun"/>
          <w:szCs w:val="21"/>
        </w:rPr>
      </w:r>
    </w:p>
    <w:sectPr>
      <w:headerReference w:type="default" r:id="rId3"/>
      <w:footerReference w:type="default" r:id="rId4"/>
      <w:type w:val="nextPage"/>
      <w:pgSz w:w="11906" w:h="16838"/>
      <w:pgMar w:left="1134" w:right="1134" w:gutter="0" w:header="851" w:top="1134" w:footer="779"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Liberation Sans">
    <w:altName w:val="Arial"/>
    <w:charset w:val="01"/>
    <w:family w:val="swiss"/>
    <w:pitch w:val="variable"/>
  </w:font>
  <w:font w:name="宋体">
    <w:altName w:val="SimSun"/>
    <w:charset w:val="86"/>
    <w:family w:val="auto"/>
    <w:pitch w:val="variable"/>
  </w:font>
  <w:font w:name="ËÎÌå">
    <w:altName w:val="宋体"/>
    <w:charset w:val="86"/>
    <w:family w:val="auto"/>
    <w:pitch w:val="default"/>
  </w:font>
  <w:font w:name="Arial Unicode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eastAsia="宋体;SimSun" w:cs="宋体;SimSun"/>
      </w:rPr>
    </w:pPr>
    <w:r>
      <w:rPr>
        <w:rFonts w:eastAsia="宋体;SimSun" w:cs="宋体;SimSun" w:ascii="宋体;SimSun" w:hAnsi="宋体;SimSu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eastAsia="宋体;SimSun" w:cs="宋体;SimSun"/>
      </w:rPr>
    </w:pPr>
    <w:r>
      <w:rPr>
        <w:rFonts w:eastAsia="宋体;SimSun" w:cs="宋体;SimSun" w:ascii="宋体;SimSun" w:hAnsi="宋体;SimSu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软件发布管理制度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QMS-R10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3</w:t>
          </w:r>
          <w:r>
            <w:rPr>
              <w:sz w:val="24"/>
              <w:szCs w:val="24"/>
              <w:rFonts w:ascii="宋体;SimSun" w:hAnsi="宋体;SimSun" w:cs="宋体;SimSun" w:eastAsia="宋体;SimSun"/>
            </w:rPr>
            <w:fldChar w:fldCharType="end"/>
          </w:r>
          <w:r>
            <w:rPr>
              <w:rFonts w:eastAsia="宋体;SimSun" w:cs="宋体;SimSun" w:ascii="宋体;SimSun" w:hAnsi="宋体;SimSun"/>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3">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abstractNum w:abstractNumId="4">
    <w:lvl w:ilvl="0">
      <w:start w:val="1"/>
      <w:numFmt w:val="bullet"/>
      <w:lvlText w:val=""/>
      <w:lvlJc w:val="left"/>
      <w:pPr>
        <w:tabs>
          <w:tab w:val="num" w:pos="0"/>
        </w:tabs>
        <w:ind w:left="1260" w:hanging="420"/>
      </w:pPr>
      <w:rPr>
        <w:rFonts w:ascii="Wingdings" w:hAnsi="Wingdings" w:cs="Wingdings" w:hint="default"/>
      </w:rPr>
    </w:lvl>
    <w:lvl w:ilvl="1">
      <w:start w:val="1"/>
      <w:numFmt w:val="bullet"/>
      <w:lvlText w:val=""/>
      <w:lvlJc w:val="left"/>
      <w:pPr>
        <w:tabs>
          <w:tab w:val="num" w:pos="0"/>
        </w:tabs>
        <w:ind w:left="1680" w:hanging="420"/>
      </w:pPr>
      <w:rPr>
        <w:rFonts w:ascii="Wingdings" w:hAnsi="Wingdings" w:cs="Wingdings" w:hint="default"/>
      </w:rPr>
    </w:lvl>
    <w:lvl w:ilvl="2">
      <w:start w:val="1"/>
      <w:numFmt w:val="bullet"/>
      <w:lvlText w:val=""/>
      <w:lvlJc w:val="left"/>
      <w:pPr>
        <w:tabs>
          <w:tab w:val="num" w:pos="0"/>
        </w:tabs>
        <w:ind w:left="2100" w:hanging="420"/>
      </w:pPr>
      <w:rPr>
        <w:rFonts w:ascii="Wingdings" w:hAnsi="Wingdings" w:cs="Wingdings" w:hint="default"/>
      </w:rPr>
    </w:lvl>
    <w:lvl w:ilvl="3">
      <w:start w:val="1"/>
      <w:numFmt w:val="bullet"/>
      <w:lvlText w:val=""/>
      <w:lvlJc w:val="left"/>
      <w:pPr>
        <w:tabs>
          <w:tab w:val="num" w:pos="0"/>
        </w:tabs>
        <w:ind w:left="2520" w:hanging="420"/>
      </w:pPr>
      <w:rPr>
        <w:rFonts w:ascii="Wingdings" w:hAnsi="Wingdings" w:cs="Wingdings" w:hint="default"/>
      </w:rPr>
    </w:lvl>
    <w:lvl w:ilvl="4">
      <w:start w:val="1"/>
      <w:numFmt w:val="bullet"/>
      <w:lvlText w:val=""/>
      <w:lvlJc w:val="left"/>
      <w:pPr>
        <w:tabs>
          <w:tab w:val="num" w:pos="0"/>
        </w:tabs>
        <w:ind w:left="2940" w:hanging="420"/>
      </w:pPr>
      <w:rPr>
        <w:rFonts w:ascii="Wingdings" w:hAnsi="Wingdings" w:cs="Wingdings" w:hint="default"/>
      </w:rPr>
    </w:lvl>
    <w:lvl w:ilvl="5">
      <w:start w:val="1"/>
      <w:numFmt w:val="bullet"/>
      <w:lvlText w:val=""/>
      <w:lvlJc w:val="left"/>
      <w:pPr>
        <w:tabs>
          <w:tab w:val="num" w:pos="0"/>
        </w:tabs>
        <w:ind w:left="3360" w:hanging="420"/>
      </w:pPr>
      <w:rPr>
        <w:rFonts w:ascii="Wingdings" w:hAnsi="Wingdings" w:cs="Wingdings" w:hint="default"/>
      </w:rPr>
    </w:lvl>
    <w:lvl w:ilvl="6">
      <w:start w:val="1"/>
      <w:numFmt w:val="bullet"/>
      <w:lvlText w:val=""/>
      <w:lvlJc w:val="left"/>
      <w:pPr>
        <w:tabs>
          <w:tab w:val="num" w:pos="0"/>
        </w:tabs>
        <w:ind w:left="3780" w:hanging="420"/>
      </w:pPr>
      <w:rPr>
        <w:rFonts w:ascii="Wingdings" w:hAnsi="Wingdings" w:cs="Wingdings" w:hint="default"/>
      </w:rPr>
    </w:lvl>
    <w:lvl w:ilvl="7">
      <w:start w:val="1"/>
      <w:numFmt w:val="bullet"/>
      <w:lvlText w:val=""/>
      <w:lvlJc w:val="left"/>
      <w:pPr>
        <w:tabs>
          <w:tab w:val="num" w:pos="0"/>
        </w:tabs>
        <w:ind w:left="4200" w:hanging="420"/>
      </w:pPr>
      <w:rPr>
        <w:rFonts w:ascii="Wingdings" w:hAnsi="Wingdings" w:cs="Wingdings" w:hint="default"/>
      </w:rPr>
    </w:lvl>
    <w:lvl w:ilvl="8">
      <w:start w:val="1"/>
      <w:numFmt w:val="bullet"/>
      <w:lvlText w:val=""/>
      <w:lvlJc w:val="left"/>
      <w:pPr>
        <w:tabs>
          <w:tab w:val="num" w:pos="0"/>
        </w:tabs>
        <w:ind w:left="4620" w:hanging="420"/>
      </w:pPr>
      <w:rPr>
        <w:rFonts w:ascii="Wingdings" w:hAnsi="Wingdings" w:cs="Wingdings" w:hint="default"/>
      </w:rPr>
    </w:lvl>
  </w:abstractNum>
  <w:abstractNum w:abstractNumId="5">
    <w:lvl w:ilvl="0">
      <w:start w:val="1"/>
      <w:numFmt w:val="bullet"/>
      <w:lvlText w:val=""/>
      <w:lvlJc w:val="left"/>
      <w:pPr>
        <w:tabs>
          <w:tab w:val="num" w:pos="0"/>
        </w:tabs>
        <w:ind w:left="1200" w:hanging="420"/>
      </w:pPr>
      <w:rPr>
        <w:rFonts w:ascii="Wingdings" w:hAnsi="Wingdings" w:cs="Wingdings" w:hint="default"/>
      </w:rPr>
    </w:lvl>
    <w:lvl w:ilvl="1">
      <w:start w:val="1"/>
      <w:numFmt w:val="bullet"/>
      <w:lvlText w:val=""/>
      <w:lvlJc w:val="left"/>
      <w:pPr>
        <w:tabs>
          <w:tab w:val="num" w:pos="0"/>
        </w:tabs>
        <w:ind w:left="1620" w:hanging="420"/>
      </w:pPr>
      <w:rPr>
        <w:rFonts w:ascii="Wingdings" w:hAnsi="Wingdings" w:cs="Wingdings" w:hint="default"/>
      </w:rPr>
    </w:lvl>
    <w:lvl w:ilvl="2">
      <w:start w:val="1"/>
      <w:numFmt w:val="bullet"/>
      <w:lvlText w:val=""/>
      <w:lvlJc w:val="left"/>
      <w:pPr>
        <w:tabs>
          <w:tab w:val="num" w:pos="0"/>
        </w:tabs>
        <w:ind w:left="2040" w:hanging="420"/>
      </w:pPr>
      <w:rPr>
        <w:rFonts w:ascii="Wingdings" w:hAnsi="Wingdings" w:cs="Wingdings" w:hint="default"/>
      </w:rPr>
    </w:lvl>
    <w:lvl w:ilvl="3">
      <w:start w:val="1"/>
      <w:numFmt w:val="bullet"/>
      <w:lvlText w:val=""/>
      <w:lvlJc w:val="left"/>
      <w:pPr>
        <w:tabs>
          <w:tab w:val="num" w:pos="0"/>
        </w:tabs>
        <w:ind w:left="2460" w:hanging="420"/>
      </w:pPr>
      <w:rPr>
        <w:rFonts w:ascii="Wingdings" w:hAnsi="Wingdings" w:cs="Wingdings" w:hint="default"/>
      </w:rPr>
    </w:lvl>
    <w:lvl w:ilvl="4">
      <w:start w:val="1"/>
      <w:numFmt w:val="bullet"/>
      <w:lvlText w:val=""/>
      <w:lvlJc w:val="left"/>
      <w:pPr>
        <w:tabs>
          <w:tab w:val="num" w:pos="0"/>
        </w:tabs>
        <w:ind w:left="2880" w:hanging="420"/>
      </w:pPr>
      <w:rPr>
        <w:rFonts w:ascii="Wingdings" w:hAnsi="Wingdings" w:cs="Wingdings" w:hint="default"/>
      </w:rPr>
    </w:lvl>
    <w:lvl w:ilvl="5">
      <w:start w:val="1"/>
      <w:numFmt w:val="bullet"/>
      <w:lvlText w:val=""/>
      <w:lvlJc w:val="left"/>
      <w:pPr>
        <w:tabs>
          <w:tab w:val="num" w:pos="0"/>
        </w:tabs>
        <w:ind w:left="3300" w:hanging="420"/>
      </w:pPr>
      <w:rPr>
        <w:rFonts w:ascii="Wingdings" w:hAnsi="Wingdings" w:cs="Wingdings" w:hint="default"/>
      </w:rPr>
    </w:lvl>
    <w:lvl w:ilvl="6">
      <w:start w:val="1"/>
      <w:numFmt w:val="bullet"/>
      <w:lvlText w:val=""/>
      <w:lvlJc w:val="left"/>
      <w:pPr>
        <w:tabs>
          <w:tab w:val="num" w:pos="0"/>
        </w:tabs>
        <w:ind w:left="3720" w:hanging="420"/>
      </w:pPr>
      <w:rPr>
        <w:rFonts w:ascii="Wingdings" w:hAnsi="Wingdings" w:cs="Wingdings" w:hint="default"/>
      </w:rPr>
    </w:lvl>
    <w:lvl w:ilvl="7">
      <w:start w:val="1"/>
      <w:numFmt w:val="bullet"/>
      <w:lvlText w:val=""/>
      <w:lvlJc w:val="left"/>
      <w:pPr>
        <w:tabs>
          <w:tab w:val="num" w:pos="0"/>
        </w:tabs>
        <w:ind w:left="4140" w:hanging="420"/>
      </w:pPr>
      <w:rPr>
        <w:rFonts w:ascii="Wingdings" w:hAnsi="Wingdings" w:cs="Wingdings" w:hint="default"/>
      </w:rPr>
    </w:lvl>
    <w:lvl w:ilvl="8">
      <w:start w:val="1"/>
      <w:numFmt w:val="bullet"/>
      <w:lvlText w:val=""/>
      <w:lvlJc w:val="left"/>
      <w:pPr>
        <w:tabs>
          <w:tab w:val="num" w:pos="0"/>
        </w:tabs>
        <w:ind w:left="456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Style14">
    <w:name w:val="页眉 字符"/>
    <w:qFormat/>
    <w:rPr>
      <w:kern w:val="2"/>
      <w:sz w:val="18"/>
      <w:szCs w:val="18"/>
    </w:rPr>
  </w:style>
  <w:style w:type="character" w:styleId="Expandcontrolicon">
    <w:name w:val="expand-control-icon"/>
    <w:qFormat/>
    <w:rPr/>
  </w:style>
  <w:style w:type="character" w:styleId="Style15">
    <w:name w:val="日期 字符"/>
    <w:qFormat/>
    <w:rPr>
      <w:kern w:val="2"/>
      <w:sz w:val="21"/>
    </w:rPr>
  </w:style>
  <w:style w:type="character" w:styleId="PageNumber">
    <w:name w:val="Page Number"/>
    <w:basedOn w:val="Style13"/>
    <w:rPr/>
  </w:style>
  <w:style w:type="character" w:styleId="St1">
    <w:name w:val="st1"/>
    <w:basedOn w:val="Style13"/>
    <w:qFormat/>
    <w:rPr/>
  </w:style>
  <w:style w:type="character" w:styleId="InternetLink">
    <w:name w:val="Hyperlink"/>
    <w:rPr>
      <w:color w:val="0000FF"/>
      <w:u w:val="single"/>
    </w:rPr>
  </w:style>
  <w:style w:type="character" w:styleId="Expandcontroltext">
    <w:name w:val="expand-control-tex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6">
    <w:name w:val="列表段落"/>
    <w:basedOn w:val="Normal"/>
    <w:qFormat/>
    <w:pPr>
      <w:ind w:firstLine="420"/>
    </w:pPr>
    <w:rPr>
      <w:rFonts w:ascii="等线;DengXian" w:hAnsi="等线;DengXian" w:eastAsia="等线;DengXian" w:cs="Times New Roman"/>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Withbreadcrumbs">
    <w:name w:val="with-breadcrumbs"/>
    <w:basedOn w:val="Normal"/>
    <w:qFormat/>
    <w:pPr>
      <w:widowControl/>
      <w:spacing w:before="280" w:after="280"/>
      <w:jc w:val="left"/>
    </w:pPr>
    <w:rPr>
      <w:rFonts w:ascii="宋体;SimSun" w:hAnsi="宋体;SimSun" w:cs="宋体;SimSun"/>
      <w:kern w:val="0"/>
      <w:sz w:val="24"/>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17">
    <w:name w:val="日期"/>
    <w:basedOn w:val="Normal"/>
    <w:next w:val="Normal"/>
    <w:qFormat/>
    <w:pPr/>
    <w:rPr>
      <w:kern w:val="2"/>
      <w:sz w:val="21"/>
    </w:rPr>
  </w:style>
  <w:style w:type="paragraph" w:styleId="TextBodyIndent">
    <w:name w:val="Body Text Indent"/>
    <w:basedOn w:val="Normal"/>
    <w:pPr>
      <w:spacing w:before="0" w:after="120"/>
      <w:ind w:left="420" w:hanging="0"/>
    </w:pPr>
    <w:rPr/>
  </w:style>
  <w:style w:type="paragraph" w:styleId="Style18">
    <w:name w:val="普通(网站)"/>
    <w:basedOn w:val="Normal"/>
    <w:qFormat/>
    <w:pPr>
      <w:widowControl/>
      <w:spacing w:before="280" w:after="280"/>
      <w:jc w:val="left"/>
    </w:pPr>
    <w:rPr>
      <w:rFonts w:ascii="Arial Unicode MS" w:hAnsi="Arial Unicode MS" w:eastAsia="Times New Roman" w:cs="Arial Unicode MS"/>
      <w:color w:val="000066"/>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2019-01-03T15:39:00Z</dcterms:created>
  <dc:creator>Hu</dc:creator>
  <dc:description/>
  <cp:keywords/>
  <dc:language>en-US</dc:language>
  <cp:lastModifiedBy>husmi</cp:lastModifiedBy>
  <dcterms:modified xsi:type="dcterms:W3CDTF">2021-07-07T20:26:00Z</dcterms:modified>
  <cp:revision>3</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