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上海深至信息科技有限公司</w:t>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质量管理体系文件</w:t>
      </w:r>
    </w:p>
    <w:p>
      <w:pPr>
        <w:pStyle w:val="Normal"/>
        <w:autoSpaceDE w:val="false"/>
        <w:spacing w:lineRule="exact" w:line="440"/>
        <w:jc w:val="center"/>
        <w:rPr>
          <w:rFonts w:ascii="宋体" w:hAnsi="宋体" w:eastAsia="宋体" w:cs="宋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2"/>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2" stroked="t" o:allowincell="f" style="position:absolute">
                <v:stroke color="black" weight="76320" joinstyle="miter" endcap="flat"/>
                <v:fill o:detectmouseclick="t" on="false"/>
                <w10:wrap type="none"/>
              </v:line>
            </w:pict>
          </mc:Fallback>
        </mc:AlternateContent>
      </w:r>
      <w:r>
        <w:rPr>
          <w:rFonts w:eastAsia="宋体" w:cs="宋体" w:ascii="宋体" w:hAnsi="宋体"/>
          <w:b/>
          <w:sz w:val="32"/>
          <w:szCs w:val="32"/>
          <w:lang w:val="zh-CN"/>
        </w:rPr>
        <w:t xml:space="preserve">  </w:t>
      </w:r>
    </w:p>
    <w:p>
      <w:pPr>
        <w:pStyle w:val="Normal"/>
        <w:autoSpaceDE w:val="false"/>
        <w:spacing w:lineRule="exact" w:line="440"/>
        <w:jc w:val="center"/>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en-US" w:eastAsia="zh-CN"/>
        </w:rPr>
        <w:t>风险分析和识别评价控制程序</w:t>
      </w:r>
    </w:p>
    <w:p>
      <w:pPr>
        <w:pStyle w:val="Normal"/>
        <w:tabs>
          <w:tab w:val="clear" w:pos="420"/>
          <w:tab w:val="left" w:pos="3420" w:leader="none"/>
        </w:tabs>
        <w:autoSpaceDE w:val="false"/>
        <w:spacing w:lineRule="exact" w:line="440"/>
        <w:jc w:val="center"/>
        <w:rPr>
          <w:rFonts w:ascii="宋体" w:hAnsi="宋体" w:eastAsia="宋体" w:cs="宋体"/>
          <w:b/>
          <w:b/>
          <w:sz w:val="30"/>
          <w:szCs w:val="30"/>
          <w:lang w:val="zh-CN"/>
        </w:rPr>
      </w:pPr>
      <w:r>
        <w:rPr>
          <w:rFonts w:eastAsia="宋体" w:cs="宋体" w:ascii="宋体" w:hAnsi="宋体"/>
          <w:b/>
          <w:sz w:val="30"/>
          <w:szCs w:val="30"/>
          <w:lang w:val="zh-CN"/>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tbl>
      <w:tblPr>
        <w:tblW w:w="3960" w:type="dxa"/>
        <w:jc w:val="left"/>
        <w:tblInd w:w="249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QMS-P30</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ascii="宋体" w:hAnsi="宋体" w:cs="宋体" w:eastAsia="宋体"/>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eastAsia="宋体" w:cs="宋体"/>
                <w:b/>
                <w:b/>
                <w:sz w:val="30"/>
                <w:szCs w:val="30"/>
              </w:rPr>
            </w:pPr>
            <w:r>
              <w:rPr>
                <w:rFonts w:eastAsia="宋体" w:cs="宋体" w:ascii="宋体" w:hAnsi="宋体"/>
                <w:b/>
                <w:sz w:val="30"/>
                <w:szCs w:val="30"/>
              </w:rPr>
            </w:r>
          </w:p>
        </w:tc>
      </w:tr>
    </w:tbl>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起草人：</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审核人：</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批准人：</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p>
    <w:p>
      <w:pPr>
        <w:pStyle w:val="Normal"/>
        <w:ind w:right="-351" w:hanging="0"/>
        <w:rPr>
          <w:rFonts w:ascii="宋体" w:hAnsi="宋体" w:eastAsia="宋体" w:cs="宋体"/>
          <w:b/>
          <w:b/>
          <w:sz w:val="24"/>
          <w:szCs w:val="30"/>
        </w:rPr>
      </w:pPr>
      <w:r>
        <w:rPr>
          <w:rFonts w:eastAsia="宋体" w:cs="宋体" w:ascii="宋体" w:hAnsi="宋体"/>
          <w:b/>
          <w:sz w:val="24"/>
          <w:szCs w:val="30"/>
        </w:rPr>
      </w:r>
    </w:p>
    <w:p>
      <w:pPr>
        <w:pStyle w:val="Normal"/>
        <w:rPr>
          <w:rFonts w:ascii="宋体" w:hAnsi="宋体" w:eastAsia="宋体" w:cs="宋体"/>
          <w:b/>
          <w:b/>
          <w:sz w:val="24"/>
        </w:rPr>
      </w:pPr>
      <w:r>
        <w:rPr>
          <w:rFonts w:eastAsia="宋体" w:cs="宋体" w:ascii="宋体" w:hAnsi="宋体"/>
          <w:b/>
          <w:sz w:val="24"/>
        </w:rPr>
      </w:r>
    </w:p>
    <w:p>
      <w:pPr>
        <w:pStyle w:val="Normal"/>
        <w:ind w:right="-351" w:hanging="0"/>
        <w:rPr>
          <w:rFonts w:ascii="宋体" w:hAnsi="宋体" w:eastAsia="宋体" w:cs="宋体"/>
          <w:b/>
          <w:b/>
          <w:sz w:val="24"/>
        </w:rPr>
      </w:pPr>
      <w:r>
        <w:rPr>
          <w:rFonts w:eastAsia="宋体" w:cs="宋体" w:ascii="宋体" w:hAnsi="宋体"/>
          <w:b/>
          <w:sz w:val="24"/>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2" w:hanging="0"/>
        <w:rPr>
          <w:rFonts w:ascii="宋体" w:hAnsi="宋体" w:eastAsia="宋体" w:cs="宋体"/>
          <w:b/>
          <w:b/>
          <w:sz w:val="24"/>
          <w:u w:val="single"/>
        </w:rPr>
      </w:pPr>
      <w:r>
        <w:rPr>
          <w:rFonts w:eastAsia="宋体" w:cs="宋体" w:ascii="宋体" w:hAnsi="宋体"/>
          <w:b/>
          <w:sz w:val="24"/>
          <w:u w:val="single"/>
        </w:rPr>
        <w:t xml:space="preserve">                                                                               </w:t>
      </w:r>
    </w:p>
    <w:p>
      <w:pPr>
        <w:pStyle w:val="Normal"/>
        <w:tabs>
          <w:tab w:val="clear" w:pos="420"/>
          <w:tab w:val="left" w:pos="7513" w:leader="none"/>
        </w:tabs>
        <w:ind w:right="420" w:hanging="0"/>
        <w:rPr>
          <w:rFonts w:ascii="宋体" w:hAnsi="宋体" w:eastAsia="宋体" w:cs="宋体"/>
          <w:b/>
          <w:b/>
          <w:color w:val="FF0000"/>
          <w:sz w:val="22"/>
          <w:szCs w:val="22"/>
        </w:rPr>
      </w:pPr>
      <w:r>
        <w:rPr>
          <w:rFonts w:ascii="宋体" w:hAnsi="宋体" w:cs="宋体" w:eastAsia="宋体"/>
          <w:b/>
          <w:sz w:val="24"/>
          <w:szCs w:val="24"/>
        </w:rPr>
        <w:t>分发部门：</w:t>
      </w:r>
      <w:r>
        <w:rPr>
          <w:rFonts w:ascii="宋体" w:hAnsi="宋体" w:cs="宋体" w:eastAsia="宋体"/>
          <w:bCs/>
          <w:sz w:val="22"/>
          <w:szCs w:val="22"/>
        </w:rPr>
        <w:t>质量</w:t>
      </w:r>
      <w:r>
        <w:rPr>
          <w:rFonts w:ascii="宋体" w:hAnsi="宋体" w:cs="宋体" w:eastAsia="宋体"/>
          <w:bCs/>
          <w:sz w:val="22"/>
          <w:szCs w:val="22"/>
          <w:lang w:val="en-US" w:eastAsia="zh-CN"/>
        </w:rPr>
        <w:t>部</w:t>
      </w:r>
      <w:r>
        <w:rPr>
          <w:rFonts w:ascii="宋体" w:hAnsi="宋体" w:cs="宋体" w:eastAsia="宋体"/>
          <w:bCs/>
          <w:sz w:val="22"/>
          <w:szCs w:val="22"/>
        </w:rPr>
        <w:t>、研发</w:t>
      </w:r>
      <w:r>
        <w:rPr>
          <w:rFonts w:ascii="宋体" w:hAnsi="宋体" w:cs="宋体" w:eastAsia="宋体"/>
          <w:bCs/>
          <w:sz w:val="22"/>
          <w:szCs w:val="22"/>
          <w:lang w:val="en-US" w:eastAsia="zh-CN"/>
        </w:rPr>
        <w:t>部</w:t>
      </w:r>
      <w:r>
        <w:rPr>
          <w:rFonts w:ascii="宋体" w:hAnsi="宋体" w:cs="宋体" w:eastAsia="宋体"/>
          <w:bCs/>
          <w:sz w:val="22"/>
          <w:szCs w:val="22"/>
        </w:rPr>
        <w:t>、销售</w:t>
      </w:r>
      <w:r>
        <w:rPr>
          <w:rFonts w:ascii="宋体" w:hAnsi="宋体" w:cs="宋体" w:eastAsia="宋体"/>
          <w:bCs/>
          <w:sz w:val="22"/>
          <w:szCs w:val="22"/>
          <w:lang w:val="en-US" w:eastAsia="zh-CN"/>
        </w:rPr>
        <w:t>部</w:t>
      </w:r>
      <w:r>
        <w:rPr>
          <w:rFonts w:ascii="宋体" w:hAnsi="宋体" w:cs="宋体" w:eastAsia="宋体"/>
          <w:bCs/>
          <w:sz w:val="22"/>
          <w:szCs w:val="22"/>
        </w:rPr>
        <w:t>、生产</w:t>
      </w:r>
      <w:r>
        <w:rPr>
          <w:rFonts w:eastAsia="宋体" w:cs="宋体" w:ascii="宋体" w:hAnsi="宋体"/>
          <w:bCs/>
          <w:sz w:val="22"/>
          <w:szCs w:val="22"/>
        </w:rPr>
        <w:t>/</w:t>
      </w:r>
      <w:r>
        <w:rPr>
          <w:rFonts w:ascii="宋体" w:hAnsi="宋体" w:cs="宋体" w:eastAsia="宋体"/>
          <w:bCs/>
          <w:sz w:val="22"/>
          <w:szCs w:val="22"/>
        </w:rPr>
        <w:t>运维</w:t>
      </w:r>
      <w:r>
        <w:rPr>
          <w:rFonts w:ascii="宋体" w:hAnsi="宋体" w:cs="宋体" w:eastAsia="宋体"/>
          <w:bCs/>
          <w:sz w:val="22"/>
          <w:szCs w:val="22"/>
          <w:lang w:val="en-US" w:eastAsia="zh-CN"/>
        </w:rPr>
        <w:t>部</w:t>
      </w:r>
      <w:r>
        <w:rPr>
          <w:rFonts w:ascii="宋体" w:hAnsi="宋体" w:cs="宋体" w:eastAsia="宋体"/>
          <w:bCs/>
          <w:sz w:val="22"/>
          <w:szCs w:val="22"/>
        </w:rPr>
        <w:t>、行政</w:t>
      </w:r>
      <w:r>
        <w:rPr>
          <w:rFonts w:ascii="宋体" w:hAnsi="宋体" w:cs="宋体" w:eastAsia="宋体"/>
          <w:bCs/>
          <w:sz w:val="22"/>
          <w:szCs w:val="22"/>
          <w:lang w:val="en-US" w:eastAsia="zh-CN"/>
        </w:rPr>
        <w:t>部、</w:t>
      </w:r>
      <w:r>
        <w:rPr>
          <w:rFonts w:ascii="宋体" w:hAnsi="宋体" w:cs="宋体" w:eastAsia="宋体"/>
          <w:bCs/>
          <w:sz w:val="22"/>
          <w:szCs w:val="22"/>
        </w:rPr>
        <w:t>人事</w:t>
      </w:r>
      <w:r>
        <w:rPr>
          <w:rFonts w:ascii="宋体" w:hAnsi="宋体" w:cs="宋体" w:eastAsia="宋体"/>
          <w:bCs/>
          <w:sz w:val="22"/>
          <w:szCs w:val="22"/>
          <w:lang w:val="en-US" w:eastAsia="zh-CN"/>
        </w:rPr>
        <w:t>部</w:t>
      </w:r>
      <w:r>
        <w:rPr>
          <w:rFonts w:ascii="宋体" w:hAnsi="宋体" w:cs="宋体" w:eastAsia="宋体"/>
          <w:bCs/>
          <w:sz w:val="24"/>
          <w:lang w:val="en-US" w:eastAsia="zh-CN"/>
        </w:rPr>
        <w:t xml:space="preserve"> </w:t>
      </w:r>
      <w:r>
        <w:rPr>
          <w:rFonts w:ascii="宋体" w:hAnsi="宋体" w:cs="宋体" w:eastAsia="宋体"/>
          <w:b/>
          <w:color w:val="FF0000"/>
          <w:sz w:val="24"/>
          <w:szCs w:val="24"/>
        </w:rPr>
        <w:t>生效日期：</w:t>
      </w:r>
      <w:r>
        <w:rPr>
          <w:rFonts w:eastAsia="宋体" w:cs="宋体" w:ascii="宋体" w:hAnsi="宋体"/>
          <w:b/>
          <w:color w:val="FF0000"/>
          <w:sz w:val="24"/>
        </w:rPr>
        <w:t>2022-0</w:t>
      </w:r>
      <w:r>
        <w:rPr>
          <w:rFonts w:eastAsia="宋体" w:cs="宋体" w:ascii="宋体" w:hAnsi="宋体"/>
          <w:b/>
          <w:color w:val="FF0000"/>
          <w:sz w:val="24"/>
          <w:lang w:val="en-US" w:eastAsia="zh-CN"/>
        </w:rPr>
        <w:t>7</w:t>
      </w:r>
      <w:r>
        <w:rPr>
          <w:rFonts w:eastAsia="宋体" w:cs="宋体" w:ascii="宋体" w:hAnsi="宋体"/>
          <w:b/>
          <w:color w:val="FF0000"/>
          <w:sz w:val="24"/>
        </w:rPr>
        <w:t>-</w:t>
      </w:r>
      <w:r>
        <w:rPr>
          <w:rFonts w:eastAsia="宋体" w:cs="宋体" w:ascii="宋体" w:hAnsi="宋体"/>
          <w:b/>
          <w:color w:val="FF0000"/>
          <w:sz w:val="24"/>
          <w:lang w:val="en-US" w:eastAsia="zh-CN"/>
        </w:rPr>
        <w:t>15</w:t>
      </w:r>
      <w:r>
        <w:rPr>
          <w:rFonts w:eastAsia="宋体" w:cs="宋体" w:ascii="宋体" w:hAnsi="宋体"/>
          <w:b/>
          <w:color w:val="FF0000"/>
          <w:sz w:val="24"/>
        </w:rPr>
        <w:t xml:space="preserve"> </w:t>
      </w:r>
    </w:p>
    <w:p>
      <w:pPr>
        <w:sectPr>
          <w:footerReference w:type="default" r:id="rId2"/>
          <w:type w:val="nextPage"/>
          <w:pgSz w:w="11906" w:h="16838"/>
          <w:pgMar w:left="1418" w:right="1418" w:gutter="0" w:header="0" w:top="1134" w:footer="992" w:bottom="1134"/>
          <w:pgNumType w:fmt="decimal"/>
          <w:formProt w:val="false"/>
          <w:textDirection w:val="lrTb"/>
          <w:docGrid w:type="default" w:linePitch="312" w:charSpace="0"/>
        </w:sectPr>
      </w:pPr>
    </w:p>
    <w:p>
      <w:pPr>
        <w:pStyle w:val="Normal"/>
        <w:spacing w:lineRule="auto" w:line="360"/>
        <w:rPr>
          <w:rFonts w:ascii="宋体" w:hAnsi="宋体" w:eastAsia="宋体" w:cs="宋体"/>
          <w:b/>
          <w:b/>
          <w:color w:val="FF0000"/>
          <w:sz w:val="24"/>
          <w:szCs w:val="22"/>
        </w:rPr>
      </w:pPr>
      <w:r>
        <w:rPr>
          <w:rFonts w:eastAsia="宋体" w:cs="宋体" w:ascii="宋体" w:hAnsi="宋体"/>
          <w:b/>
          <w:color w:val="FF0000"/>
          <w:sz w:val="24"/>
          <w:szCs w:val="22"/>
        </w:rPr>
      </w:r>
    </w:p>
    <w:p>
      <w:pPr>
        <w:sectPr>
          <w:headerReference w:type="default" r:id="rId3"/>
          <w:footerReference w:type="default" r:id="rId4"/>
          <w:type w:val="nextPage"/>
          <w:pgSz w:w="11906" w:h="16838"/>
          <w:pgMar w:left="1134" w:right="1134" w:gutter="0" w:header="851" w:top="1134" w:footer="992" w:bottom="1134"/>
          <w:pgNumType w:start="1" w:fmt="decimal"/>
          <w:formProt w:val="false"/>
          <w:textDirection w:val="lrTb"/>
          <w:docGrid w:type="default" w:linePitch="312" w:charSpace="0"/>
        </w:sectPr>
      </w:pPr>
    </w:p>
    <w:p>
      <w:pPr>
        <w:pStyle w:val="Normal"/>
        <w:numPr>
          <w:ilvl w:val="0"/>
          <w:numId w:val="2"/>
        </w:numPr>
        <w:tabs>
          <w:tab w:val="clear" w:pos="420"/>
          <w:tab w:val="left" w:pos="360" w:leader="none"/>
        </w:tabs>
        <w:spacing w:lineRule="auto" w:line="360"/>
        <w:rPr>
          <w:rFonts w:ascii="宋体" w:hAnsi="宋体" w:eastAsia="宋体" w:cs="宋体"/>
          <w:b/>
          <w:b/>
          <w:sz w:val="24"/>
        </w:rPr>
      </w:pPr>
      <w:r>
        <w:rPr>
          <w:rFonts w:ascii="宋体" w:hAnsi="宋体" w:cs="宋体" w:eastAsia="宋体"/>
          <w:b/>
          <w:sz w:val="24"/>
        </w:rPr>
        <w:t>目的：</w:t>
      </w:r>
    </w:p>
    <w:p>
      <w:pPr>
        <w:pStyle w:val="Normal"/>
        <w:spacing w:lineRule="auto" w:line="360"/>
        <w:rPr>
          <w:rFonts w:ascii="宋体" w:hAnsi="宋体" w:eastAsia="宋体" w:cs="宋体"/>
          <w:sz w:val="24"/>
        </w:rPr>
      </w:pPr>
      <w:r>
        <w:rPr>
          <w:rFonts w:eastAsia="宋体" w:cs="宋体" w:ascii="宋体" w:hAnsi="宋体"/>
          <w:sz w:val="24"/>
        </w:rPr>
        <w:t xml:space="preserve">     </w:t>
      </w:r>
      <w:r>
        <w:rPr>
          <w:rFonts w:ascii="宋体" w:hAnsi="宋体" w:cs="宋体" w:eastAsia="宋体"/>
          <w:sz w:val="24"/>
        </w:rPr>
        <w:t>为识别、评估和控制公司质量管理体系中的风险和机遇，有效抵抗风险，把握机遇，特制定本制度。</w:t>
      </w:r>
    </w:p>
    <w:p>
      <w:pPr>
        <w:pStyle w:val="Normal"/>
        <w:numPr>
          <w:ilvl w:val="0"/>
          <w:numId w:val="2"/>
        </w:numPr>
        <w:tabs>
          <w:tab w:val="clear" w:pos="420"/>
          <w:tab w:val="left" w:pos="360" w:leader="none"/>
        </w:tabs>
        <w:spacing w:lineRule="auto" w:line="360"/>
        <w:rPr>
          <w:rFonts w:ascii="宋体" w:hAnsi="宋体" w:eastAsia="宋体" w:cs="宋体"/>
          <w:b/>
          <w:b/>
          <w:sz w:val="24"/>
        </w:rPr>
      </w:pPr>
      <w:r>
        <w:rPr>
          <w:rFonts w:eastAsia="宋体" w:cs="宋体" w:ascii="宋体" w:hAnsi="宋体"/>
          <w:b/>
          <w:sz w:val="24"/>
        </w:rPr>
        <w:t xml:space="preserve"> </w:t>
      </w:r>
      <w:r>
        <w:rPr>
          <w:rFonts w:ascii="宋体" w:hAnsi="宋体" w:cs="宋体" w:eastAsia="宋体"/>
          <w:b/>
          <w:sz w:val="24"/>
        </w:rPr>
        <w:t>范围：</w:t>
      </w:r>
    </w:p>
    <w:p>
      <w:pPr>
        <w:pStyle w:val="Normal"/>
        <w:spacing w:lineRule="auto" w:line="360"/>
        <w:ind w:firstLine="480"/>
        <w:rPr>
          <w:rFonts w:ascii="宋体" w:hAnsi="宋体" w:eastAsia="宋体" w:cs="宋体"/>
          <w:sz w:val="24"/>
        </w:rPr>
      </w:pPr>
      <w:r>
        <w:rPr>
          <w:rFonts w:ascii="宋体" w:hAnsi="宋体" w:cs="宋体" w:eastAsia="宋体"/>
          <w:sz w:val="24"/>
        </w:rPr>
        <w:t>适用于公司各部门识别、评估和控制质量管理体系中的风险和机遇。</w:t>
      </w:r>
    </w:p>
    <w:p>
      <w:pPr>
        <w:pStyle w:val="Normal"/>
        <w:numPr>
          <w:ilvl w:val="0"/>
          <w:numId w:val="2"/>
        </w:numPr>
        <w:tabs>
          <w:tab w:val="clear" w:pos="420"/>
          <w:tab w:val="left" w:pos="360" w:leader="none"/>
        </w:tabs>
        <w:spacing w:lineRule="auto" w:line="360"/>
        <w:rPr>
          <w:rFonts w:ascii="宋体" w:hAnsi="宋体" w:eastAsia="宋体" w:cs="宋体"/>
          <w:b/>
          <w:b/>
          <w:sz w:val="24"/>
        </w:rPr>
      </w:pPr>
      <w:r>
        <w:rPr>
          <w:rFonts w:eastAsia="宋体" w:cs="宋体" w:ascii="宋体" w:hAnsi="宋体"/>
          <w:b/>
          <w:sz w:val="24"/>
        </w:rPr>
        <w:t xml:space="preserve"> </w:t>
      </w:r>
      <w:r>
        <w:rPr>
          <w:rFonts w:ascii="宋体" w:hAnsi="宋体" w:cs="宋体" w:eastAsia="宋体"/>
          <w:b/>
          <w:sz w:val="24"/>
        </w:rPr>
        <w:t>术语和定义：</w:t>
      </w:r>
    </w:p>
    <w:p>
      <w:pPr>
        <w:pStyle w:val="Normal"/>
        <w:spacing w:lineRule="auto" w:line="360"/>
        <w:ind w:firstLine="480"/>
        <w:rPr>
          <w:rFonts w:ascii="宋体" w:hAnsi="宋体" w:eastAsia="宋体" w:cs="宋体"/>
          <w:sz w:val="24"/>
        </w:rPr>
      </w:pPr>
      <w:r>
        <w:rPr>
          <w:rFonts w:ascii="宋体" w:hAnsi="宋体" w:cs="宋体" w:eastAsia="宋体"/>
          <w:sz w:val="24"/>
        </w:rPr>
        <w:t>以下术语适用于本程序</w:t>
      </w:r>
    </w:p>
    <w:p>
      <w:pPr>
        <w:pStyle w:val="Normal"/>
        <w:spacing w:lineRule="auto" w:line="360"/>
        <w:rPr>
          <w:rFonts w:ascii="宋体" w:hAnsi="宋体" w:eastAsia="宋体" w:cs="宋体"/>
          <w:sz w:val="24"/>
        </w:rPr>
      </w:pPr>
      <w:r>
        <w:rPr>
          <w:rFonts w:eastAsia="宋体" w:cs="宋体" w:ascii="宋体" w:hAnsi="宋体"/>
          <w:sz w:val="24"/>
        </w:rPr>
        <w:t>3.1</w:t>
      </w:r>
      <w:r>
        <w:rPr>
          <w:rFonts w:ascii="宋体" w:hAnsi="宋体" w:cs="宋体" w:eastAsia="宋体"/>
          <w:sz w:val="24"/>
        </w:rPr>
        <w:t>风险：在一定环境下和一定限期内</w:t>
      </w:r>
      <w:hyperlink r:id="rId5" w:tgtFrame="_blank">
        <w:r>
          <w:rPr>
            <w:rStyle w:val="InternetLink"/>
            <w:rFonts w:ascii="宋体" w:hAnsi="宋体" w:cs="宋体" w:eastAsia="宋体"/>
            <w:sz w:val="24"/>
          </w:rPr>
          <w:t>客观</w:t>
        </w:r>
      </w:hyperlink>
      <w:r>
        <w:rPr>
          <w:rFonts w:ascii="宋体" w:hAnsi="宋体" w:cs="宋体" w:eastAsia="宋体"/>
          <w:sz w:val="24"/>
        </w:rPr>
        <w:t>存在的、影响企业目标实现的各种不确定性事件。</w:t>
      </w:r>
    </w:p>
    <w:p>
      <w:pPr>
        <w:pStyle w:val="Normal"/>
        <w:spacing w:lineRule="auto" w:line="360"/>
        <w:rPr>
          <w:rFonts w:ascii="宋体" w:hAnsi="宋体" w:eastAsia="宋体" w:cs="宋体"/>
          <w:sz w:val="24"/>
        </w:rPr>
      </w:pPr>
      <w:r>
        <w:rPr>
          <w:rFonts w:eastAsia="宋体" w:cs="宋体" w:ascii="宋体" w:hAnsi="宋体"/>
          <w:sz w:val="24"/>
        </w:rPr>
        <w:t>3.2</w:t>
      </w:r>
      <w:r>
        <w:rPr>
          <w:rFonts w:ascii="宋体" w:hAnsi="宋体" w:cs="宋体" w:eastAsia="宋体"/>
          <w:sz w:val="24"/>
        </w:rPr>
        <w:t>机遇：对企业有正面影响的条件和事件</w:t>
      </w:r>
      <w:r>
        <w:rPr>
          <w:rFonts w:eastAsia="宋体" w:cs="宋体" w:ascii="宋体" w:hAnsi="宋体"/>
          <w:sz w:val="24"/>
        </w:rPr>
        <w:t>,</w:t>
      </w:r>
      <w:r>
        <w:rPr>
          <w:rFonts w:ascii="宋体" w:hAnsi="宋体" w:cs="宋体" w:eastAsia="宋体"/>
          <w:sz w:val="24"/>
        </w:rPr>
        <w:t>包括某些突发事件等。</w:t>
      </w:r>
    </w:p>
    <w:p>
      <w:pPr>
        <w:pStyle w:val="Normal"/>
        <w:spacing w:lineRule="auto" w:line="360"/>
        <w:rPr>
          <w:rFonts w:ascii="宋体" w:hAnsi="宋体" w:eastAsia="宋体" w:cs="宋体"/>
          <w:sz w:val="24"/>
        </w:rPr>
      </w:pPr>
      <w:r>
        <w:rPr>
          <w:rFonts w:eastAsia="宋体" w:cs="宋体" w:ascii="宋体" w:hAnsi="宋体"/>
          <w:sz w:val="24"/>
        </w:rPr>
        <w:t>3.3</w:t>
      </w:r>
      <w:r>
        <w:rPr>
          <w:rFonts w:ascii="宋体" w:hAnsi="宋体" w:cs="宋体" w:eastAsia="宋体"/>
          <w:sz w:val="24"/>
        </w:rPr>
        <w:t>风险评估：在</w:t>
      </w:r>
      <w:hyperlink r:id="rId6" w:tgtFrame="_blank">
        <w:r>
          <w:rPr>
            <w:rStyle w:val="InternetLink"/>
            <w:rFonts w:ascii="宋体" w:hAnsi="宋体" w:cs="宋体" w:eastAsia="宋体"/>
            <w:sz w:val="24"/>
          </w:rPr>
          <w:t>风险事件</w:t>
        </w:r>
      </w:hyperlink>
      <w:r>
        <w:rPr>
          <w:rFonts w:ascii="宋体" w:hAnsi="宋体" w:cs="宋体" w:eastAsia="宋体"/>
          <w:sz w:val="24"/>
        </w:rPr>
        <w:t>发生之前或之后（但还没有结束），该事件给各个方面造成的影响和损失的可能性进行量化评估的工作。即</w:t>
      </w:r>
      <w:r>
        <w:rPr>
          <w:rFonts w:eastAsia="宋体" w:cs="宋体" w:ascii="宋体" w:hAnsi="宋体"/>
          <w:sz w:val="24"/>
        </w:rPr>
        <w:t>,</w:t>
      </w:r>
      <w:hyperlink r:id="rId7" w:tgtFrame="_blank">
        <w:r>
          <w:rPr>
            <w:rStyle w:val="InternetLink"/>
            <w:rFonts w:ascii="宋体" w:hAnsi="宋体" w:cs="宋体" w:eastAsia="宋体"/>
            <w:sz w:val="24"/>
          </w:rPr>
          <w:t>风险评估</w:t>
        </w:r>
      </w:hyperlink>
      <w:r>
        <w:rPr>
          <w:rFonts w:ascii="宋体" w:hAnsi="宋体" w:cs="宋体" w:eastAsia="宋体"/>
          <w:sz w:val="24"/>
        </w:rPr>
        <w:t>就是量化</w:t>
      </w:r>
      <w:hyperlink r:id="rId8" w:tgtFrame="_blank">
        <w:r>
          <w:rPr>
            <w:rStyle w:val="InternetLink"/>
            <w:rFonts w:ascii="宋体" w:hAnsi="宋体" w:cs="宋体" w:eastAsia="宋体"/>
            <w:sz w:val="24"/>
          </w:rPr>
          <w:t>测评</w:t>
        </w:r>
      </w:hyperlink>
      <w:r>
        <w:rPr>
          <w:rFonts w:ascii="宋体" w:hAnsi="宋体" w:cs="宋体" w:eastAsia="宋体"/>
          <w:sz w:val="24"/>
        </w:rPr>
        <w:t>某一事件或事物带来的影响或损失的可能程度。</w:t>
      </w:r>
    </w:p>
    <w:p>
      <w:pPr>
        <w:pStyle w:val="Normal"/>
        <w:spacing w:lineRule="auto" w:line="360"/>
        <w:rPr>
          <w:rFonts w:ascii="宋体" w:hAnsi="宋体" w:eastAsia="宋体" w:cs="宋体"/>
          <w:sz w:val="24"/>
        </w:rPr>
      </w:pPr>
      <w:r>
        <w:rPr>
          <w:rFonts w:eastAsia="宋体" w:cs="宋体" w:ascii="宋体" w:hAnsi="宋体"/>
          <w:sz w:val="24"/>
        </w:rPr>
        <w:t>3.4</w:t>
      </w:r>
      <w:r>
        <w:rPr>
          <w:rFonts w:ascii="宋体" w:hAnsi="宋体" w:cs="宋体" w:eastAsia="宋体"/>
          <w:sz w:val="24"/>
        </w:rPr>
        <w:t>风险规避：风险规避是风险应对的一种方法，是指通过有计划的变更来消除风险或风险发生的条件，保护目标免受风险的影响。风险规避并不意味着完全消除风险，我们所要规避的是风险可能给我们造成的损失。一是要降低损失发生的机率，这主要是采取事先控制措施；二是要降低</w:t>
      </w:r>
      <w:hyperlink r:id="rId9" w:tgtFrame="_blank">
        <w:r>
          <w:rPr>
            <w:rStyle w:val="InternetLink"/>
            <w:rFonts w:ascii="宋体" w:hAnsi="宋体" w:cs="宋体" w:eastAsia="宋体"/>
            <w:sz w:val="24"/>
          </w:rPr>
          <w:t>损失程度</w:t>
        </w:r>
      </w:hyperlink>
      <w:r>
        <w:rPr>
          <w:rFonts w:ascii="宋体" w:hAnsi="宋体" w:cs="宋体" w:eastAsia="宋体"/>
          <w:sz w:val="24"/>
        </w:rPr>
        <w:t>，这主要包括事先控制、事后补救两个方面。</w:t>
      </w:r>
    </w:p>
    <w:p>
      <w:pPr>
        <w:pStyle w:val="Normal"/>
        <w:spacing w:lineRule="auto" w:line="360"/>
        <w:rPr>
          <w:rFonts w:ascii="宋体" w:hAnsi="宋体" w:eastAsia="宋体" w:cs="宋体"/>
          <w:sz w:val="24"/>
        </w:rPr>
      </w:pPr>
      <w:r>
        <w:rPr>
          <w:rFonts w:eastAsia="宋体" w:cs="宋体" w:ascii="宋体" w:hAnsi="宋体"/>
          <w:sz w:val="24"/>
        </w:rPr>
        <w:t>3.5</w:t>
      </w:r>
      <w:r>
        <w:rPr>
          <w:rFonts w:ascii="宋体" w:hAnsi="宋体" w:cs="宋体" w:eastAsia="宋体"/>
          <w:sz w:val="24"/>
        </w:rPr>
        <w:t>风险降低：通过采取措施以达到降低风险的效果。一般情况下，若采取的措施能够有效的降低所遭受的风险，应将采取措施的记录进行保留或者写入文件进行归档，以便后期重复发生时作为改善的依据。</w:t>
      </w:r>
    </w:p>
    <w:p>
      <w:pPr>
        <w:pStyle w:val="Normal"/>
        <w:spacing w:lineRule="auto" w:line="360"/>
        <w:rPr>
          <w:rFonts w:ascii="宋体" w:hAnsi="宋体" w:eastAsia="宋体" w:cs="宋体"/>
          <w:sz w:val="24"/>
        </w:rPr>
      </w:pPr>
      <w:r>
        <w:rPr>
          <w:rFonts w:eastAsia="宋体" w:cs="宋体" w:ascii="宋体" w:hAnsi="宋体"/>
          <w:sz w:val="24"/>
        </w:rPr>
        <w:t>3.6</w:t>
      </w:r>
      <w:r>
        <w:rPr>
          <w:rFonts w:ascii="宋体" w:hAnsi="宋体" w:cs="宋体" w:eastAsia="宋体"/>
          <w:sz w:val="24"/>
        </w:rPr>
        <w:t>风险接受：是指企业承担风险造成的损失。风险接受一般适用于那些造成损失较小、重复性较高的风险、最适合于自留的风险事件。</w:t>
      </w:r>
    </w:p>
    <w:p>
      <w:pPr>
        <w:pStyle w:val="Normal"/>
        <w:spacing w:lineRule="auto" w:line="360"/>
        <w:rPr>
          <w:rFonts w:ascii="宋体" w:hAnsi="宋体" w:eastAsia="宋体" w:cs="宋体"/>
          <w:sz w:val="24"/>
        </w:rPr>
      </w:pPr>
      <w:r>
        <w:rPr>
          <w:rFonts w:eastAsia="宋体" w:cs="宋体" w:ascii="宋体" w:hAnsi="宋体"/>
          <w:sz w:val="24"/>
        </w:rPr>
        <w:t>3.7</w:t>
      </w:r>
      <w:r>
        <w:rPr>
          <w:rFonts w:ascii="宋体" w:hAnsi="宋体" w:cs="宋体" w:eastAsia="宋体"/>
          <w:sz w:val="24"/>
        </w:rPr>
        <w:t>内部风险：企业内部形成的风险</w:t>
      </w:r>
      <w:r>
        <w:rPr>
          <w:rFonts w:eastAsia="宋体" w:cs="宋体" w:ascii="宋体" w:hAnsi="宋体"/>
          <w:sz w:val="24"/>
        </w:rPr>
        <w:t>,</w:t>
      </w:r>
      <w:r>
        <w:rPr>
          <w:rFonts w:ascii="宋体" w:hAnsi="宋体" w:cs="宋体" w:eastAsia="宋体"/>
          <w:sz w:val="24"/>
        </w:rPr>
        <w:t>例如战略决策风险、环境风险、财务风险、管理风险、经营风险等。</w:t>
      </w:r>
    </w:p>
    <w:p>
      <w:pPr>
        <w:pStyle w:val="Normal"/>
        <w:spacing w:lineRule="auto" w:line="360"/>
        <w:rPr>
          <w:rFonts w:ascii="宋体" w:hAnsi="宋体" w:eastAsia="宋体" w:cs="宋体"/>
          <w:sz w:val="24"/>
        </w:rPr>
      </w:pPr>
      <w:r>
        <w:rPr>
          <w:rFonts w:eastAsia="宋体" w:cs="宋体" w:ascii="宋体" w:hAnsi="宋体"/>
          <w:sz w:val="24"/>
        </w:rPr>
        <w:t>3.8</w:t>
      </w:r>
      <w:r>
        <w:rPr>
          <w:rFonts w:ascii="宋体" w:hAnsi="宋体" w:cs="宋体" w:eastAsia="宋体"/>
          <w:sz w:val="24"/>
        </w:rPr>
        <w:t>外部风险：由外部影响因素导致的风险，例如政策风险、市场需求风险和业务风险等。</w:t>
      </w:r>
    </w:p>
    <w:p>
      <w:pPr>
        <w:pStyle w:val="Normal"/>
        <w:spacing w:lineRule="auto" w:line="360"/>
        <w:rPr>
          <w:rFonts w:ascii="宋体" w:hAnsi="宋体" w:eastAsia="宋体" w:cs="宋体"/>
          <w:sz w:val="24"/>
        </w:rPr>
      </w:pPr>
      <w:r>
        <w:rPr>
          <w:rFonts w:eastAsia="宋体" w:cs="宋体" w:ascii="宋体" w:hAnsi="宋体"/>
          <w:sz w:val="24"/>
        </w:rPr>
        <w:t>3.9</w:t>
      </w:r>
      <w:r>
        <w:rPr>
          <w:rFonts w:ascii="宋体" w:hAnsi="宋体" w:cs="宋体" w:eastAsia="宋体"/>
          <w:sz w:val="24"/>
        </w:rPr>
        <w:t>风险严重度：风险发生后其所产生的影响的严重程度。</w:t>
      </w:r>
    </w:p>
    <w:p>
      <w:pPr>
        <w:pStyle w:val="Normal"/>
        <w:spacing w:lineRule="auto" w:line="360"/>
        <w:rPr>
          <w:rFonts w:ascii="宋体" w:hAnsi="宋体" w:eastAsia="宋体" w:cs="宋体"/>
          <w:sz w:val="24"/>
        </w:rPr>
      </w:pPr>
      <w:r>
        <w:rPr>
          <w:rFonts w:eastAsia="宋体" w:cs="宋体" w:ascii="宋体" w:hAnsi="宋体"/>
          <w:sz w:val="24"/>
        </w:rPr>
        <w:t>3.10</w:t>
      </w:r>
      <w:r>
        <w:rPr>
          <w:rFonts w:ascii="宋体" w:hAnsi="宋体" w:cs="宋体" w:eastAsia="宋体"/>
          <w:sz w:val="24"/>
        </w:rPr>
        <w:t>风险发生频度：风险出现的频率或者概率。</w:t>
      </w:r>
    </w:p>
    <w:p>
      <w:pPr>
        <w:pStyle w:val="Normal"/>
        <w:spacing w:lineRule="auto" w:line="360"/>
        <w:rPr>
          <w:rFonts w:ascii="宋体" w:hAnsi="宋体" w:eastAsia="宋体" w:cs="宋体"/>
          <w:sz w:val="24"/>
        </w:rPr>
      </w:pPr>
      <w:r>
        <w:rPr>
          <w:rFonts w:eastAsia="宋体" w:cs="宋体" w:ascii="宋体" w:hAnsi="宋体"/>
          <w:sz w:val="24"/>
        </w:rPr>
        <w:t>3.11</w:t>
      </w:r>
      <w:r>
        <w:rPr>
          <w:rFonts w:ascii="宋体" w:hAnsi="宋体" w:cs="宋体" w:eastAsia="宋体"/>
          <w:sz w:val="24"/>
        </w:rPr>
        <w:t>风险系数：风险系数用于评定是否对已识别的风险采取措施，风险系数</w:t>
      </w:r>
      <w:r>
        <w:rPr>
          <w:rFonts w:eastAsia="宋体" w:cs="宋体" w:ascii="宋体" w:hAnsi="宋体"/>
          <w:sz w:val="24"/>
        </w:rPr>
        <w:t>=</w:t>
      </w:r>
      <w:r>
        <w:rPr>
          <w:rFonts w:ascii="宋体" w:hAnsi="宋体" w:cs="宋体" w:eastAsia="宋体"/>
          <w:sz w:val="24"/>
        </w:rPr>
        <w:t>风险严重度</w:t>
      </w:r>
      <w:r>
        <w:rPr>
          <w:rFonts w:eastAsia="宋体" w:cs="宋体" w:ascii="宋体" w:hAnsi="宋体"/>
          <w:sz w:val="24"/>
        </w:rPr>
        <w:t>x</w:t>
      </w:r>
      <w:r>
        <w:rPr>
          <w:rFonts w:ascii="宋体" w:hAnsi="宋体" w:cs="宋体" w:eastAsia="宋体"/>
          <w:sz w:val="24"/>
        </w:rPr>
        <w:t>风险发生频度。</w:t>
      </w:r>
    </w:p>
    <w:p>
      <w:pPr>
        <w:pStyle w:val="Normal"/>
        <w:spacing w:lineRule="auto" w:line="360"/>
        <w:rPr>
          <w:rFonts w:ascii="宋体" w:hAnsi="宋体" w:eastAsia="宋体" w:cs="宋体"/>
          <w:b/>
          <w:b/>
          <w:sz w:val="24"/>
        </w:rPr>
      </w:pPr>
      <w:r>
        <w:rPr>
          <w:rFonts w:eastAsia="宋体" w:cs="宋体" w:ascii="宋体" w:hAnsi="宋体"/>
          <w:b/>
          <w:sz w:val="24"/>
        </w:rPr>
        <w:t xml:space="preserve">4 </w:t>
      </w:r>
      <w:r>
        <w:rPr>
          <w:rFonts w:ascii="宋体" w:hAnsi="宋体" w:cs="宋体" w:eastAsia="宋体"/>
          <w:b/>
          <w:sz w:val="24"/>
        </w:rPr>
        <w:t>职责</w:t>
      </w:r>
    </w:p>
    <w:p>
      <w:pPr>
        <w:pStyle w:val="Normal"/>
        <w:spacing w:lineRule="auto" w:line="360"/>
        <w:rPr>
          <w:rFonts w:ascii="宋体" w:hAnsi="宋体" w:eastAsia="宋体" w:cs="宋体"/>
          <w:sz w:val="24"/>
        </w:rPr>
      </w:pPr>
      <w:r>
        <w:rPr>
          <w:rFonts w:eastAsia="宋体" w:cs="宋体" w:ascii="宋体" w:hAnsi="宋体"/>
          <w:sz w:val="24"/>
        </w:rPr>
        <w:t xml:space="preserve">4.1 </w:t>
      </w:r>
      <w:r>
        <w:rPr>
          <w:rFonts w:ascii="宋体" w:hAnsi="宋体" w:cs="宋体" w:eastAsia="宋体"/>
          <w:sz w:val="24"/>
        </w:rPr>
        <w:t>总经理：负责风险管理所需资源的提供，包括人员资格、必要的培训、信息获取等。负责风险可接受准则的确定，并按制定的评审周期保持对风险和机遇管理的评审。</w:t>
      </w:r>
    </w:p>
    <w:p>
      <w:pPr>
        <w:pStyle w:val="Normal"/>
        <w:spacing w:lineRule="auto" w:line="360"/>
        <w:rPr>
          <w:rFonts w:ascii="宋体" w:hAnsi="宋体" w:eastAsia="宋体" w:cs="宋体"/>
          <w:sz w:val="24"/>
        </w:rPr>
      </w:pPr>
      <w:r>
        <w:rPr>
          <w:rFonts w:eastAsia="宋体" w:cs="宋体" w:ascii="宋体" w:hAnsi="宋体"/>
          <w:sz w:val="24"/>
        </w:rPr>
        <w:t xml:space="preserve">4.2 </w:t>
      </w:r>
      <w:r>
        <w:rPr>
          <w:rFonts w:ascii="宋体" w:hAnsi="宋体" w:cs="宋体" w:eastAsia="宋体"/>
          <w:sz w:val="24"/>
        </w:rPr>
        <w:t>管理者代表：负责按本文件所要求的周期组织实施风险和机遇的评审，落实跟进风险和机遇评估中所采取措施的完成情况并跟进落实措施的有效性，并项总经理汇报风险管理的进展。</w:t>
      </w:r>
    </w:p>
    <w:p>
      <w:pPr>
        <w:pStyle w:val="Normal"/>
        <w:spacing w:lineRule="auto" w:line="360"/>
        <w:rPr>
          <w:rFonts w:ascii="宋体" w:hAnsi="宋体" w:eastAsia="宋体" w:cs="宋体"/>
          <w:sz w:val="24"/>
        </w:rPr>
      </w:pPr>
      <w:r>
        <w:rPr>
          <w:rFonts w:eastAsia="宋体" w:cs="宋体" w:ascii="宋体" w:hAnsi="宋体"/>
          <w:sz w:val="24"/>
        </w:rPr>
        <w:t>4.3</w:t>
      </w:r>
      <w:r>
        <w:rPr>
          <w:rFonts w:ascii="宋体" w:hAnsi="宋体" w:cs="宋体" w:eastAsia="宋体"/>
          <w:b/>
          <w:sz w:val="24"/>
        </w:rPr>
        <w:t>质量部</w:t>
      </w:r>
      <w:r>
        <w:rPr>
          <w:rFonts w:ascii="宋体" w:hAnsi="宋体" w:cs="宋体" w:eastAsia="宋体"/>
          <w:sz w:val="24"/>
        </w:rPr>
        <w:t>：负责建立《风险分析和识别评价控制程序》，并进行维护，协助管理者代表开展风险管理，负责本部门的风险评价及应对风险的策划和应对风险措施的执行和监督。</w:t>
      </w:r>
    </w:p>
    <w:p>
      <w:pPr>
        <w:pStyle w:val="Normal"/>
        <w:spacing w:lineRule="auto" w:line="360"/>
        <w:rPr>
          <w:rFonts w:ascii="宋体" w:hAnsi="宋体" w:eastAsia="宋体" w:cs="宋体"/>
          <w:sz w:val="24"/>
        </w:rPr>
      </w:pPr>
      <w:r>
        <w:rPr>
          <w:rFonts w:eastAsia="宋体" w:cs="宋体" w:ascii="宋体" w:hAnsi="宋体"/>
          <w:sz w:val="24"/>
        </w:rPr>
        <w:t xml:space="preserve">4.3 </w:t>
      </w:r>
      <w:r>
        <w:rPr>
          <w:rFonts w:ascii="宋体" w:hAnsi="宋体" w:cs="宋体" w:eastAsia="宋体"/>
          <w:sz w:val="24"/>
        </w:rPr>
        <w:t>其他各部门：负责本部门的风险识别评价，并制定相应的措施以规避或者降低风险并落实执行。</w:t>
      </w:r>
    </w:p>
    <w:p>
      <w:pPr>
        <w:pStyle w:val="Normal"/>
        <w:spacing w:lineRule="auto" w:line="360"/>
        <w:rPr>
          <w:rFonts w:ascii="宋体" w:hAnsi="宋体" w:eastAsia="宋体" w:cs="宋体"/>
          <w:b/>
          <w:b/>
          <w:sz w:val="24"/>
        </w:rPr>
      </w:pPr>
      <w:r>
        <w:rPr>
          <w:rFonts w:eastAsia="宋体" w:cs="宋体" w:ascii="宋体" w:hAnsi="宋体"/>
          <w:b/>
          <w:sz w:val="24"/>
        </w:rPr>
        <w:t xml:space="preserve">5 </w:t>
      </w:r>
      <w:r>
        <w:rPr>
          <w:rFonts w:ascii="宋体" w:hAnsi="宋体" w:cs="宋体" w:eastAsia="宋体"/>
          <w:b/>
          <w:sz w:val="24"/>
        </w:rPr>
        <w:t>工作程序</w:t>
      </w:r>
    </w:p>
    <w:p>
      <w:pPr>
        <w:pStyle w:val="Normal"/>
        <w:spacing w:lineRule="auto" w:line="360"/>
        <w:rPr>
          <w:rFonts w:ascii="宋体" w:hAnsi="宋体" w:eastAsia="宋体" w:cs="宋体"/>
          <w:b/>
          <w:b/>
          <w:sz w:val="24"/>
        </w:rPr>
      </w:pPr>
      <w:r>
        <w:rPr>
          <w:rFonts w:eastAsia="宋体" w:cs="宋体" w:ascii="宋体" w:hAnsi="宋体"/>
          <w:b/>
          <w:sz w:val="24"/>
        </w:rPr>
        <w:t xml:space="preserve">5.1 </w:t>
      </w:r>
      <w:r>
        <w:rPr>
          <w:rFonts w:ascii="宋体" w:hAnsi="宋体" w:cs="宋体" w:eastAsia="宋体"/>
          <w:b/>
          <w:sz w:val="24"/>
        </w:rPr>
        <w:t>风险和机遇的识别</w:t>
      </w:r>
    </w:p>
    <w:p>
      <w:pPr>
        <w:pStyle w:val="Normal"/>
        <w:spacing w:lineRule="auto" w:line="360"/>
        <w:rPr>
          <w:rFonts w:ascii="宋体" w:hAnsi="宋体" w:eastAsia="宋体" w:cs="宋体"/>
          <w:sz w:val="24"/>
        </w:rPr>
      </w:pPr>
      <w:r>
        <w:rPr>
          <w:rFonts w:eastAsia="宋体" w:cs="宋体" w:ascii="宋体" w:hAnsi="宋体"/>
          <w:sz w:val="24"/>
        </w:rPr>
        <w:t>5.1.1</w:t>
      </w:r>
      <w:r>
        <w:rPr>
          <w:rFonts w:ascii="宋体" w:hAnsi="宋体" w:cs="宋体" w:eastAsia="宋体"/>
          <w:sz w:val="24"/>
        </w:rPr>
        <w:t>风险和机遇的来源：</w:t>
      </w:r>
    </w:p>
    <w:p>
      <w:pPr>
        <w:pStyle w:val="Normal"/>
        <w:spacing w:lineRule="auto" w:line="360"/>
        <w:rPr>
          <w:rFonts w:ascii="宋体" w:hAnsi="宋体" w:eastAsia="宋体" w:cs="宋体"/>
          <w:sz w:val="24"/>
        </w:rPr>
      </w:pPr>
      <w:r>
        <w:rPr>
          <w:rFonts w:eastAsia="宋体" w:cs="宋体" w:ascii="宋体" w:hAnsi="宋体"/>
          <w:sz w:val="24"/>
        </w:rPr>
        <w:t>1</w:t>
      </w:r>
      <w:r>
        <w:rPr>
          <w:rFonts w:ascii="宋体" w:hAnsi="宋体" w:cs="宋体" w:eastAsia="宋体"/>
          <w:sz w:val="24"/>
        </w:rPr>
        <w:t>）公司活动、产品、服务及运行过程中的风险和机遇；</w:t>
      </w:r>
    </w:p>
    <w:p>
      <w:pPr>
        <w:pStyle w:val="Normal"/>
        <w:spacing w:lineRule="auto" w:line="360"/>
        <w:rPr>
          <w:rFonts w:ascii="宋体" w:hAnsi="宋体" w:eastAsia="宋体" w:cs="宋体"/>
          <w:sz w:val="24"/>
        </w:rPr>
      </w:pPr>
      <w:r>
        <w:rPr>
          <w:rFonts w:eastAsia="宋体" w:cs="宋体" w:ascii="宋体" w:hAnsi="宋体"/>
          <w:sz w:val="24"/>
        </w:rPr>
        <w:t>2</w:t>
      </w:r>
      <w:r>
        <w:rPr>
          <w:rFonts w:ascii="宋体" w:hAnsi="宋体" w:cs="宋体" w:eastAsia="宋体"/>
          <w:sz w:val="24"/>
        </w:rPr>
        <w:t>）组织的内外部环境分析中识别的风险和机遇；</w:t>
      </w:r>
    </w:p>
    <w:p>
      <w:pPr>
        <w:pStyle w:val="Normal"/>
        <w:spacing w:lineRule="auto" w:line="360"/>
        <w:rPr>
          <w:rFonts w:ascii="宋体" w:hAnsi="宋体" w:eastAsia="宋体" w:cs="宋体"/>
          <w:sz w:val="24"/>
        </w:rPr>
      </w:pPr>
      <w:r>
        <w:rPr>
          <w:rFonts w:eastAsia="宋体" w:cs="宋体" w:ascii="宋体" w:hAnsi="宋体"/>
          <w:sz w:val="24"/>
        </w:rPr>
        <w:t>3</w:t>
      </w:r>
      <w:r>
        <w:rPr>
          <w:rFonts w:ascii="宋体" w:hAnsi="宋体" w:cs="宋体" w:eastAsia="宋体"/>
          <w:sz w:val="24"/>
        </w:rPr>
        <w:t>）相关方的期望和要求带来的风险和机遇；</w:t>
      </w:r>
    </w:p>
    <w:p>
      <w:pPr>
        <w:pStyle w:val="Normal"/>
        <w:spacing w:lineRule="auto" w:line="360"/>
        <w:rPr>
          <w:rFonts w:ascii="宋体" w:hAnsi="宋体" w:eastAsia="宋体" w:cs="宋体"/>
          <w:sz w:val="24"/>
        </w:rPr>
      </w:pPr>
      <w:r>
        <w:rPr>
          <w:rFonts w:eastAsia="宋体" w:cs="宋体" w:ascii="宋体" w:hAnsi="宋体"/>
          <w:sz w:val="24"/>
        </w:rPr>
        <w:t>4</w:t>
      </w:r>
      <w:r>
        <w:rPr>
          <w:rFonts w:ascii="宋体" w:hAnsi="宋体" w:cs="宋体" w:eastAsia="宋体"/>
          <w:sz w:val="24"/>
        </w:rPr>
        <w:t>）其它影响公司运行的风险和机遇。</w:t>
      </w:r>
    </w:p>
    <w:p>
      <w:pPr>
        <w:pStyle w:val="Normal"/>
        <w:spacing w:lineRule="auto" w:line="360"/>
        <w:rPr>
          <w:rFonts w:ascii="宋体" w:hAnsi="宋体" w:eastAsia="宋体" w:cs="宋体"/>
          <w:sz w:val="24"/>
        </w:rPr>
      </w:pPr>
      <w:r>
        <w:rPr>
          <w:rFonts w:eastAsia="宋体" w:cs="宋体" w:ascii="宋体" w:hAnsi="宋体"/>
          <w:sz w:val="24"/>
        </w:rPr>
        <w:t>5.1.2</w:t>
      </w:r>
      <w:r>
        <w:rPr>
          <w:rFonts w:ascii="宋体" w:hAnsi="宋体" w:cs="宋体" w:eastAsia="宋体"/>
          <w:b/>
          <w:sz w:val="24"/>
        </w:rPr>
        <w:t>质量部</w:t>
      </w:r>
      <w:r>
        <w:rPr>
          <w:rFonts w:ascii="宋体" w:hAnsi="宋体" w:cs="宋体" w:eastAsia="宋体"/>
          <w:sz w:val="24"/>
        </w:rPr>
        <w:t>编制《内外部环境识别评价表》</w:t>
      </w:r>
      <w:r>
        <w:rPr>
          <w:rFonts w:ascii="宋体" w:hAnsi="宋体" w:cs="宋体" w:eastAsia="宋体"/>
          <w:sz w:val="24"/>
          <w:lang w:eastAsia="zh-CN"/>
        </w:rPr>
        <w:t>、</w:t>
      </w:r>
      <w:r>
        <w:rPr>
          <w:rFonts w:ascii="宋体" w:hAnsi="宋体" w:cs="宋体" w:eastAsia="宋体"/>
          <w:sz w:val="24"/>
        </w:rPr>
        <w:t>《相关方需求和期望识别评价表》、《风险和机遇识别评价表》。</w:t>
      </w:r>
    </w:p>
    <w:p>
      <w:pPr>
        <w:pStyle w:val="Normal"/>
        <w:spacing w:lineRule="auto" w:line="360"/>
        <w:rPr>
          <w:rFonts w:ascii="宋体" w:hAnsi="宋体" w:eastAsia="宋体" w:cs="宋体"/>
          <w:sz w:val="24"/>
        </w:rPr>
      </w:pPr>
      <w:r>
        <w:rPr>
          <w:rFonts w:eastAsia="宋体" w:cs="宋体" w:ascii="宋体" w:hAnsi="宋体"/>
          <w:sz w:val="24"/>
        </w:rPr>
        <w:t>5.1.3</w:t>
      </w:r>
      <w:r>
        <w:rPr>
          <w:rFonts w:ascii="宋体" w:hAnsi="宋体" w:cs="宋体" w:eastAsia="宋体"/>
          <w:sz w:val="24"/>
        </w:rPr>
        <w:t>管理者代表组织各部门填写《组织内外部环境识别评价表》、《相关方需求和期望识别评价表》，确定与公司宗旨和战略方向相关并影响实现质量管理体系预期结果的内外部因素，及与公司质量管理体系有关的相关方的需求和期望识。在此基础上，从公司层面识别与质量管理体系有关的风险和机遇，并明确应对的部门，将所识别的风险和机遇汇总到《风险和机遇识别评价表》中。</w:t>
      </w:r>
    </w:p>
    <w:p>
      <w:pPr>
        <w:pStyle w:val="Normal"/>
        <w:spacing w:lineRule="auto" w:line="360"/>
        <w:rPr>
          <w:rFonts w:ascii="宋体" w:hAnsi="宋体" w:eastAsia="宋体" w:cs="宋体"/>
          <w:sz w:val="24"/>
        </w:rPr>
      </w:pPr>
      <w:r>
        <w:rPr>
          <w:rFonts w:eastAsia="宋体" w:cs="宋体" w:ascii="宋体" w:hAnsi="宋体"/>
          <w:sz w:val="24"/>
        </w:rPr>
        <w:t>5.1.4</w:t>
      </w:r>
      <w:r>
        <w:rPr>
          <w:rFonts w:ascii="宋体" w:hAnsi="宋体" w:cs="宋体" w:eastAsia="宋体"/>
          <w:sz w:val="24"/>
        </w:rPr>
        <w:t>管理者代表组织组织各部门识别各自业务过程中存在的风险和机遇，汇总到《风险和机遇识别评价表》，各部门职责划分见《质量手册》</w:t>
      </w:r>
      <w:r>
        <w:rPr>
          <w:rFonts w:eastAsia="宋体" w:cs="宋体" w:ascii="宋体" w:hAnsi="宋体"/>
          <w:sz w:val="24"/>
        </w:rPr>
        <w:t>5.3</w:t>
      </w:r>
      <w:r>
        <w:rPr>
          <w:rFonts w:ascii="宋体" w:hAnsi="宋体" w:cs="宋体" w:eastAsia="宋体"/>
          <w:sz w:val="24"/>
        </w:rPr>
        <w:t>。</w:t>
      </w:r>
    </w:p>
    <w:p>
      <w:pPr>
        <w:pStyle w:val="Normal"/>
        <w:spacing w:lineRule="auto" w:line="360"/>
        <w:rPr>
          <w:rFonts w:ascii="宋体" w:hAnsi="宋体" w:eastAsia="宋体" w:cs="宋体"/>
          <w:b/>
          <w:b/>
          <w:sz w:val="24"/>
        </w:rPr>
      </w:pPr>
      <w:r>
        <w:rPr>
          <w:rFonts w:eastAsia="宋体" w:cs="宋体" w:ascii="宋体" w:hAnsi="宋体"/>
          <w:b/>
          <w:sz w:val="24"/>
        </w:rPr>
        <w:t>5.2</w:t>
      </w:r>
      <w:r>
        <w:rPr>
          <w:rFonts w:ascii="宋体" w:hAnsi="宋体" w:cs="宋体" w:eastAsia="宋体"/>
          <w:b/>
          <w:sz w:val="24"/>
        </w:rPr>
        <w:t>风险评估和控制</w:t>
      </w:r>
    </w:p>
    <w:p>
      <w:pPr>
        <w:pStyle w:val="Normal"/>
        <w:spacing w:lineRule="auto" w:line="360"/>
        <w:rPr>
          <w:rFonts w:ascii="宋体" w:hAnsi="宋体" w:eastAsia="宋体" w:cs="宋体"/>
          <w:sz w:val="24"/>
        </w:rPr>
      </w:pPr>
      <w:r>
        <w:rPr>
          <w:rFonts w:eastAsia="宋体" w:cs="宋体" w:ascii="宋体" w:hAnsi="宋体"/>
          <w:sz w:val="24"/>
        </w:rPr>
        <w:t>5.2.1</w:t>
      </w:r>
      <w:r>
        <w:rPr>
          <w:rFonts w:ascii="宋体" w:hAnsi="宋体" w:cs="宋体" w:eastAsia="宋体"/>
          <w:sz w:val="24"/>
        </w:rPr>
        <w:t>风险评估</w:t>
      </w:r>
    </w:p>
    <w:p>
      <w:pPr>
        <w:pStyle w:val="Normal"/>
        <w:spacing w:lineRule="auto" w:line="360"/>
        <w:rPr>
          <w:rFonts w:ascii="宋体" w:hAnsi="宋体" w:eastAsia="宋体" w:cs="宋体"/>
          <w:sz w:val="24"/>
        </w:rPr>
      </w:pPr>
      <w:r>
        <w:rPr>
          <w:rFonts w:eastAsia="宋体" w:cs="宋体" w:ascii="宋体" w:hAnsi="宋体"/>
          <w:sz w:val="24"/>
        </w:rPr>
        <w:t>5.2.1.1</w:t>
      </w:r>
      <w:r>
        <w:rPr>
          <w:rFonts w:ascii="宋体" w:hAnsi="宋体" w:cs="宋体" w:eastAsia="宋体"/>
          <w:sz w:val="24"/>
        </w:rPr>
        <w:t>风险识别后，由管理者代表组织各部门开展风险评价，确定风险等级。</w:t>
      </w:r>
    </w:p>
    <w:p>
      <w:pPr>
        <w:pStyle w:val="Normal"/>
        <w:spacing w:lineRule="auto" w:line="360"/>
        <w:rPr>
          <w:rFonts w:ascii="宋体" w:hAnsi="宋体" w:eastAsia="宋体" w:cs="宋体"/>
          <w:sz w:val="24"/>
        </w:rPr>
      </w:pPr>
      <w:r>
        <w:rPr>
          <w:rFonts w:eastAsia="宋体" w:cs="宋体" w:ascii="宋体" w:hAnsi="宋体"/>
          <w:sz w:val="24"/>
        </w:rPr>
        <w:t>5.2.1.2</w:t>
      </w:r>
      <w:r>
        <w:rPr>
          <w:rFonts w:ascii="宋体" w:hAnsi="宋体" w:cs="宋体" w:eastAsia="宋体"/>
          <w:sz w:val="24"/>
        </w:rPr>
        <w:t>风险评分规则</w:t>
      </w:r>
    </w:p>
    <w:p>
      <w:pPr>
        <w:pStyle w:val="Normal"/>
        <w:spacing w:lineRule="auto" w:line="360"/>
        <w:rPr>
          <w:rFonts w:ascii="宋体" w:hAnsi="宋体" w:eastAsia="宋体" w:cs="宋体"/>
          <w:sz w:val="24"/>
        </w:rPr>
      </w:pPr>
      <w:r>
        <w:rPr>
          <w:rFonts w:eastAsia="宋体" w:cs="宋体" w:ascii="宋体" w:hAnsi="宋体"/>
          <w:sz w:val="24"/>
        </w:rPr>
        <w:t>A)</w:t>
      </w:r>
      <w:r>
        <w:rPr>
          <w:rFonts w:ascii="宋体" w:hAnsi="宋体" w:cs="宋体" w:eastAsia="宋体"/>
          <w:sz w:val="24"/>
        </w:rPr>
        <w:t>严重度</w:t>
      </w:r>
      <w:r>
        <w:rPr>
          <w:rFonts w:eastAsia="宋体" w:cs="宋体" w:ascii="宋体" w:hAnsi="宋体"/>
          <w:sz w:val="24"/>
        </w:rPr>
        <w:t>S</w:t>
      </w:r>
    </w:p>
    <w:tbl>
      <w:tblPr>
        <w:tblW w:w="9238" w:type="dxa"/>
        <w:jc w:val="left"/>
        <w:tblInd w:w="-20" w:type="dxa"/>
        <w:tblLayout w:type="fixed"/>
        <w:tblCellMar>
          <w:top w:w="0" w:type="dxa"/>
          <w:left w:w="108" w:type="dxa"/>
          <w:bottom w:w="0" w:type="dxa"/>
          <w:right w:w="108" w:type="dxa"/>
        </w:tblCellMar>
      </w:tblPr>
      <w:tblGrid>
        <w:gridCol w:w="1505"/>
        <w:gridCol w:w="2905"/>
        <w:gridCol w:w="2126"/>
        <w:gridCol w:w="1846"/>
        <w:gridCol w:w="856"/>
      </w:tblGrid>
      <w:tr>
        <w:trPr>
          <w:trHeight w:val="275" w:hRule="atLeast"/>
        </w:trPr>
        <w:tc>
          <w:tcPr>
            <w:tcW w:w="15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严重程度</w:t>
            </w:r>
          </w:p>
        </w:tc>
        <w:tc>
          <w:tcPr>
            <w:tcW w:w="290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法律法规、产品及其他要求</w:t>
            </w:r>
          </w:p>
        </w:tc>
        <w:tc>
          <w:tcPr>
            <w:tcW w:w="2126" w:type="dxa"/>
            <w:tcBorders>
              <w:top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财产损失</w:t>
            </w:r>
          </w:p>
        </w:tc>
        <w:tc>
          <w:tcPr>
            <w:tcW w:w="184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企业形象</w:t>
            </w:r>
          </w:p>
        </w:tc>
        <w:tc>
          <w:tcPr>
            <w:tcW w:w="85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严重等级</w:t>
            </w:r>
          </w:p>
        </w:tc>
      </w:tr>
      <w:tr>
        <w:trPr>
          <w:trHeight w:val="275" w:hRule="atLeast"/>
        </w:trPr>
        <w:tc>
          <w:tcPr>
            <w:tcW w:w="15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eastAsia="宋体" w:cs="宋体"/>
                <w:sz w:val="24"/>
              </w:rPr>
            </w:pPr>
            <w:r>
              <w:rPr>
                <w:rFonts w:eastAsia="宋体" w:cs="宋体" w:ascii="宋体" w:hAnsi="宋体"/>
                <w:sz w:val="24"/>
              </w:rPr>
            </w:r>
          </w:p>
        </w:tc>
        <w:tc>
          <w:tcPr>
            <w:tcW w:w="290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eastAsia="宋体" w:cs="宋体"/>
                <w:sz w:val="24"/>
              </w:rPr>
            </w:pPr>
            <w:r>
              <w:rPr>
                <w:rFonts w:eastAsia="宋体" w:cs="宋体" w:ascii="宋体" w:hAnsi="宋体"/>
                <w:sz w:val="24"/>
              </w:rPr>
            </w:r>
          </w:p>
        </w:tc>
        <w:tc>
          <w:tcPr>
            <w:tcW w:w="212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（万元）</w:t>
            </w:r>
          </w:p>
        </w:tc>
        <w:tc>
          <w:tcPr>
            <w:tcW w:w="18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eastAsia="宋体" w:cs="宋体"/>
                <w:sz w:val="24"/>
              </w:rPr>
            </w:pPr>
            <w:r>
              <w:rPr>
                <w:rFonts w:eastAsia="宋体" w:cs="宋体" w:ascii="宋体" w:hAnsi="宋体"/>
                <w:sz w:val="24"/>
              </w:rPr>
            </w:r>
          </w:p>
        </w:tc>
        <w:tc>
          <w:tcPr>
            <w:tcW w:w="85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eastAsia="宋体" w:cs="宋体"/>
                <w:sz w:val="24"/>
              </w:rPr>
            </w:pPr>
            <w:r>
              <w:rPr>
                <w:rFonts w:eastAsia="宋体" w:cs="宋体" w:ascii="宋体" w:hAnsi="宋体"/>
                <w:sz w:val="24"/>
              </w:rPr>
            </w:r>
          </w:p>
        </w:tc>
      </w:tr>
      <w:tr>
        <w:trPr>
          <w:trHeight w:val="275" w:hRule="atLeast"/>
        </w:trPr>
        <w:tc>
          <w:tcPr>
            <w:tcW w:w="1505"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非常严重</w:t>
            </w:r>
          </w:p>
        </w:tc>
        <w:tc>
          <w:tcPr>
            <w:tcW w:w="2905"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违反法律法规、国际</w:t>
            </w:r>
            <w:r>
              <w:rPr>
                <w:rFonts w:eastAsia="宋体" w:cs="宋体" w:ascii="宋体" w:hAnsi="宋体"/>
                <w:sz w:val="24"/>
              </w:rPr>
              <w:t>/</w:t>
            </w:r>
            <w:r>
              <w:rPr>
                <w:rFonts w:ascii="宋体" w:hAnsi="宋体" w:cs="宋体" w:eastAsia="宋体"/>
                <w:sz w:val="24"/>
              </w:rPr>
              <w:t>国家标准、客户标准</w:t>
            </w:r>
          </w:p>
        </w:tc>
        <w:tc>
          <w:tcPr>
            <w:tcW w:w="212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财产损失≥</w:t>
            </w:r>
            <w:r>
              <w:rPr>
                <w:rFonts w:eastAsia="宋体" w:cs="宋体" w:ascii="宋体" w:hAnsi="宋体"/>
                <w:sz w:val="24"/>
              </w:rPr>
              <w:t>10</w:t>
            </w:r>
          </w:p>
        </w:tc>
        <w:tc>
          <w:tcPr>
            <w:tcW w:w="184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重大影响</w:t>
            </w:r>
          </w:p>
        </w:tc>
        <w:tc>
          <w:tcPr>
            <w:tcW w:w="85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5</w:t>
            </w:r>
          </w:p>
        </w:tc>
      </w:tr>
      <w:tr>
        <w:trPr>
          <w:trHeight w:val="275" w:hRule="atLeast"/>
        </w:trPr>
        <w:tc>
          <w:tcPr>
            <w:tcW w:w="1505"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严重</w:t>
            </w:r>
          </w:p>
        </w:tc>
        <w:tc>
          <w:tcPr>
            <w:tcW w:w="2905"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省内标准、行业标准</w:t>
            </w:r>
          </w:p>
        </w:tc>
        <w:tc>
          <w:tcPr>
            <w:tcW w:w="212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10</w:t>
            </w:r>
            <w:r>
              <w:rPr>
                <w:rFonts w:ascii="宋体" w:hAnsi="宋体" w:cs="宋体" w:eastAsia="宋体"/>
                <w:sz w:val="24"/>
              </w:rPr>
              <w:t>＞财产损失≥</w:t>
            </w:r>
            <w:r>
              <w:rPr>
                <w:rFonts w:eastAsia="宋体" w:cs="宋体" w:ascii="宋体" w:hAnsi="宋体"/>
                <w:sz w:val="24"/>
              </w:rPr>
              <w:t>5</w:t>
            </w:r>
          </w:p>
        </w:tc>
        <w:tc>
          <w:tcPr>
            <w:tcW w:w="184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严重影响</w:t>
            </w:r>
          </w:p>
        </w:tc>
        <w:tc>
          <w:tcPr>
            <w:tcW w:w="85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4</w:t>
            </w:r>
          </w:p>
        </w:tc>
      </w:tr>
      <w:tr>
        <w:trPr>
          <w:trHeight w:val="275" w:hRule="atLeast"/>
        </w:trPr>
        <w:tc>
          <w:tcPr>
            <w:tcW w:w="1505"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较严重</w:t>
            </w:r>
          </w:p>
        </w:tc>
        <w:tc>
          <w:tcPr>
            <w:tcW w:w="2905"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地区标准</w:t>
            </w:r>
          </w:p>
        </w:tc>
        <w:tc>
          <w:tcPr>
            <w:tcW w:w="212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5</w:t>
            </w:r>
            <w:r>
              <w:rPr>
                <w:rFonts w:ascii="宋体" w:hAnsi="宋体" w:cs="宋体" w:eastAsia="宋体"/>
                <w:sz w:val="24"/>
              </w:rPr>
              <w:t>＞财产损失≥</w:t>
            </w:r>
            <w:r>
              <w:rPr>
                <w:rFonts w:eastAsia="宋体" w:cs="宋体" w:ascii="宋体" w:hAnsi="宋体"/>
                <w:sz w:val="24"/>
              </w:rPr>
              <w:t>0.5</w:t>
            </w:r>
          </w:p>
        </w:tc>
        <w:tc>
          <w:tcPr>
            <w:tcW w:w="184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较严重影响</w:t>
            </w:r>
          </w:p>
        </w:tc>
        <w:tc>
          <w:tcPr>
            <w:tcW w:w="85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3</w:t>
            </w:r>
          </w:p>
        </w:tc>
      </w:tr>
      <w:tr>
        <w:trPr>
          <w:trHeight w:val="275" w:hRule="atLeast"/>
        </w:trPr>
        <w:tc>
          <w:tcPr>
            <w:tcW w:w="1505"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一般</w:t>
            </w:r>
          </w:p>
        </w:tc>
        <w:tc>
          <w:tcPr>
            <w:tcW w:w="2905"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企业标准</w:t>
            </w:r>
          </w:p>
        </w:tc>
        <w:tc>
          <w:tcPr>
            <w:tcW w:w="212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财产损失＜</w:t>
            </w:r>
            <w:r>
              <w:rPr>
                <w:rFonts w:eastAsia="宋体" w:cs="宋体" w:ascii="宋体" w:hAnsi="宋体"/>
                <w:sz w:val="24"/>
              </w:rPr>
              <w:t>0.5</w:t>
            </w:r>
          </w:p>
        </w:tc>
        <w:tc>
          <w:tcPr>
            <w:tcW w:w="184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轻微影响</w:t>
            </w:r>
          </w:p>
        </w:tc>
        <w:tc>
          <w:tcPr>
            <w:tcW w:w="85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2</w:t>
            </w:r>
          </w:p>
        </w:tc>
      </w:tr>
      <w:tr>
        <w:trPr>
          <w:trHeight w:val="275" w:hRule="atLeast"/>
        </w:trPr>
        <w:tc>
          <w:tcPr>
            <w:tcW w:w="1505"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轻微</w:t>
            </w:r>
          </w:p>
        </w:tc>
        <w:tc>
          <w:tcPr>
            <w:tcW w:w="2905"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不违反</w:t>
            </w:r>
          </w:p>
        </w:tc>
        <w:tc>
          <w:tcPr>
            <w:tcW w:w="212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无损失</w:t>
            </w:r>
          </w:p>
        </w:tc>
        <w:tc>
          <w:tcPr>
            <w:tcW w:w="184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不影响</w:t>
            </w:r>
          </w:p>
        </w:tc>
        <w:tc>
          <w:tcPr>
            <w:tcW w:w="856"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1</w:t>
            </w:r>
          </w:p>
        </w:tc>
      </w:tr>
    </w:tbl>
    <w:p>
      <w:pPr>
        <w:pStyle w:val="Normal"/>
        <w:spacing w:lineRule="auto" w:line="360"/>
        <w:rPr>
          <w:rFonts w:ascii="宋体" w:hAnsi="宋体" w:eastAsia="宋体" w:cs="宋体"/>
          <w:sz w:val="24"/>
        </w:rPr>
      </w:pPr>
      <w:r>
        <w:rPr>
          <w:rFonts w:eastAsia="宋体" w:cs="宋体" w:ascii="宋体" w:hAnsi="宋体"/>
          <w:sz w:val="24"/>
        </w:rPr>
        <w:t>B)</w:t>
      </w:r>
      <w:r>
        <w:rPr>
          <w:rFonts w:ascii="宋体" w:hAnsi="宋体" w:cs="宋体" w:eastAsia="宋体"/>
          <w:sz w:val="24"/>
        </w:rPr>
        <w:t>发生概率</w:t>
      </w:r>
      <w:r>
        <w:rPr>
          <w:rFonts w:eastAsia="宋体" w:cs="宋体" w:ascii="宋体" w:hAnsi="宋体"/>
          <w:sz w:val="24"/>
        </w:rPr>
        <w:t>O</w:t>
      </w:r>
    </w:p>
    <w:tbl>
      <w:tblPr>
        <w:tblW w:w="6426" w:type="dxa"/>
        <w:jc w:val="center"/>
        <w:tblInd w:w="0" w:type="dxa"/>
        <w:tblLayout w:type="fixed"/>
        <w:tblCellMar>
          <w:top w:w="0" w:type="dxa"/>
          <w:left w:w="108" w:type="dxa"/>
          <w:bottom w:w="0" w:type="dxa"/>
          <w:right w:w="108" w:type="dxa"/>
        </w:tblCellMar>
      </w:tblPr>
      <w:tblGrid>
        <w:gridCol w:w="1361"/>
        <w:gridCol w:w="4044"/>
        <w:gridCol w:w="1021"/>
      </w:tblGrid>
      <w:tr>
        <w:trPr>
          <w:trHeight w:val="368" w:hRule="atLeast"/>
        </w:trPr>
        <w:tc>
          <w:tcPr>
            <w:tcW w:w="136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发生频度</w:t>
            </w:r>
          </w:p>
        </w:tc>
        <w:tc>
          <w:tcPr>
            <w:tcW w:w="4044" w:type="dxa"/>
            <w:tcBorders>
              <w:top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定义</w:t>
            </w:r>
          </w:p>
        </w:tc>
        <w:tc>
          <w:tcPr>
            <w:tcW w:w="1021" w:type="dxa"/>
            <w:tcBorders>
              <w:top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等级</w:t>
            </w:r>
          </w:p>
        </w:tc>
      </w:tr>
      <w:tr>
        <w:trPr>
          <w:trHeight w:val="514" w:hRule="atLeast"/>
        </w:trPr>
        <w:tc>
          <w:tcPr>
            <w:tcW w:w="1361"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极少发生</w:t>
            </w:r>
          </w:p>
        </w:tc>
        <w:tc>
          <w:tcPr>
            <w:tcW w:w="4044" w:type="dxa"/>
            <w:tcBorders>
              <w:top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发生概率≤</w:t>
            </w:r>
            <w:r>
              <w:rPr>
                <w:rFonts w:eastAsia="宋体" w:cs="宋体" w:ascii="宋体" w:hAnsi="宋体"/>
                <w:sz w:val="24"/>
              </w:rPr>
              <w:t>0.001%</w:t>
            </w:r>
          </w:p>
        </w:tc>
        <w:tc>
          <w:tcPr>
            <w:tcW w:w="1021"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1</w:t>
            </w:r>
          </w:p>
        </w:tc>
      </w:tr>
      <w:tr>
        <w:trPr>
          <w:trHeight w:val="514" w:hRule="atLeast"/>
        </w:trPr>
        <w:tc>
          <w:tcPr>
            <w:tcW w:w="1361"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很少发生</w:t>
            </w:r>
          </w:p>
        </w:tc>
        <w:tc>
          <w:tcPr>
            <w:tcW w:w="4044" w:type="dxa"/>
            <w:tcBorders>
              <w:top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0.001%</w:t>
            </w:r>
            <w:r>
              <w:rPr>
                <w:rFonts w:ascii="宋体" w:hAnsi="宋体" w:cs="宋体" w:eastAsia="宋体"/>
                <w:sz w:val="24"/>
              </w:rPr>
              <w:t>＜发生概率≤</w:t>
            </w:r>
            <w:r>
              <w:rPr>
                <w:rFonts w:eastAsia="宋体" w:cs="宋体" w:ascii="宋体" w:hAnsi="宋体"/>
                <w:sz w:val="24"/>
              </w:rPr>
              <w:t>0.1%</w:t>
            </w:r>
          </w:p>
        </w:tc>
        <w:tc>
          <w:tcPr>
            <w:tcW w:w="1021"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2</w:t>
            </w:r>
          </w:p>
        </w:tc>
      </w:tr>
      <w:tr>
        <w:trPr>
          <w:trHeight w:val="514" w:hRule="atLeast"/>
        </w:trPr>
        <w:tc>
          <w:tcPr>
            <w:tcW w:w="1361"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偶尔发生</w:t>
            </w:r>
          </w:p>
        </w:tc>
        <w:tc>
          <w:tcPr>
            <w:tcW w:w="4044" w:type="dxa"/>
            <w:tcBorders>
              <w:top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0.1%</w:t>
            </w:r>
            <w:r>
              <w:rPr>
                <w:rFonts w:ascii="宋体" w:hAnsi="宋体" w:cs="宋体" w:eastAsia="宋体"/>
                <w:sz w:val="24"/>
              </w:rPr>
              <w:t>＜发生概率≤</w:t>
            </w:r>
            <w:r>
              <w:rPr>
                <w:rFonts w:eastAsia="宋体" w:cs="宋体" w:ascii="宋体" w:hAnsi="宋体"/>
                <w:sz w:val="24"/>
              </w:rPr>
              <w:t>1%</w:t>
            </w:r>
          </w:p>
        </w:tc>
        <w:tc>
          <w:tcPr>
            <w:tcW w:w="1021"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3</w:t>
            </w:r>
          </w:p>
        </w:tc>
      </w:tr>
      <w:tr>
        <w:trPr>
          <w:trHeight w:val="514" w:hRule="atLeast"/>
        </w:trPr>
        <w:tc>
          <w:tcPr>
            <w:tcW w:w="1361"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有时发生</w:t>
            </w:r>
          </w:p>
        </w:tc>
        <w:tc>
          <w:tcPr>
            <w:tcW w:w="4044" w:type="dxa"/>
            <w:tcBorders>
              <w:top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1%</w:t>
            </w:r>
            <w:r>
              <w:rPr>
                <w:rFonts w:ascii="宋体" w:hAnsi="宋体" w:cs="宋体" w:eastAsia="宋体"/>
                <w:sz w:val="24"/>
              </w:rPr>
              <w:t>＜发生概率≤</w:t>
            </w:r>
            <w:r>
              <w:rPr>
                <w:rFonts w:eastAsia="宋体" w:cs="宋体" w:ascii="宋体" w:hAnsi="宋体"/>
                <w:sz w:val="24"/>
              </w:rPr>
              <w:t>10%</w:t>
            </w:r>
          </w:p>
        </w:tc>
        <w:tc>
          <w:tcPr>
            <w:tcW w:w="1021"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4</w:t>
            </w:r>
          </w:p>
        </w:tc>
      </w:tr>
      <w:tr>
        <w:trPr>
          <w:trHeight w:val="514" w:hRule="atLeast"/>
        </w:trPr>
        <w:tc>
          <w:tcPr>
            <w:tcW w:w="1361"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经常发生</w:t>
            </w:r>
          </w:p>
        </w:tc>
        <w:tc>
          <w:tcPr>
            <w:tcW w:w="4044" w:type="dxa"/>
            <w:tcBorders>
              <w:top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发生概率≥</w:t>
            </w:r>
            <w:r>
              <w:rPr>
                <w:rFonts w:eastAsia="宋体" w:cs="宋体" w:ascii="宋体" w:hAnsi="宋体"/>
                <w:sz w:val="24"/>
              </w:rPr>
              <w:t>10%</w:t>
            </w:r>
          </w:p>
        </w:tc>
        <w:tc>
          <w:tcPr>
            <w:tcW w:w="1021"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5</w:t>
            </w:r>
          </w:p>
        </w:tc>
      </w:tr>
    </w:tbl>
    <w:p>
      <w:pPr>
        <w:pStyle w:val="Normal"/>
        <w:spacing w:lineRule="auto" w:line="360"/>
        <w:rPr>
          <w:rFonts w:ascii="宋体" w:hAnsi="宋体" w:eastAsia="宋体" w:cs="宋体"/>
          <w:sz w:val="24"/>
        </w:rPr>
      </w:pPr>
      <w:r>
        <w:rPr>
          <w:rFonts w:eastAsia="宋体" w:cs="宋体" w:ascii="宋体" w:hAnsi="宋体"/>
          <w:sz w:val="24"/>
        </w:rPr>
        <w:t>C )</w:t>
      </w:r>
      <w:r>
        <w:rPr>
          <w:rFonts w:ascii="宋体" w:hAnsi="宋体" w:cs="宋体" w:eastAsia="宋体"/>
          <w:sz w:val="24"/>
        </w:rPr>
        <w:t>风险等级</w:t>
      </w:r>
      <w:r>
        <w:rPr>
          <w:rFonts w:eastAsia="宋体" w:cs="宋体" w:ascii="宋体" w:hAnsi="宋体"/>
          <w:sz w:val="24"/>
        </w:rPr>
        <w:t>SO</w:t>
      </w:r>
      <w:r>
        <w:rPr>
          <w:rFonts w:ascii="宋体" w:hAnsi="宋体" w:cs="宋体" w:eastAsia="宋体"/>
          <w:sz w:val="24"/>
        </w:rPr>
        <w:t>（</w:t>
      </w:r>
      <w:r>
        <w:rPr>
          <w:rFonts w:eastAsia="宋体" w:cs="宋体" w:ascii="宋体" w:hAnsi="宋体"/>
          <w:sz w:val="24"/>
        </w:rPr>
        <w:t>S×O</w:t>
      </w:r>
      <w:r>
        <w:rPr>
          <w:rFonts w:ascii="宋体" w:hAnsi="宋体" w:cs="宋体" w:eastAsia="宋体"/>
          <w:sz w:val="24"/>
        </w:rPr>
        <w:t>）</w:t>
      </w:r>
    </w:p>
    <w:tbl>
      <w:tblPr>
        <w:tblW w:w="6840" w:type="dxa"/>
        <w:jc w:val="left"/>
        <w:tblInd w:w="623" w:type="dxa"/>
        <w:tblLayout w:type="fixed"/>
        <w:tblCellMar>
          <w:top w:w="0" w:type="dxa"/>
          <w:left w:w="108" w:type="dxa"/>
          <w:bottom w:w="0" w:type="dxa"/>
          <w:right w:w="108" w:type="dxa"/>
        </w:tblCellMar>
      </w:tblPr>
      <w:tblGrid>
        <w:gridCol w:w="1560"/>
        <w:gridCol w:w="4320"/>
        <w:gridCol w:w="960"/>
      </w:tblGrid>
      <w:tr>
        <w:trPr>
          <w:trHeight w:val="270" w:hRule="atLeast"/>
        </w:trPr>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风险等级</w:t>
            </w:r>
          </w:p>
        </w:tc>
        <w:tc>
          <w:tcPr>
            <w:tcW w:w="4320" w:type="dxa"/>
            <w:tcBorders>
              <w:top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控制措施</w:t>
            </w:r>
          </w:p>
        </w:tc>
        <w:tc>
          <w:tcPr>
            <w:tcW w:w="960" w:type="dxa"/>
            <w:tcBorders>
              <w:top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系数</w:t>
            </w:r>
          </w:p>
        </w:tc>
      </w:tr>
      <w:tr>
        <w:trPr>
          <w:trHeight w:val="330" w:hRule="atLeast"/>
        </w:trPr>
        <w:tc>
          <w:tcPr>
            <w:tcW w:w="1560"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高风险</w:t>
            </w:r>
          </w:p>
        </w:tc>
        <w:tc>
          <w:tcPr>
            <w:tcW w:w="4320"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应立即采取措施规避或降低风险</w:t>
            </w:r>
          </w:p>
        </w:tc>
        <w:tc>
          <w:tcPr>
            <w:tcW w:w="960"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15-25</w:t>
            </w:r>
          </w:p>
        </w:tc>
      </w:tr>
      <w:tr>
        <w:trPr>
          <w:trHeight w:val="375" w:hRule="atLeast"/>
        </w:trPr>
        <w:tc>
          <w:tcPr>
            <w:tcW w:w="1560"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一般风险</w:t>
            </w:r>
          </w:p>
        </w:tc>
        <w:tc>
          <w:tcPr>
            <w:tcW w:w="4320"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需采取措施降低风险</w:t>
            </w:r>
          </w:p>
        </w:tc>
        <w:tc>
          <w:tcPr>
            <w:tcW w:w="960"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 xml:space="preserve"> </w:t>
            </w:r>
            <w:r>
              <w:rPr>
                <w:rFonts w:eastAsia="宋体" w:cs="宋体" w:ascii="宋体" w:hAnsi="宋体"/>
                <w:sz w:val="24"/>
              </w:rPr>
              <w:t>5-15</w:t>
            </w:r>
          </w:p>
        </w:tc>
      </w:tr>
      <w:tr>
        <w:trPr>
          <w:trHeight w:val="540" w:hRule="atLeast"/>
        </w:trPr>
        <w:tc>
          <w:tcPr>
            <w:tcW w:w="1560" w:type="dxa"/>
            <w:tcBorders>
              <w:left w:val="single" w:sz="4" w:space="0" w:color="000000"/>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低风险</w:t>
            </w:r>
          </w:p>
        </w:tc>
        <w:tc>
          <w:tcPr>
            <w:tcW w:w="4320"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ascii="宋体" w:hAnsi="宋体" w:cs="宋体" w:eastAsia="宋体"/>
                <w:sz w:val="24"/>
              </w:rPr>
              <w:t>风险较低</w:t>
            </w:r>
            <w:r>
              <w:rPr>
                <w:rFonts w:eastAsia="宋体" w:cs="宋体" w:ascii="宋体" w:hAnsi="宋体"/>
                <w:sz w:val="24"/>
              </w:rPr>
              <w:t>,</w:t>
            </w:r>
            <w:r>
              <w:rPr>
                <w:rFonts w:ascii="宋体" w:hAnsi="宋体" w:cs="宋体" w:eastAsia="宋体"/>
                <w:sz w:val="24"/>
              </w:rPr>
              <w:t>当采取措施消除风险引起的成本比风险本身引起的损失较大时</w:t>
            </w:r>
            <w:r>
              <w:rPr>
                <w:rFonts w:eastAsia="宋体" w:cs="宋体" w:ascii="宋体" w:hAnsi="宋体"/>
                <w:sz w:val="24"/>
              </w:rPr>
              <w:t>,</w:t>
            </w:r>
            <w:r>
              <w:rPr>
                <w:rFonts w:ascii="宋体" w:hAnsi="宋体" w:cs="宋体" w:eastAsia="宋体"/>
                <w:sz w:val="24"/>
              </w:rPr>
              <w:t>接受风险</w:t>
            </w:r>
          </w:p>
        </w:tc>
        <w:tc>
          <w:tcPr>
            <w:tcW w:w="960" w:type="dxa"/>
            <w:tcBorders>
              <w:bottom w:val="single" w:sz="4" w:space="0" w:color="000000"/>
              <w:right w:val="single" w:sz="4" w:space="0" w:color="000000"/>
            </w:tcBorders>
            <w:vAlign w:val="center"/>
          </w:tcPr>
          <w:p>
            <w:pPr>
              <w:pStyle w:val="Normal"/>
              <w:spacing w:lineRule="auto" w:line="360"/>
              <w:rPr>
                <w:rFonts w:ascii="宋体" w:hAnsi="宋体" w:eastAsia="宋体" w:cs="宋体"/>
                <w:sz w:val="24"/>
              </w:rPr>
            </w:pPr>
            <w:r>
              <w:rPr>
                <w:rFonts w:eastAsia="宋体" w:cs="宋体" w:ascii="宋体" w:hAnsi="宋体"/>
                <w:sz w:val="24"/>
              </w:rPr>
              <w:t xml:space="preserve"> </w:t>
            </w:r>
            <w:r>
              <w:rPr>
                <w:rFonts w:eastAsia="宋体" w:cs="宋体" w:ascii="宋体" w:hAnsi="宋体"/>
                <w:sz w:val="24"/>
              </w:rPr>
              <w:t>1-5</w:t>
            </w:r>
          </w:p>
        </w:tc>
      </w:tr>
    </w:tbl>
    <w:p>
      <w:pPr>
        <w:pStyle w:val="Normal"/>
        <w:spacing w:lineRule="auto" w:line="360"/>
        <w:rPr>
          <w:rFonts w:ascii="宋体" w:hAnsi="宋体" w:eastAsia="宋体" w:cs="宋体"/>
          <w:sz w:val="24"/>
        </w:rPr>
      </w:pPr>
      <w:r>
        <w:rPr>
          <w:rFonts w:ascii="宋体" w:hAnsi="宋体" w:cs="宋体" w:eastAsia="宋体"/>
          <w:b/>
          <w:sz w:val="24"/>
        </w:rPr>
        <w:t>说明：如果风险严重度大于</w:t>
      </w:r>
      <w:r>
        <w:rPr>
          <w:rFonts w:eastAsia="宋体" w:cs="宋体" w:ascii="宋体" w:hAnsi="宋体"/>
          <w:b/>
          <w:sz w:val="24"/>
        </w:rPr>
        <w:t>3</w:t>
      </w:r>
      <w:r>
        <w:rPr>
          <w:rFonts w:ascii="宋体" w:hAnsi="宋体" w:cs="宋体" w:eastAsia="宋体"/>
          <w:b/>
          <w:sz w:val="24"/>
        </w:rPr>
        <w:t>，或风险等级为高风险，都需要特别关注，并采取措施</w:t>
      </w:r>
    </w:p>
    <w:p>
      <w:pPr>
        <w:pStyle w:val="Normal"/>
        <w:spacing w:lineRule="auto" w:line="360"/>
        <w:rPr>
          <w:rFonts w:ascii="宋体" w:hAnsi="宋体" w:eastAsia="宋体" w:cs="宋体"/>
          <w:sz w:val="24"/>
        </w:rPr>
      </w:pPr>
      <w:r>
        <w:rPr>
          <w:rFonts w:eastAsia="宋体" w:cs="宋体" w:ascii="宋体" w:hAnsi="宋体"/>
          <w:sz w:val="24"/>
        </w:rPr>
        <w:t>5.2.2</w:t>
      </w:r>
      <w:r>
        <w:rPr>
          <w:rFonts w:ascii="宋体" w:hAnsi="宋体" w:cs="宋体" w:eastAsia="宋体"/>
          <w:sz w:val="24"/>
        </w:rPr>
        <w:t>风险控制</w:t>
      </w:r>
    </w:p>
    <w:p>
      <w:pPr>
        <w:pStyle w:val="Normal"/>
        <w:spacing w:lineRule="auto" w:line="360"/>
        <w:rPr>
          <w:rFonts w:ascii="宋体" w:hAnsi="宋体" w:eastAsia="宋体" w:cs="宋体"/>
          <w:sz w:val="24"/>
        </w:rPr>
      </w:pPr>
      <w:r>
        <w:rPr>
          <w:rFonts w:eastAsia="宋体" w:cs="宋体" w:ascii="宋体" w:hAnsi="宋体"/>
          <w:sz w:val="24"/>
        </w:rPr>
        <w:t>5.2.2.1</w:t>
      </w:r>
      <w:r>
        <w:rPr>
          <w:rFonts w:ascii="宋体" w:hAnsi="宋体" w:cs="宋体" w:eastAsia="宋体"/>
          <w:sz w:val="24"/>
        </w:rPr>
        <w:t>各部门根据风险等级对风险排序，根据风险等级高低制定相应措施，对高风险进行重点控制。</w:t>
      </w:r>
    </w:p>
    <w:p>
      <w:pPr>
        <w:pStyle w:val="Normal"/>
        <w:spacing w:lineRule="auto" w:line="360"/>
        <w:rPr>
          <w:rFonts w:ascii="宋体" w:hAnsi="宋体" w:eastAsia="宋体" w:cs="宋体"/>
          <w:sz w:val="24"/>
        </w:rPr>
      </w:pPr>
      <w:r>
        <w:rPr>
          <w:rFonts w:eastAsia="宋体" w:cs="宋体" w:ascii="宋体" w:hAnsi="宋体"/>
          <w:sz w:val="24"/>
        </w:rPr>
        <w:t xml:space="preserve">5.2.2.2 </w:t>
      </w:r>
      <w:r>
        <w:rPr>
          <w:rFonts w:ascii="宋体" w:hAnsi="宋体" w:cs="宋体" w:eastAsia="宋体"/>
          <w:sz w:val="24"/>
        </w:rPr>
        <w:t>风险控制的主要方向</w:t>
      </w:r>
    </w:p>
    <w:p>
      <w:pPr>
        <w:pStyle w:val="Normal"/>
        <w:spacing w:lineRule="auto" w:line="360"/>
        <w:rPr>
          <w:rFonts w:ascii="宋体" w:hAnsi="宋体" w:eastAsia="宋体" w:cs="宋体"/>
          <w:sz w:val="24"/>
        </w:rPr>
      </w:pPr>
      <w:r>
        <w:rPr>
          <w:rFonts w:eastAsia="宋体" w:cs="宋体" w:ascii="宋体" w:hAnsi="宋体"/>
          <w:sz w:val="24"/>
        </w:rPr>
        <w:t>1</w:t>
      </w:r>
      <w:r>
        <w:rPr>
          <w:rFonts w:ascii="宋体" w:hAnsi="宋体" w:cs="宋体" w:eastAsia="宋体"/>
          <w:sz w:val="24"/>
        </w:rPr>
        <w:t>）规避：风险程度公司不能承受，或者风控成本大于预期收益。</w:t>
      </w:r>
    </w:p>
    <w:p>
      <w:pPr>
        <w:pStyle w:val="Normal"/>
        <w:spacing w:lineRule="auto" w:line="360"/>
        <w:rPr>
          <w:rFonts w:ascii="宋体" w:hAnsi="宋体" w:eastAsia="宋体" w:cs="宋体"/>
          <w:sz w:val="24"/>
        </w:rPr>
      </w:pPr>
      <w:r>
        <w:rPr>
          <w:rFonts w:eastAsia="宋体" w:cs="宋体" w:ascii="宋体" w:hAnsi="宋体"/>
          <w:sz w:val="24"/>
        </w:rPr>
        <w:t>2</w:t>
      </w:r>
      <w:r>
        <w:rPr>
          <w:rFonts w:ascii="宋体" w:hAnsi="宋体" w:cs="宋体" w:eastAsia="宋体"/>
          <w:sz w:val="24"/>
        </w:rPr>
        <w:t>）降低：可以通过控制措施降低风险频率或者损失程度。</w:t>
      </w:r>
    </w:p>
    <w:p>
      <w:pPr>
        <w:pStyle w:val="Normal"/>
        <w:spacing w:lineRule="auto" w:line="360"/>
        <w:rPr>
          <w:rFonts w:ascii="宋体" w:hAnsi="宋体" w:eastAsia="宋体" w:cs="宋体"/>
          <w:sz w:val="24"/>
        </w:rPr>
      </w:pPr>
      <w:r>
        <w:rPr>
          <w:rFonts w:eastAsia="宋体" w:cs="宋体" w:ascii="宋体" w:hAnsi="宋体"/>
          <w:sz w:val="24"/>
        </w:rPr>
        <w:t>3</w:t>
      </w:r>
      <w:r>
        <w:rPr>
          <w:rFonts w:ascii="宋体" w:hAnsi="宋体" w:cs="宋体" w:eastAsia="宋体"/>
          <w:sz w:val="24"/>
        </w:rPr>
        <w:t>）接受：损失程度不大，而控制措施的成本较高。</w:t>
      </w:r>
    </w:p>
    <w:p>
      <w:pPr>
        <w:pStyle w:val="Normal"/>
        <w:spacing w:lineRule="auto" w:line="360"/>
        <w:rPr>
          <w:rFonts w:ascii="宋体" w:hAnsi="宋体" w:eastAsia="宋体" w:cs="宋体"/>
          <w:b/>
          <w:b/>
          <w:bCs/>
          <w:sz w:val="24"/>
        </w:rPr>
      </w:pPr>
      <w:r>
        <w:rPr>
          <w:rFonts w:eastAsia="宋体" w:cs="宋体" w:ascii="宋体" w:hAnsi="宋体"/>
          <w:b/>
          <w:bCs/>
          <w:sz w:val="24"/>
        </w:rPr>
        <w:t xml:space="preserve">5.3 </w:t>
      </w:r>
      <w:r>
        <w:rPr>
          <w:rFonts w:ascii="宋体" w:hAnsi="宋体" w:cs="宋体" w:eastAsia="宋体"/>
          <w:b/>
          <w:bCs/>
          <w:sz w:val="24"/>
        </w:rPr>
        <w:t>机遇的评估和把握</w:t>
      </w:r>
    </w:p>
    <w:p>
      <w:pPr>
        <w:pStyle w:val="Normal"/>
        <w:spacing w:lineRule="auto" w:line="360"/>
        <w:rPr>
          <w:rFonts w:ascii="宋体" w:hAnsi="宋体" w:eastAsia="宋体" w:cs="宋体"/>
          <w:sz w:val="24"/>
        </w:rPr>
      </w:pPr>
      <w:r>
        <w:rPr>
          <w:rFonts w:eastAsia="宋体" w:cs="宋体" w:ascii="宋体" w:hAnsi="宋体"/>
          <w:sz w:val="24"/>
        </w:rPr>
        <w:t xml:space="preserve">5.3.1 </w:t>
      </w:r>
      <w:r>
        <w:rPr>
          <w:rFonts w:ascii="宋体" w:hAnsi="宋体" w:cs="宋体" w:eastAsia="宋体"/>
          <w:sz w:val="24"/>
        </w:rPr>
        <w:t>对识别出的机遇，由识别部门编写分析报告和实施计划，提交管理者代表。</w:t>
      </w:r>
    </w:p>
    <w:p>
      <w:pPr>
        <w:pStyle w:val="Normal"/>
        <w:spacing w:lineRule="auto" w:line="360"/>
        <w:rPr>
          <w:rFonts w:ascii="宋体" w:hAnsi="宋体" w:eastAsia="宋体" w:cs="宋体"/>
          <w:sz w:val="24"/>
        </w:rPr>
      </w:pPr>
      <w:r>
        <w:rPr>
          <w:rFonts w:eastAsia="宋体" w:cs="宋体" w:ascii="宋体" w:hAnsi="宋体"/>
          <w:sz w:val="24"/>
        </w:rPr>
        <w:t xml:space="preserve">5.3.2 </w:t>
      </w:r>
      <w:r>
        <w:rPr>
          <w:rFonts w:ascii="宋体" w:hAnsi="宋体" w:cs="宋体" w:eastAsia="宋体"/>
          <w:sz w:val="24"/>
        </w:rPr>
        <w:t>管理者代表组织各部门开展讨论和相关可行性分析，确定是否实施。</w:t>
      </w:r>
    </w:p>
    <w:p>
      <w:pPr>
        <w:pStyle w:val="Normal"/>
        <w:spacing w:lineRule="auto" w:line="360"/>
        <w:rPr>
          <w:rFonts w:ascii="宋体" w:hAnsi="宋体" w:eastAsia="宋体" w:cs="宋体"/>
          <w:sz w:val="24"/>
        </w:rPr>
      </w:pPr>
      <w:r>
        <w:rPr>
          <w:rFonts w:eastAsia="宋体" w:cs="宋体" w:ascii="宋体" w:hAnsi="宋体"/>
          <w:sz w:val="24"/>
        </w:rPr>
        <w:t xml:space="preserve">5.3.3 </w:t>
      </w:r>
      <w:r>
        <w:rPr>
          <w:rFonts w:ascii="宋体" w:hAnsi="宋体" w:cs="宋体" w:eastAsia="宋体"/>
          <w:sz w:val="24"/>
        </w:rPr>
        <w:t>对于确实需要把握的机遇，提交总经理审批，审批通过才可实施。</w:t>
      </w:r>
    </w:p>
    <w:p>
      <w:pPr>
        <w:pStyle w:val="Normal"/>
        <w:spacing w:lineRule="auto" w:line="360"/>
        <w:rPr>
          <w:rFonts w:ascii="宋体" w:hAnsi="宋体" w:eastAsia="宋体" w:cs="宋体"/>
          <w:b/>
          <w:b/>
          <w:bCs/>
          <w:sz w:val="24"/>
        </w:rPr>
      </w:pPr>
      <w:r>
        <w:rPr>
          <w:rFonts w:eastAsia="宋体" w:cs="宋体" w:ascii="宋体" w:hAnsi="宋体"/>
          <w:b/>
          <w:bCs/>
          <w:sz w:val="24"/>
        </w:rPr>
        <w:t xml:space="preserve">5.4  </w:t>
      </w:r>
      <w:r>
        <w:rPr>
          <w:rFonts w:ascii="宋体" w:hAnsi="宋体" w:cs="宋体" w:eastAsia="宋体"/>
          <w:b/>
          <w:bCs/>
          <w:sz w:val="24"/>
        </w:rPr>
        <w:t>风险和机遇更新及持续改进</w:t>
      </w:r>
    </w:p>
    <w:p>
      <w:pPr>
        <w:pStyle w:val="Normal"/>
        <w:spacing w:lineRule="auto" w:line="360"/>
        <w:rPr>
          <w:rFonts w:ascii="宋体" w:hAnsi="宋体" w:eastAsia="宋体" w:cs="宋体"/>
          <w:sz w:val="24"/>
        </w:rPr>
      </w:pPr>
      <w:r>
        <w:rPr>
          <w:rFonts w:eastAsia="宋体" w:cs="宋体" w:ascii="宋体" w:hAnsi="宋体"/>
          <w:sz w:val="24"/>
        </w:rPr>
        <w:t xml:space="preserve">5.4.1  </w:t>
      </w:r>
      <w:r>
        <w:rPr>
          <w:rFonts w:ascii="宋体" w:hAnsi="宋体" w:cs="宋体" w:eastAsia="宋体"/>
          <w:sz w:val="24"/>
        </w:rPr>
        <w:t>出现以下情况需重新进行风险和机遇的识别与评价：</w:t>
      </w:r>
    </w:p>
    <w:p>
      <w:pPr>
        <w:pStyle w:val="Normal"/>
        <w:spacing w:lineRule="auto" w:line="360"/>
        <w:rPr>
          <w:rFonts w:ascii="宋体" w:hAnsi="宋体" w:eastAsia="宋体" w:cs="宋体"/>
          <w:sz w:val="24"/>
        </w:rPr>
      </w:pPr>
      <w:r>
        <w:rPr>
          <w:rFonts w:eastAsia="宋体" w:cs="宋体" w:ascii="宋体" w:hAnsi="宋体"/>
          <w:sz w:val="24"/>
        </w:rPr>
        <w:t>1</w:t>
      </w:r>
      <w:r>
        <w:rPr>
          <w:rFonts w:ascii="宋体" w:hAnsi="宋体" w:cs="宋体" w:eastAsia="宋体"/>
          <w:sz w:val="24"/>
        </w:rPr>
        <w:t>）相关法律、法规、市场环境发生变化</w:t>
      </w:r>
    </w:p>
    <w:p>
      <w:pPr>
        <w:pStyle w:val="Normal"/>
        <w:spacing w:lineRule="auto" w:line="360"/>
        <w:rPr>
          <w:rFonts w:ascii="宋体" w:hAnsi="宋体" w:eastAsia="宋体" w:cs="宋体"/>
          <w:sz w:val="24"/>
        </w:rPr>
      </w:pPr>
      <w:r>
        <w:rPr>
          <w:rFonts w:eastAsia="宋体" w:cs="宋体" w:ascii="宋体" w:hAnsi="宋体"/>
          <w:sz w:val="24"/>
        </w:rPr>
        <w:t>2</w:t>
      </w:r>
      <w:r>
        <w:rPr>
          <w:rFonts w:ascii="宋体" w:hAnsi="宋体" w:cs="宋体" w:eastAsia="宋体"/>
          <w:sz w:val="24"/>
        </w:rPr>
        <w:t>）相关方的要求发生变化</w:t>
      </w:r>
    </w:p>
    <w:p>
      <w:pPr>
        <w:pStyle w:val="Normal"/>
        <w:spacing w:lineRule="auto" w:line="360"/>
        <w:rPr>
          <w:rFonts w:ascii="宋体" w:hAnsi="宋体" w:eastAsia="宋体" w:cs="宋体"/>
          <w:sz w:val="24"/>
        </w:rPr>
      </w:pPr>
      <w:r>
        <w:rPr>
          <w:rFonts w:eastAsia="宋体" w:cs="宋体" w:ascii="宋体" w:hAnsi="宋体"/>
          <w:sz w:val="24"/>
        </w:rPr>
        <w:t>3</w:t>
      </w:r>
      <w:r>
        <w:rPr>
          <w:rFonts w:ascii="宋体" w:hAnsi="宋体" w:cs="宋体" w:eastAsia="宋体"/>
          <w:sz w:val="24"/>
        </w:rPr>
        <w:t>）公司的活动、产品、服务或运行条件发生变化</w:t>
      </w:r>
    </w:p>
    <w:p>
      <w:pPr>
        <w:pStyle w:val="Normal"/>
        <w:spacing w:lineRule="auto" w:line="360"/>
        <w:rPr>
          <w:rFonts w:ascii="宋体" w:hAnsi="宋体" w:eastAsia="宋体" w:cs="宋体"/>
          <w:sz w:val="24"/>
        </w:rPr>
      </w:pPr>
      <w:r>
        <w:rPr>
          <w:rFonts w:eastAsia="宋体" w:cs="宋体" w:ascii="宋体" w:hAnsi="宋体"/>
          <w:sz w:val="24"/>
        </w:rPr>
        <w:t xml:space="preserve">5.4.2  </w:t>
      </w:r>
      <w:r>
        <w:rPr>
          <w:rFonts w:ascii="宋体" w:hAnsi="宋体" w:cs="宋体" w:eastAsia="宋体"/>
          <w:sz w:val="24"/>
        </w:rPr>
        <w:t>风险辨识与风险评价有新要求或新方法时，对方案进行更新。</w:t>
      </w:r>
    </w:p>
    <w:p>
      <w:pPr>
        <w:pStyle w:val="Normal"/>
        <w:spacing w:lineRule="auto" w:line="360"/>
        <w:rPr>
          <w:rFonts w:ascii="宋体" w:hAnsi="宋体" w:eastAsia="宋体" w:cs="宋体"/>
          <w:sz w:val="24"/>
        </w:rPr>
      </w:pPr>
      <w:r>
        <w:rPr>
          <w:rFonts w:eastAsia="宋体" w:cs="宋体" w:ascii="宋体" w:hAnsi="宋体"/>
          <w:sz w:val="24"/>
        </w:rPr>
        <w:t xml:space="preserve">5.4.3  </w:t>
      </w:r>
      <w:r>
        <w:rPr>
          <w:rFonts w:ascii="宋体" w:hAnsi="宋体" w:cs="宋体" w:eastAsia="宋体"/>
          <w:sz w:val="24"/>
        </w:rPr>
        <w:t>根据更新的风险等级及时更新风险控制方案。</w:t>
      </w:r>
    </w:p>
    <w:p>
      <w:pPr>
        <w:pStyle w:val="Normal"/>
        <w:spacing w:lineRule="auto" w:line="360"/>
        <w:rPr>
          <w:rFonts w:ascii="宋体" w:hAnsi="宋体" w:eastAsia="宋体" w:cs="宋体"/>
          <w:b/>
          <w:b/>
          <w:bCs/>
          <w:sz w:val="24"/>
        </w:rPr>
      </w:pPr>
      <w:r>
        <w:rPr>
          <w:rFonts w:eastAsia="宋体" w:cs="宋体" w:ascii="宋体" w:hAnsi="宋体"/>
          <w:b/>
          <w:bCs/>
          <w:sz w:val="24"/>
        </w:rPr>
        <w:t xml:space="preserve">5.5 </w:t>
      </w:r>
      <w:r>
        <w:rPr>
          <w:rFonts w:ascii="宋体" w:hAnsi="宋体" w:cs="宋体" w:eastAsia="宋体"/>
          <w:b/>
          <w:bCs/>
          <w:sz w:val="24"/>
        </w:rPr>
        <w:t>风险控制措施有效性的评审</w:t>
      </w:r>
    </w:p>
    <w:p>
      <w:pPr>
        <w:pStyle w:val="Normal"/>
        <w:spacing w:lineRule="auto" w:line="360"/>
        <w:rPr>
          <w:rFonts w:ascii="宋体" w:hAnsi="宋体" w:eastAsia="宋体" w:cs="宋体"/>
          <w:sz w:val="24"/>
        </w:rPr>
      </w:pPr>
      <w:r>
        <w:rPr>
          <w:rFonts w:ascii="宋体" w:hAnsi="宋体" w:cs="宋体" w:eastAsia="宋体"/>
          <w:sz w:val="24"/>
        </w:rPr>
        <w:t>利用内审、管理评审对公司及各部门风险控制措施的有效性进行评价。</w:t>
      </w:r>
    </w:p>
    <w:p>
      <w:pPr>
        <w:pStyle w:val="Normal"/>
        <w:spacing w:lineRule="auto" w:line="360"/>
        <w:rPr>
          <w:rFonts w:ascii="宋体" w:hAnsi="宋体" w:eastAsia="宋体" w:cs="宋体"/>
          <w:b/>
          <w:b/>
          <w:sz w:val="24"/>
        </w:rPr>
      </w:pPr>
      <w:r>
        <w:rPr>
          <w:rFonts w:eastAsia="宋体" w:cs="宋体" w:ascii="宋体" w:hAnsi="宋体"/>
          <w:b/>
          <w:sz w:val="24"/>
        </w:rPr>
        <w:t xml:space="preserve">6 </w:t>
      </w:r>
      <w:r>
        <w:rPr>
          <w:rFonts w:ascii="宋体" w:hAnsi="宋体" w:cs="宋体" w:eastAsia="宋体"/>
          <w:b/>
          <w:sz w:val="24"/>
        </w:rPr>
        <w:t>相关文件</w:t>
      </w:r>
    </w:p>
    <w:p>
      <w:pPr>
        <w:pStyle w:val="Normal"/>
        <w:spacing w:lineRule="auto" w:line="360"/>
        <w:rPr>
          <w:rFonts w:ascii="宋体" w:hAnsi="宋体" w:eastAsia="宋体" w:cs="宋体"/>
          <w:sz w:val="24"/>
        </w:rPr>
      </w:pPr>
      <w:r>
        <w:rPr>
          <w:rFonts w:eastAsia="宋体" w:cs="宋体" w:ascii="宋体" w:hAnsi="宋体"/>
          <w:sz w:val="24"/>
          <w:lang w:val="en-US" w:eastAsia="zh-CN"/>
        </w:rPr>
        <w:t>QMS-QM</w:t>
      </w:r>
      <w:r>
        <w:rPr>
          <w:rFonts w:ascii="宋体" w:hAnsi="宋体" w:cs="宋体" w:eastAsia="宋体"/>
          <w:sz w:val="24"/>
        </w:rPr>
        <w:t>《质量手册》</w:t>
      </w:r>
    </w:p>
    <w:p>
      <w:pPr>
        <w:pStyle w:val="Normal"/>
        <w:spacing w:lineRule="auto" w:line="360"/>
        <w:rPr>
          <w:rFonts w:ascii="宋体" w:hAnsi="宋体" w:eastAsia="宋体" w:cs="宋体"/>
          <w:b/>
          <w:b/>
          <w:sz w:val="24"/>
        </w:rPr>
      </w:pPr>
      <w:r>
        <w:rPr>
          <w:rFonts w:eastAsia="宋体" w:cs="宋体" w:ascii="宋体" w:hAnsi="宋体"/>
          <w:b/>
          <w:sz w:val="24"/>
        </w:rPr>
        <w:t xml:space="preserve">7 </w:t>
      </w:r>
      <w:r>
        <w:rPr>
          <w:rFonts w:ascii="宋体" w:hAnsi="宋体" w:cs="宋体" w:eastAsia="宋体"/>
          <w:b/>
          <w:sz w:val="24"/>
        </w:rPr>
        <w:t>相关记录</w:t>
      </w:r>
    </w:p>
    <w:p>
      <w:pPr>
        <w:pStyle w:val="Normal"/>
        <w:spacing w:lineRule="auto" w:line="360"/>
        <w:ind w:firstLine="120"/>
        <w:rPr>
          <w:rFonts w:ascii="宋体" w:hAnsi="宋体" w:eastAsia="宋体" w:cs="宋体"/>
          <w:sz w:val="24"/>
        </w:rPr>
      </w:pPr>
      <w:r>
        <w:rPr>
          <w:rFonts w:eastAsia="宋体" w:cs="宋体" w:ascii="宋体" w:hAnsi="宋体"/>
          <w:sz w:val="24"/>
          <w:lang w:val="en-US" w:eastAsia="zh-CN"/>
        </w:rPr>
        <w:t>QMS-P30-R1</w:t>
      </w:r>
      <w:r>
        <w:rPr>
          <w:rFonts w:ascii="宋体" w:hAnsi="宋体" w:cs="宋体" w:eastAsia="宋体"/>
          <w:sz w:val="24"/>
        </w:rPr>
        <w:t>《内外部环境识别评价表》</w:t>
      </w:r>
    </w:p>
    <w:p>
      <w:pPr>
        <w:pStyle w:val="Normal"/>
        <w:spacing w:lineRule="auto" w:line="360"/>
        <w:ind w:firstLine="120"/>
        <w:rPr>
          <w:rFonts w:ascii="宋体" w:hAnsi="宋体" w:eastAsia="宋体" w:cs="宋体"/>
          <w:sz w:val="24"/>
        </w:rPr>
      </w:pPr>
      <w:r>
        <w:rPr>
          <w:rFonts w:eastAsia="宋体" w:cs="宋体" w:ascii="宋体" w:hAnsi="宋体"/>
          <w:sz w:val="24"/>
          <w:lang w:val="en-US" w:eastAsia="zh-CN"/>
        </w:rPr>
        <w:t>QMS-P30-R2</w:t>
      </w:r>
      <w:r>
        <w:rPr>
          <w:rFonts w:ascii="宋体" w:hAnsi="宋体" w:cs="宋体" w:eastAsia="宋体"/>
          <w:sz w:val="24"/>
        </w:rPr>
        <w:t>《相关方需求和期望识别评价表》</w:t>
      </w:r>
    </w:p>
    <w:p>
      <w:pPr>
        <w:pStyle w:val="Normal"/>
        <w:spacing w:lineRule="auto" w:line="360"/>
        <w:ind w:firstLine="120"/>
        <w:rPr>
          <w:rFonts w:ascii="宋体" w:hAnsi="宋体" w:eastAsia="宋体" w:cs="宋体"/>
          <w:sz w:val="24"/>
        </w:rPr>
      </w:pPr>
      <w:r>
        <w:rPr>
          <w:rFonts w:eastAsia="宋体" w:cs="宋体" w:ascii="宋体" w:hAnsi="宋体"/>
          <w:sz w:val="24"/>
          <w:lang w:val="en-US" w:eastAsia="zh-CN"/>
        </w:rPr>
        <w:t>QMS-P30-R3</w:t>
      </w:r>
      <w:r>
        <w:rPr>
          <w:rFonts w:ascii="宋体" w:hAnsi="宋体" w:cs="宋体" w:eastAsia="宋体"/>
          <w:sz w:val="24"/>
        </w:rPr>
        <w:t>《风险和机遇识别评价表》</w:t>
      </w:r>
    </w:p>
    <w:p>
      <w:pPr>
        <w:pStyle w:val="Normal"/>
        <w:spacing w:lineRule="auto" w:line="360"/>
        <w:ind w:firstLine="120"/>
        <w:rPr>
          <w:rFonts w:ascii="宋体" w:hAnsi="宋体" w:eastAsia="宋体" w:cs="宋体"/>
          <w:sz w:val="24"/>
        </w:rPr>
      </w:pPr>
      <w:r>
        <w:rPr>
          <w:rFonts w:eastAsia="宋体" w:cs="宋体" w:ascii="宋体" w:hAnsi="宋体"/>
          <w:sz w:val="24"/>
        </w:rPr>
      </w:r>
    </w:p>
    <w:p>
      <w:pPr>
        <w:pStyle w:val="Normal"/>
        <w:spacing w:lineRule="auto" w:line="360"/>
        <w:ind w:firstLine="120"/>
        <w:rPr>
          <w:rFonts w:ascii="宋体" w:hAnsi="宋体" w:eastAsia="宋体" w:cs="宋体"/>
          <w:sz w:val="24"/>
        </w:rPr>
      </w:pPr>
      <w:r>
        <w:rPr>
          <w:rFonts w:eastAsia="宋体" w:cs="宋体" w:ascii="宋体" w:hAnsi="宋体"/>
          <w:sz w:val="24"/>
        </w:rPr>
      </w:r>
    </w:p>
    <w:p>
      <w:pPr>
        <w:pStyle w:val="Normal"/>
        <w:spacing w:lineRule="auto" w:line="360"/>
        <w:ind w:firstLine="120"/>
        <w:rPr>
          <w:rFonts w:ascii="宋体" w:hAnsi="宋体" w:eastAsia="宋体" w:cs="宋体"/>
          <w:b/>
          <w:b/>
          <w:bCs/>
          <w:sz w:val="24"/>
        </w:rPr>
      </w:pPr>
      <w:r>
        <w:rPr>
          <w:rFonts w:eastAsia="宋体" w:cs="宋体" w:ascii="宋体" w:hAnsi="宋体"/>
          <w:b/>
          <w:bCs/>
          <w:sz w:val="24"/>
          <w:lang w:val="en-US" w:eastAsia="zh-CN"/>
        </w:rPr>
        <w:t>8.</w:t>
      </w:r>
      <w:r>
        <w:rPr>
          <w:rFonts w:ascii="宋体" w:hAnsi="宋体" w:cs="宋体" w:eastAsia="宋体"/>
          <w:b/>
          <w:bCs/>
          <w:sz w:val="24"/>
        </w:rPr>
        <w:t>文件更改履历表</w:t>
      </w:r>
    </w:p>
    <w:tbl>
      <w:tblPr>
        <w:tblW w:w="9011" w:type="dxa"/>
        <w:jc w:val="left"/>
        <w:tblInd w:w="269" w:type="dxa"/>
        <w:tblLayout w:type="fixed"/>
        <w:tblCellMar>
          <w:top w:w="0" w:type="dxa"/>
          <w:left w:w="108" w:type="dxa"/>
          <w:bottom w:w="0" w:type="dxa"/>
          <w:right w:w="108" w:type="dxa"/>
        </w:tblCellMar>
      </w:tblPr>
      <w:tblGrid>
        <w:gridCol w:w="1559"/>
        <w:gridCol w:w="4978"/>
        <w:gridCol w:w="2474"/>
      </w:tblGrid>
      <w:tr>
        <w:trPr>
          <w:trHeight w:val="378"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120"/>
              <w:rPr>
                <w:rFonts w:ascii="宋体" w:hAnsi="宋体" w:eastAsia="宋体" w:cs="宋体"/>
                <w:sz w:val="24"/>
              </w:rPr>
            </w:pPr>
            <w:r>
              <w:rPr>
                <w:rFonts w:ascii="宋体" w:hAnsi="宋体" w:cs="宋体" w:eastAsia="宋体"/>
                <w:sz w:val="24"/>
              </w:rPr>
              <w:t>版本号</w:t>
            </w:r>
          </w:p>
        </w:tc>
        <w:tc>
          <w:tcPr>
            <w:tcW w:w="4978" w:type="dxa"/>
            <w:tcBorders>
              <w:top w:val="single" w:sz="12" w:space="0" w:color="000000"/>
              <w:left w:val="single" w:sz="6" w:space="0" w:color="000000"/>
              <w:bottom w:val="single" w:sz="6" w:space="0" w:color="000000"/>
              <w:right w:val="single" w:sz="4" w:space="0" w:color="000000"/>
            </w:tcBorders>
            <w:vAlign w:val="center"/>
          </w:tcPr>
          <w:p>
            <w:pPr>
              <w:pStyle w:val="Normal"/>
              <w:spacing w:lineRule="auto" w:line="360"/>
              <w:ind w:firstLine="120"/>
              <w:rPr>
                <w:rFonts w:ascii="宋体" w:hAnsi="宋体" w:eastAsia="宋体" w:cs="宋体"/>
                <w:sz w:val="24"/>
              </w:rPr>
            </w:pPr>
            <w:r>
              <w:rPr>
                <w:rFonts w:ascii="宋体" w:hAnsi="宋体" w:cs="宋体" w:eastAsia="宋体"/>
                <w:sz w:val="24"/>
              </w:rPr>
              <w:t>更改描述</w:t>
            </w:r>
          </w:p>
        </w:tc>
        <w:tc>
          <w:tcPr>
            <w:tcW w:w="2474" w:type="dxa"/>
            <w:tcBorders>
              <w:top w:val="single" w:sz="12" w:space="0" w:color="000000"/>
              <w:left w:val="single" w:sz="4" w:space="0" w:color="000000"/>
              <w:bottom w:val="single" w:sz="6" w:space="0" w:color="000000"/>
              <w:right w:val="single" w:sz="12" w:space="0" w:color="000000"/>
            </w:tcBorders>
            <w:vAlign w:val="center"/>
          </w:tcPr>
          <w:p>
            <w:pPr>
              <w:pStyle w:val="Normal"/>
              <w:spacing w:lineRule="auto" w:line="360"/>
              <w:ind w:firstLine="120"/>
              <w:rPr>
                <w:rFonts w:ascii="宋体" w:hAnsi="宋体" w:eastAsia="宋体" w:cs="宋体"/>
                <w:sz w:val="24"/>
              </w:rPr>
            </w:pPr>
            <w:r>
              <w:rPr>
                <w:rFonts w:ascii="宋体" w:hAnsi="宋体" w:cs="宋体" w:eastAsia="宋体"/>
                <w:sz w:val="24"/>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Normal"/>
              <w:spacing w:lineRule="auto" w:line="360"/>
              <w:ind w:firstLine="120"/>
              <w:rPr>
                <w:rFonts w:ascii="宋体" w:hAnsi="宋体" w:eastAsia="宋体" w:cs="宋体"/>
                <w:sz w:val="24"/>
              </w:rPr>
            </w:pPr>
            <w:r>
              <w:rPr>
                <w:rFonts w:eastAsia="宋体" w:cs="宋体" w:ascii="宋体" w:hAnsi="宋体"/>
                <w:sz w:val="24"/>
              </w:rPr>
              <w:t>A00</w:t>
            </w:r>
          </w:p>
        </w:tc>
        <w:tc>
          <w:tcPr>
            <w:tcW w:w="4978" w:type="dxa"/>
            <w:tcBorders>
              <w:top w:val="single" w:sz="6" w:space="0" w:color="000000"/>
              <w:left w:val="single" w:sz="6" w:space="0" w:color="000000"/>
              <w:bottom w:val="single" w:sz="12" w:space="0" w:color="000000"/>
              <w:right w:val="single" w:sz="4" w:space="0" w:color="000000"/>
            </w:tcBorders>
          </w:tcPr>
          <w:p>
            <w:pPr>
              <w:pStyle w:val="Normal"/>
              <w:spacing w:lineRule="auto" w:line="360"/>
              <w:ind w:firstLine="120"/>
              <w:rPr>
                <w:rFonts w:ascii="宋体" w:hAnsi="宋体" w:eastAsia="宋体" w:cs="宋体"/>
                <w:sz w:val="24"/>
              </w:rPr>
            </w:pPr>
            <w:r>
              <w:rPr>
                <w:rFonts w:ascii="宋体" w:hAnsi="宋体" w:cs="宋体" w:eastAsia="宋体"/>
                <w:sz w:val="24"/>
              </w:rPr>
              <w:t>新文件</w:t>
            </w:r>
          </w:p>
        </w:tc>
        <w:tc>
          <w:tcPr>
            <w:tcW w:w="2474" w:type="dxa"/>
            <w:tcBorders>
              <w:top w:val="single" w:sz="6" w:space="0" w:color="000000"/>
              <w:left w:val="single" w:sz="4" w:space="0" w:color="000000"/>
              <w:bottom w:val="single" w:sz="12" w:space="0" w:color="000000"/>
              <w:right w:val="single" w:sz="12" w:space="0" w:color="000000"/>
            </w:tcBorders>
          </w:tcPr>
          <w:p>
            <w:pPr>
              <w:pStyle w:val="Normal"/>
              <w:spacing w:lineRule="auto" w:line="360"/>
              <w:ind w:firstLine="120"/>
              <w:rPr>
                <w:rFonts w:ascii="宋体" w:hAnsi="宋体" w:eastAsia="宋体" w:cs="宋体"/>
                <w:sz w:val="24"/>
                <w:lang w:val="en-US" w:eastAsia="zh-CN"/>
              </w:rPr>
            </w:pPr>
            <w:r>
              <w:rPr>
                <w:rFonts w:eastAsia="宋体" w:cs="宋体" w:ascii="宋体" w:hAnsi="宋体"/>
                <w:sz w:val="24"/>
              </w:rPr>
              <w:t>202</w:t>
            </w:r>
            <w:r>
              <w:rPr>
                <w:rFonts w:eastAsia="宋体" w:cs="宋体" w:ascii="宋体" w:hAnsi="宋体"/>
                <w:sz w:val="24"/>
                <w:lang w:val="en-US" w:eastAsia="zh-CN"/>
              </w:rPr>
              <w:t>2</w:t>
            </w:r>
            <w:r>
              <w:rPr>
                <w:rFonts w:eastAsia="宋体" w:cs="宋体" w:ascii="宋体" w:hAnsi="宋体"/>
                <w:sz w:val="24"/>
              </w:rPr>
              <w:t>-0</w:t>
            </w:r>
            <w:r>
              <w:rPr>
                <w:rFonts w:eastAsia="宋体" w:cs="宋体" w:ascii="宋体" w:hAnsi="宋体"/>
                <w:sz w:val="24"/>
                <w:lang w:val="en-US" w:eastAsia="zh-CN"/>
              </w:rPr>
              <w:t>7</w:t>
            </w:r>
            <w:r>
              <w:rPr>
                <w:rFonts w:eastAsia="宋体" w:cs="宋体" w:ascii="宋体" w:hAnsi="宋体"/>
                <w:sz w:val="24"/>
              </w:rPr>
              <w:t>-</w:t>
            </w:r>
            <w:r>
              <w:rPr>
                <w:rFonts w:eastAsia="宋体" w:cs="宋体" w:ascii="宋体" w:hAnsi="宋体"/>
                <w:sz w:val="24"/>
                <w:lang w:val="en-US" w:eastAsia="zh-CN"/>
              </w:rPr>
              <w:t>15</w:t>
            </w:r>
          </w:p>
        </w:tc>
      </w:tr>
    </w:tbl>
    <w:p>
      <w:pPr>
        <w:pStyle w:val="Normal"/>
        <w:spacing w:lineRule="auto" w:line="360"/>
        <w:ind w:firstLine="120"/>
        <w:rPr>
          <w:rFonts w:ascii="宋体" w:hAnsi="宋体" w:eastAsia="宋体" w:cs="宋体"/>
          <w:sz w:val="24"/>
        </w:rPr>
      </w:pPr>
      <w:r>
        <w:rPr>
          <w:rFonts w:eastAsia="宋体" w:cs="宋体" w:ascii="宋体" w:hAnsi="宋体"/>
          <w:sz w:val="24"/>
        </w:rPr>
      </w:r>
    </w:p>
    <w:sectPr>
      <w:headerReference w:type="default" r:id="rId10"/>
      <w:footerReference w:type="default" r:id="rId11"/>
      <w:type w:val="nextPage"/>
      <w:pgSz w:w="11906" w:h="16838"/>
      <w:pgMar w:left="1134" w:right="1134" w:gutter="0" w:header="851" w:top="1134" w:footer="992" w:bottom="1134"/>
      <w:pgNumType w:start="1"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86"/>
    <w:family w:val="auto"/>
    <w:pitch w:val="default"/>
  </w:font>
  <w:font w:name="Arial Black">
    <w:charset w:val="00"/>
    <w:family w:val="swiss"/>
    <w:pitch w:val="default"/>
  </w:font>
  <w:font w:name="Liberation Sans">
    <w:altName w:val="Arial"/>
    <w:charset w:val="01"/>
    <w:family w:val="swiss"/>
    <w:pitch w:val="variable"/>
  </w:font>
  <w:font w:name="ËÎÌå">
    <w:altName w:val="宋体"/>
    <w:charset w:val="86"/>
    <w:family w:val="auto"/>
    <w:pitch w:val="default"/>
  </w:font>
  <w:font w:name="宋体">
    <w:charset w:val="86"/>
    <w:family w:val="auto"/>
    <w:pitch w:val="default"/>
  </w:font>
  <w:font w:name="Arial">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tbl>
    <w:tblPr>
      <w:tblW w:w="9349" w:type="dxa"/>
      <w:jc w:val="left"/>
      <w:tblInd w:w="269"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 w:hAnsi="宋体" w:eastAsia="宋体" w:cs="宋体"/>
            </w:rPr>
          </w:pPr>
          <w:r>
            <w:rPr>
              <w:rFonts w:ascii="宋体" w:hAnsi="宋体" w:cs="宋体" w:eastAsia="宋体"/>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eastAsia="宋体" w:cs="宋体"/>
            </w:rPr>
          </w:pPr>
          <w:r>
            <w:rPr>
              <w:rFonts w:ascii="宋体" w:hAnsi="宋体" w:cs="宋体" w:eastAsia="宋体"/>
            </w:rPr>
            <w:t>风险分析和识别评价控制程序</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lang w:val="en-US" w:eastAsia="zh-CN"/>
            </w:rPr>
          </w:pPr>
          <w:r>
            <w:rPr>
              <w:rFonts w:ascii="宋体" w:hAnsi="宋体" w:cs="宋体" w:eastAsia="宋体"/>
              <w:sz w:val="24"/>
              <w:szCs w:val="24"/>
              <w:lang w:val="en-US" w:eastAsia="zh-CN"/>
            </w:rPr>
            <w:t xml:space="preserve">文件编号：    </w:t>
          </w:r>
          <w:r>
            <w:rPr>
              <w:rFonts w:eastAsia="宋体" w:cs="宋体" w:ascii="宋体" w:hAnsi="宋体"/>
              <w:sz w:val="24"/>
              <w:szCs w:val="24"/>
              <w:lang w:val="en-US" w:eastAsia="zh-CN"/>
            </w:rPr>
            <w:t>QMS-P30</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 w:hAnsi="宋体" w:eastAsia="宋体" w:cs="宋体"/>
              <w:sz w:val="24"/>
              <w:szCs w:val="24"/>
              <w:lang w:val="en-US" w:eastAsia="zh-CN"/>
            </w:rPr>
          </w:pPr>
          <w:r>
            <w:rPr>
              <w:rFonts w:eastAsia="宋体" w:cs="宋体" w:ascii="宋体" w:hAnsi="宋体"/>
              <w:sz w:val="24"/>
              <w:szCs w:val="24"/>
              <w:lang w:val="en-US" w:eastAsia="zh-CN"/>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 w:hAnsi="宋体" w:eastAsia="宋体" w:cs="宋体"/>
              <w:lang w:val="en-US" w:eastAsia="zh-CN"/>
            </w:rPr>
          </w:pPr>
          <w:r>
            <w:rPr>
              <w:rFonts w:eastAsia="宋体" w:cs="宋体" w:ascii="宋体" w:hAnsi="宋体"/>
              <w:lang w:val="en-US" w:eastAsia="zh-C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lang w:val="en-US" w:eastAsia="zh-CN"/>
            </w:rPr>
          </w:pPr>
          <w:r>
            <w:rPr>
              <w:rFonts w:ascii="宋体" w:hAnsi="宋体" w:cs="宋体" w:eastAsia="宋体"/>
              <w:sz w:val="24"/>
              <w:szCs w:val="24"/>
              <w:lang w:val="en-US" w:eastAsia="zh-CN"/>
            </w:rPr>
            <w:t xml:space="preserve">版本修订号：   </w:t>
          </w:r>
          <w:r>
            <w:rPr>
              <w:rFonts w:eastAsia="宋体" w:cs="宋体" w:ascii="宋体" w:hAnsi="宋体"/>
              <w:sz w:val="24"/>
              <w:szCs w:val="24"/>
              <w:lang w:val="en-US" w:eastAsia="zh-CN"/>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 w:hAnsi="宋体" w:eastAsia="宋体" w:cs="宋体"/>
            </w:rPr>
          </w:pPr>
          <w:r>
            <w:rPr>
              <w:rFonts w:ascii="宋体" w:hAnsi="宋体" w:cs="宋体" w:eastAsia="宋体"/>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 w:hAnsi="宋体" w:eastAsia="宋体" w:cs="宋体"/>
              <w:bCs/>
              <w:sz w:val="21"/>
              <w:szCs w:val="21"/>
              <w:lang w:val="en-US" w:eastAsia="zh-CN"/>
            </w:rPr>
          </w:pPr>
          <w:r>
            <w:rPr>
              <w:rFonts w:ascii="宋体" w:hAnsi="宋体" w:cs="宋体" w:eastAsia="宋体"/>
              <w:sz w:val="24"/>
              <w:szCs w:val="24"/>
              <w:lang w:val="en-US" w:eastAsia="zh-CN"/>
            </w:rPr>
            <w:t xml:space="preserve">页      码：   </w:t>
          </w:r>
          <w:r>
            <w:rPr>
              <w:rFonts w:ascii="宋体" w:hAnsi="宋体" w:cs="宋体" w:eastAsia="宋体"/>
              <w:bCs/>
              <w:sz w:val="21"/>
              <w:szCs w:val="21"/>
              <w:lang w:val="en-US" w:eastAsia="zh-CN"/>
            </w:rPr>
            <w:fldChar w:fldCharType="begin"/>
          </w:r>
          <w:r>
            <w:rPr>
              <w:sz w:val="21"/>
              <w:szCs w:val="21"/>
              <w:bCs/>
              <w:rFonts w:ascii="宋体" w:hAnsi="宋体" w:cs="宋体" w:eastAsia="宋体"/>
              <w:lang w:val="en-US" w:eastAsia="zh-CN"/>
            </w:rPr>
            <w:instrText xml:space="preserve"> PAGE \* ARABIC </w:instrText>
          </w:r>
          <w:r>
            <w:rPr>
              <w:sz w:val="21"/>
              <w:szCs w:val="21"/>
              <w:bCs/>
              <w:rFonts w:ascii="宋体" w:hAnsi="宋体" w:cs="宋体" w:eastAsia="宋体"/>
              <w:lang w:val="en-US" w:eastAsia="zh-CN"/>
            </w:rPr>
            <w:fldChar w:fldCharType="separate"/>
          </w:r>
          <w:r>
            <w:rPr>
              <w:sz w:val="21"/>
              <w:szCs w:val="21"/>
              <w:bCs/>
              <w:rFonts w:ascii="宋体" w:hAnsi="宋体" w:cs="宋体" w:eastAsia="宋体"/>
              <w:lang w:val="en-US" w:eastAsia="zh-CN"/>
            </w:rPr>
            <w:t>1</w:t>
          </w:r>
          <w:r>
            <w:rPr>
              <w:sz w:val="21"/>
              <w:szCs w:val="21"/>
              <w:bCs/>
              <w:rFonts w:ascii="宋体" w:hAnsi="宋体" w:cs="宋体" w:eastAsia="宋体"/>
              <w:lang w:val="en-US" w:eastAsia="zh-CN"/>
            </w:rPr>
            <w:fldChar w:fldCharType="end"/>
          </w:r>
          <w:r>
            <w:rPr>
              <w:rFonts w:ascii="宋体" w:hAnsi="宋体" w:cs="宋体" w:eastAsia="宋体"/>
              <w:sz w:val="21"/>
              <w:szCs w:val="21"/>
              <w:lang w:val="zh-CN" w:eastAsia="zh-CN"/>
            </w:rPr>
            <w:t xml:space="preserve"> </w:t>
          </w:r>
          <w:r>
            <w:rPr>
              <w:rFonts w:eastAsia="宋体" w:cs="宋体" w:ascii="宋体" w:hAnsi="宋体"/>
              <w:sz w:val="21"/>
              <w:szCs w:val="21"/>
              <w:lang w:val="zh-CN" w:eastAsia="zh-CN"/>
            </w:rPr>
            <w:t xml:space="preserve">/ </w:t>
          </w:r>
          <w:r>
            <w:rPr>
              <w:rFonts w:eastAsia="宋体" w:cs="宋体" w:ascii="宋体" w:hAnsi="宋体"/>
              <w:sz w:val="21"/>
              <w:szCs w:val="21"/>
              <w:lang w:val="zh-CN" w:eastAsia="zh-CN"/>
            </w:rPr>
            <w:t>7</w:t>
          </w:r>
        </w:p>
      </w:tc>
    </w:tr>
  </w:tbl>
  <w:p>
    <w:pPr>
      <w:pStyle w:val="Header"/>
      <w:pBdr>
        <w:bottom w:val="nil"/>
      </w:pBd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tbl>
    <w:tblPr>
      <w:tblW w:w="9349" w:type="dxa"/>
      <w:jc w:val="left"/>
      <w:tblInd w:w="269"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 w:hAnsi="宋体" w:eastAsia="宋体" w:cs="宋体"/>
            </w:rPr>
          </w:pPr>
          <w:r>
            <w:rPr>
              <w:rFonts w:ascii="宋体" w:hAnsi="宋体" w:cs="宋体" w:eastAsia="宋体"/>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eastAsia="宋体" w:cs="宋体"/>
            </w:rPr>
          </w:pPr>
          <w:r>
            <w:rPr>
              <w:rFonts w:ascii="宋体" w:hAnsi="宋体" w:cs="宋体" w:eastAsia="宋体"/>
            </w:rPr>
            <w:t>风险分析和识别评价控制程序</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lang w:val="en-US" w:eastAsia="zh-CN"/>
            </w:rPr>
          </w:pPr>
          <w:r>
            <w:rPr>
              <w:rFonts w:ascii="宋体" w:hAnsi="宋体" w:cs="宋体" w:eastAsia="宋体"/>
              <w:sz w:val="24"/>
              <w:szCs w:val="24"/>
              <w:lang w:val="en-US" w:eastAsia="zh-CN"/>
            </w:rPr>
            <w:t xml:space="preserve">文件编号：    </w:t>
          </w:r>
          <w:r>
            <w:rPr>
              <w:rFonts w:eastAsia="宋体" w:cs="宋体" w:ascii="宋体" w:hAnsi="宋体"/>
              <w:sz w:val="24"/>
              <w:szCs w:val="24"/>
              <w:lang w:val="en-US" w:eastAsia="zh-CN"/>
            </w:rPr>
            <w:t>QMS-P30</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 w:hAnsi="宋体" w:eastAsia="宋体" w:cs="宋体"/>
              <w:sz w:val="24"/>
              <w:szCs w:val="24"/>
              <w:lang w:val="en-US" w:eastAsia="zh-CN"/>
            </w:rPr>
          </w:pPr>
          <w:r>
            <w:rPr>
              <w:rFonts w:eastAsia="宋体" w:cs="宋体" w:ascii="宋体" w:hAnsi="宋体"/>
              <w:sz w:val="24"/>
              <w:szCs w:val="24"/>
              <w:lang w:val="en-US" w:eastAsia="zh-CN"/>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 w:hAnsi="宋体" w:eastAsia="宋体" w:cs="宋体"/>
              <w:lang w:val="en-US" w:eastAsia="zh-CN"/>
            </w:rPr>
          </w:pPr>
          <w:r>
            <w:rPr>
              <w:rFonts w:eastAsia="宋体" w:cs="宋体" w:ascii="宋体" w:hAnsi="宋体"/>
              <w:lang w:val="en-US" w:eastAsia="zh-CN"/>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lang w:val="en-US" w:eastAsia="zh-CN"/>
            </w:rPr>
          </w:pPr>
          <w:r>
            <w:rPr>
              <w:rFonts w:ascii="宋体" w:hAnsi="宋体" w:cs="宋体" w:eastAsia="宋体"/>
              <w:sz w:val="24"/>
              <w:szCs w:val="24"/>
              <w:lang w:val="en-US" w:eastAsia="zh-CN"/>
            </w:rPr>
            <w:t xml:space="preserve">版本修订号：   </w:t>
          </w:r>
          <w:r>
            <w:rPr>
              <w:rFonts w:eastAsia="宋体" w:cs="宋体" w:ascii="宋体" w:hAnsi="宋体"/>
              <w:sz w:val="24"/>
              <w:szCs w:val="24"/>
              <w:lang w:val="en-US" w:eastAsia="zh-CN"/>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 w:hAnsi="宋体" w:eastAsia="宋体" w:cs="宋体"/>
            </w:rPr>
          </w:pPr>
          <w:r>
            <w:rPr>
              <w:rFonts w:ascii="宋体" w:hAnsi="宋体" w:cs="宋体" w:eastAsia="宋体"/>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 w:hAnsi="宋体" w:eastAsia="宋体" w:cs="宋体"/>
              <w:sz w:val="21"/>
              <w:szCs w:val="21"/>
              <w:lang w:val="en-US" w:eastAsia="zh-CN"/>
            </w:rPr>
          </w:pPr>
          <w:r>
            <w:rPr>
              <w:rFonts w:ascii="宋体" w:hAnsi="宋体" w:cs="宋体" w:eastAsia="宋体"/>
              <w:sz w:val="24"/>
              <w:szCs w:val="24"/>
              <w:lang w:val="en-US" w:eastAsia="zh-CN"/>
            </w:rPr>
            <w:t xml:space="preserve">页      码：   </w:t>
          </w:r>
          <w:r>
            <w:rPr>
              <w:rFonts w:ascii="宋体" w:hAnsi="宋体" w:cs="宋体" w:eastAsia="宋体"/>
              <w:bCs/>
              <w:sz w:val="21"/>
              <w:szCs w:val="21"/>
              <w:lang w:val="en-US" w:eastAsia="zh-CN"/>
            </w:rPr>
            <w:fldChar w:fldCharType="begin"/>
          </w:r>
          <w:r>
            <w:rPr>
              <w:sz w:val="21"/>
              <w:szCs w:val="21"/>
              <w:bCs/>
              <w:rFonts w:ascii="宋体" w:hAnsi="宋体" w:cs="宋体" w:eastAsia="宋体"/>
              <w:lang w:val="en-US" w:eastAsia="zh-CN"/>
            </w:rPr>
            <w:instrText xml:space="preserve"> PAGE \* ARABIC </w:instrText>
          </w:r>
          <w:r>
            <w:rPr>
              <w:sz w:val="21"/>
              <w:szCs w:val="21"/>
              <w:bCs/>
              <w:rFonts w:ascii="宋体" w:hAnsi="宋体" w:cs="宋体" w:eastAsia="宋体"/>
              <w:lang w:val="en-US" w:eastAsia="zh-CN"/>
            </w:rPr>
            <w:fldChar w:fldCharType="separate"/>
          </w:r>
          <w:r>
            <w:rPr>
              <w:sz w:val="21"/>
              <w:szCs w:val="21"/>
              <w:bCs/>
              <w:rFonts w:ascii="宋体" w:hAnsi="宋体" w:cs="宋体" w:eastAsia="宋体"/>
              <w:lang w:val="en-US" w:eastAsia="zh-CN"/>
            </w:rPr>
            <w:t>5</w:t>
          </w:r>
          <w:r>
            <w:rPr>
              <w:sz w:val="21"/>
              <w:szCs w:val="21"/>
              <w:bCs/>
              <w:rFonts w:ascii="宋体" w:hAnsi="宋体" w:cs="宋体" w:eastAsia="宋体"/>
              <w:lang w:val="en-US" w:eastAsia="zh-CN"/>
            </w:rPr>
            <w:fldChar w:fldCharType="end"/>
          </w:r>
          <w:r>
            <w:rPr>
              <w:rFonts w:ascii="宋体" w:hAnsi="宋体" w:cs="宋体" w:eastAsia="宋体"/>
              <w:sz w:val="21"/>
              <w:szCs w:val="21"/>
              <w:lang w:val="zh-CN" w:eastAsia="zh-CN"/>
            </w:rPr>
            <w:t xml:space="preserve"> </w:t>
          </w:r>
          <w:r>
            <w:rPr>
              <w:rFonts w:eastAsia="宋体" w:cs="宋体" w:ascii="宋体" w:hAnsi="宋体"/>
              <w:sz w:val="21"/>
              <w:szCs w:val="21"/>
              <w:lang w:val="zh-CN" w:eastAsia="zh-CN"/>
            </w:rPr>
            <w:t xml:space="preserve">/ </w:t>
          </w:r>
          <w:r>
            <w:rPr>
              <w:rFonts w:eastAsia="宋体" w:cs="宋体" w:ascii="宋体" w:hAnsi="宋体"/>
              <w:sz w:val="21"/>
              <w:szCs w:val="21"/>
              <w:lang w:val="en-US" w:eastAsia="zh-CN"/>
            </w:rPr>
            <w:t>5</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360" w:hanging="360"/>
      </w:pPr>
      <w:rPr/>
    </w:lvl>
    <w:lvl w:ilvl="1">
      <w:start w:val="1"/>
      <w:numFmt w:val="decimal"/>
      <w:lvlText w:val="%2）"/>
      <w:lvlJc w:val="left"/>
      <w:pPr>
        <w:tabs>
          <w:tab w:val="num" w:pos="0"/>
        </w:tabs>
        <w:ind w:left="780" w:hanging="360"/>
      </w:pPr>
      <w:r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等线"/>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style>
  <w:style w:type="character" w:styleId="Style13">
    <w:name w:val="默认段落字体"/>
    <w:qFormat/>
    <w:rPr/>
  </w:style>
  <w:style w:type="character" w:styleId="Style14">
    <w:name w:val="批注框文本 字符"/>
    <w:qFormat/>
    <w:rPr>
      <w:kern w:val="2"/>
      <w:sz w:val="18"/>
      <w:szCs w:val="18"/>
    </w:rPr>
  </w:style>
  <w:style w:type="character" w:styleId="Style15">
    <w:name w:val="页眉 字符"/>
    <w:qFormat/>
    <w:rPr>
      <w:kern w:val="2"/>
      <w:sz w:val="18"/>
      <w:szCs w:val="18"/>
    </w:rPr>
  </w:style>
  <w:style w:type="character" w:styleId="PageNumber">
    <w:name w:val="Page Number"/>
    <w:basedOn w:val="Style13"/>
    <w:rPr/>
  </w:style>
  <w:style w:type="character" w:styleId="St1">
    <w:name w:val="st1"/>
    <w:basedOn w:val="Style13"/>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pPr>
      <w:spacing w:before="0" w:after="120"/>
      <w:ind w:left="420" w:hanging="0"/>
    </w:pPr>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Style16">
    <w:name w:val="批注框文本"/>
    <w:basedOn w:val="Normal"/>
    <w:qFormat/>
    <w:pPr/>
    <w:rPr>
      <w:rFonts w:cs="Times New Roman"/>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cs="Times New Roman"/>
      <w:sz w:val="18"/>
      <w:szCs w:val="18"/>
    </w:rPr>
  </w:style>
  <w:style w:type="paragraph" w:styleId="3">
    <w:name w:val="正文文本缩进 3"/>
    <w:basedOn w:val="Normal"/>
    <w:qFormat/>
    <w:pPr>
      <w:widowControl/>
      <w:spacing w:before="0" w:after="120"/>
      <w:ind w:left="420" w:hanging="0"/>
      <w:jc w:val="left"/>
    </w:pPr>
    <w:rPr>
      <w:rFonts w:ascii="宋体" w:hAnsi="宋体" w:cs="宋体"/>
      <w:kern w:val="0"/>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hyperlink" Target="http://baike.baidu.com/view/176048.htm" TargetMode="External"/><Relationship Id="rId6" Type="http://schemas.openxmlformats.org/officeDocument/2006/relationships/hyperlink" Target="http://baike.baidu.com/view/3589747.htm" TargetMode="External"/><Relationship Id="rId7" Type="http://schemas.openxmlformats.org/officeDocument/2006/relationships/hyperlink" Target="http://baike.baidu.com/view/863635.htm" TargetMode="External"/><Relationship Id="rId8" Type="http://schemas.openxmlformats.org/officeDocument/2006/relationships/hyperlink" Target="http://baike.baidu.com/view/166459.htm" TargetMode="External"/><Relationship Id="rId9" Type="http://schemas.openxmlformats.org/officeDocument/2006/relationships/hyperlink" Target="http://baike.baidu.com/view/2123458.htm" TargetMode="Externa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2020-05-07T10:44:00Z</dcterms:created>
  <dc:creator>Hu</dc:creator>
  <dc:description/>
  <dc:language>en-US</dc:language>
  <cp:lastModifiedBy>M.Yu</cp:lastModifiedBy>
  <cp:lastPrinted>2022-11-11T13:24:00Z</cp:lastPrinted>
  <dcterms:modified xsi:type="dcterms:W3CDTF">2022-12-01T11:32:29Z</dcterms:modified>
  <cp:revision>14</cp:revision>
  <dc:subject/>
  <dc:title>  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587CBD68FB0C4FCEBE2A0D37DDE09DED</vt:lpwstr>
  </property>
  <property fmtid="{D5CDD505-2E9C-101B-9397-08002B2CF9AE}" pid="3" name="KSOProductBuildVer">
    <vt:lpwstr>2052-11.1.0.12763</vt:lpwstr>
  </property>
  <property fmtid="{D5CDD505-2E9C-101B-9397-08002B2CF9AE}" pid="4" name="commondata">
    <vt:lpwstr>commondata</vt:lpwstr>
  </property>
</Properties>
</file>