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rPr>
        <w:t>上海深至信息科技</w:t>
      </w:r>
      <w:r>
        <w:rPr>
          <w:rFonts w:ascii="宋体;SimSun" w:hAnsi="宋体;SimSun" w:cs="宋体;SimSun" w:eastAsia="宋体;SimSun"/>
          <w:b/>
          <w:sz w:val="32"/>
          <w:szCs w:val="32"/>
          <w:lang w:val="zh-CN"/>
        </w:rPr>
        <w:t>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变更</w:t>
      </w:r>
      <w:r>
        <w:rPr>
          <w:rFonts w:ascii="宋体;SimSun" w:hAnsi="宋体;SimSun" w:cs="宋体;SimSun" w:eastAsia="宋体;SimSun"/>
          <w:b/>
          <w:sz w:val="32"/>
          <w:szCs w:val="32"/>
        </w:rPr>
        <w:t>控制</w:t>
      </w:r>
      <w:r>
        <w:rPr>
          <w:rFonts w:ascii="宋体;SimSun" w:hAnsi="宋体;SimSun" w:cs="宋体;SimSun" w:eastAsia="宋体;SimSun"/>
          <w:b/>
          <w:sz w:val="32"/>
          <w:szCs w:val="32"/>
          <w:lang w:val="zh-CN"/>
        </w:rPr>
        <w:t>管理制度</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QMS-R1</w:t>
            </w:r>
            <w:r>
              <w:rPr>
                <w:rFonts w:eastAsia="宋体;SimSun" w:cs="宋体;SimSun" w:ascii="宋体;SimSun" w:hAnsi="宋体;SimSun"/>
                <w:sz w:val="30"/>
                <w:szCs w:val="30"/>
              </w:rPr>
              <w:t>2</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485"/>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485"/>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485"/>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eastAsia="宋体;SimSun" w:cs="宋体;SimSun" w:ascii="宋体;SimSun" w:hAnsi="宋体;SimSun"/>
          <w:b/>
          <w:sz w:val="30"/>
          <w:szCs w:val="30"/>
          <w:u w:val="single"/>
        </w:rPr>
        <w:tab/>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 w:val="left" w:pos="8647" w:leader="none"/>
        </w:tabs>
        <w:ind w:left="482" w:right="-2" w:hanging="482"/>
        <w:rPr>
          <w:rFonts w:ascii="宋体;SimSun" w:hAnsi="宋体;SimSun" w:eastAsia="宋体;SimSun" w:cs="宋体;SimSun"/>
          <w:b/>
          <w:b/>
          <w:sz w:val="24"/>
        </w:rPr>
      </w:pP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r>
        <w:rPr>
          <w:rFonts w:ascii="宋体;SimSun" w:hAnsi="宋体;SimSun" w:cs="宋体;SimSun" w:eastAsia="宋体;SimSun"/>
          <w:b/>
          <w:sz w:val="24"/>
        </w:rPr>
        <w:t>分发部门：</w:t>
      </w:r>
      <w:r>
        <w:rPr>
          <w:rFonts w:ascii="宋体;SimSun" w:hAnsi="宋体;SimSun" w:cs="宋体;SimSun" w:eastAsia="宋体;SimSun"/>
          <w:bCs/>
          <w:sz w:val="24"/>
        </w:rPr>
        <w:t>质量部、研发部、行政部、生产</w:t>
      </w:r>
      <w:r>
        <w:rPr>
          <w:rFonts w:eastAsia="宋体;SimSun" w:cs="宋体;SimSun" w:ascii="宋体;SimSun" w:hAnsi="宋体;SimSun"/>
          <w:bCs/>
          <w:sz w:val="24"/>
        </w:rPr>
        <w:t>/</w:t>
      </w:r>
      <w:r>
        <w:rPr>
          <w:rFonts w:ascii="宋体;SimSun" w:hAnsi="宋体;SimSun" w:cs="宋体;SimSun" w:eastAsia="宋体;SimSun"/>
          <w:bCs/>
          <w:sz w:val="24"/>
        </w:rPr>
        <w:t>运维部</w:t>
      </w:r>
      <w:r>
        <w:rPr>
          <w:rFonts w:ascii="宋体;SimSun" w:hAnsi="宋体;SimSun" w:cs="宋体;SimSun" w:eastAsia="宋体;SimSun"/>
          <w:b/>
          <w:sz w:val="24"/>
        </w:rPr>
        <w:t xml:space="preserve">  </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bCs/>
          <w:color w:val="FF0000"/>
          <w:sz w:val="24"/>
        </w:rPr>
        <w:t>20</w:t>
      </w:r>
      <w:r>
        <w:rPr>
          <w:rFonts w:eastAsia="宋体;SimSun" w:cs="宋体;SimSun" w:ascii="宋体;SimSun" w:hAnsi="宋体;SimSun"/>
          <w:bCs/>
          <w:color w:val="FF0000"/>
          <w:sz w:val="24"/>
        </w:rPr>
        <w:t>20</w:t>
      </w:r>
      <w:r>
        <w:rPr>
          <w:rFonts w:eastAsia="宋体;SimSun" w:cs="宋体;SimSun" w:ascii="宋体;SimSun" w:hAnsi="宋体;SimSun"/>
          <w:bCs/>
          <w:color w:val="FF0000"/>
          <w:sz w:val="24"/>
        </w:rPr>
        <w:t>-0</w:t>
      </w:r>
      <w:r>
        <w:rPr>
          <w:rFonts w:eastAsia="宋体;SimSun" w:cs="宋体;SimSun" w:ascii="宋体;SimSun" w:hAnsi="宋体;SimSun"/>
          <w:bCs/>
          <w:color w:val="FF0000"/>
          <w:sz w:val="24"/>
        </w:rPr>
        <w:t>6</w:t>
      </w:r>
      <w:r>
        <w:rPr>
          <w:rFonts w:eastAsia="宋体;SimSun" w:cs="宋体;SimSun" w:ascii="宋体;SimSun" w:hAnsi="宋体;SimSun"/>
          <w:bCs/>
          <w:color w:val="FF0000"/>
          <w:sz w:val="24"/>
        </w:rPr>
        <w:t>-</w:t>
      </w:r>
      <w:r>
        <w:rPr>
          <w:rFonts w:eastAsia="宋体;SimSun" w:cs="宋体;SimSun" w:ascii="宋体;SimSun" w:hAnsi="宋体;SimSun"/>
          <w:bCs/>
          <w:color w:val="FF0000"/>
          <w:sz w:val="24"/>
        </w:rPr>
        <w:t>22</w:t>
      </w:r>
    </w:p>
    <w:p>
      <w:pPr>
        <w:pStyle w:val="Normal"/>
        <w:tabs>
          <w:tab w:val="clear" w:pos="420"/>
          <w:tab w:val="left" w:pos="7513" w:leader="none"/>
        </w:tabs>
        <w:ind w:right="420"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firstLine="106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firstLine="1060"/>
        <w:rPr>
          <w:rFonts w:ascii="宋体;SimSun" w:hAnsi="宋体;SimSun" w:eastAsia="宋体;SimSun" w:cs="宋体;SimSun"/>
          <w:b/>
          <w:b/>
          <w:sz w:val="24"/>
        </w:rPr>
      </w:pPr>
      <w:r>
        <w:rPr>
          <w:rFonts w:eastAsia="宋体;SimSun" w:cs="宋体;SimSun" w:ascii="宋体;SimSun" w:hAnsi="宋体;SimSun"/>
          <w:b/>
          <w:sz w:val="24"/>
        </w:rPr>
      </w:r>
    </w:p>
    <w:p>
      <w:pPr>
        <w:sectPr>
          <w:type w:val="nextPage"/>
          <w:pgSz w:w="11906" w:h="16838"/>
          <w:pgMar w:left="1418" w:right="1418" w:gutter="0" w:header="0" w:top="1134" w:footer="0" w:bottom="1134"/>
          <w:pgNumType w:fmt="decimal"/>
          <w:formProt w:val="false"/>
          <w:textDirection w:val="lrTb"/>
          <w:docGrid w:type="lines" w:linePitch="312" w:charSpace="0"/>
        </w:sectPr>
      </w:pPr>
    </w:p>
    <w:p>
      <w:pPr>
        <w:pStyle w:val="Normal"/>
        <w:spacing w:lineRule="auto" w:line="360"/>
        <w:rPr>
          <w:rFonts w:ascii="宋体;SimSun" w:hAnsi="宋体;SimSun" w:eastAsia="宋体;SimSun" w:cs="宋体;SimSun"/>
          <w:b/>
          <w:b/>
        </w:rPr>
      </w:pPr>
      <w:r>
        <w:rPr>
          <w:rFonts w:eastAsia="宋体;SimSun" w:cs="宋体;SimSun" w:ascii="宋体;SimSun" w:hAnsi="宋体;SimSun"/>
          <w:b/>
        </w:rPr>
        <w:t>1</w:t>
      </w:r>
      <w:r>
        <w:rPr>
          <w:rFonts w:ascii="宋体;SimSun" w:hAnsi="宋体;SimSun" w:cs="宋体;SimSun" w:eastAsia="宋体;SimSun"/>
          <w:b/>
        </w:rPr>
        <w:t>、目的：</w:t>
      </w:r>
    </w:p>
    <w:p>
      <w:pPr>
        <w:pStyle w:val="Normal"/>
        <w:spacing w:lineRule="auto" w:line="360"/>
        <w:ind w:firstLine="420"/>
        <w:rPr>
          <w:rFonts w:ascii="宋体;SimSun" w:hAnsi="宋体;SimSun" w:eastAsia="宋体;SimSun" w:cs="宋体;SimSun"/>
        </w:rPr>
      </w:pPr>
      <w:r>
        <w:rPr>
          <w:rFonts w:ascii="宋体;SimSun" w:hAnsi="宋体;SimSun" w:cs="宋体;SimSun" w:eastAsia="宋体;SimSun"/>
        </w:rPr>
        <w:t xml:space="preserve">规定变更的程序及与此相关的管理，防止出现随意变更，确保所做的变更风险得到识别和控制，变更可以完全的发布和实施。 </w:t>
      </w:r>
    </w:p>
    <w:p>
      <w:pPr>
        <w:pStyle w:val="Normal"/>
        <w:spacing w:lineRule="auto" w:line="360"/>
        <w:rPr>
          <w:rFonts w:ascii="宋体;SimSun" w:hAnsi="宋体;SimSun" w:eastAsia="宋体;SimSun" w:cs="宋体;SimSun"/>
          <w:b/>
          <w:b/>
        </w:rPr>
      </w:pPr>
      <w:r>
        <w:rPr>
          <w:rFonts w:eastAsia="宋体;SimSun" w:cs="宋体;SimSun" w:ascii="宋体;SimSun" w:hAnsi="宋体;SimSun"/>
          <w:b/>
        </w:rPr>
        <w:t>2</w:t>
      </w:r>
      <w:r>
        <w:rPr>
          <w:rFonts w:ascii="宋体;SimSun" w:hAnsi="宋体;SimSun" w:cs="宋体;SimSun" w:eastAsia="宋体;SimSun"/>
          <w:b/>
        </w:rPr>
        <w:t>、范围：</w:t>
      </w:r>
    </w:p>
    <w:p>
      <w:pPr>
        <w:pStyle w:val="Normal"/>
        <w:spacing w:lineRule="auto" w:line="360"/>
        <w:ind w:firstLine="420"/>
        <w:rPr>
          <w:rFonts w:ascii="宋体;SimSun" w:hAnsi="宋体;SimSun" w:eastAsia="宋体;SimSun" w:cs="宋体;SimSun"/>
        </w:rPr>
      </w:pPr>
      <w:r>
        <w:rPr>
          <w:rFonts w:ascii="宋体;SimSun" w:hAnsi="宋体;SimSun" w:cs="宋体;SimSun" w:eastAsia="宋体;SimSun"/>
        </w:rPr>
        <w:t>公司运作过程中所涉及到的有关文件、厂房、设备</w:t>
      </w:r>
      <w:r>
        <w:rPr>
          <w:rFonts w:eastAsia="宋体;SimSun" w:cs="宋体;SimSun" w:ascii="宋体;SimSun" w:hAnsi="宋体;SimSun"/>
        </w:rPr>
        <w:t>/</w:t>
      </w:r>
      <w:r>
        <w:rPr>
          <w:rFonts w:ascii="宋体;SimSun" w:hAnsi="宋体;SimSun" w:cs="宋体;SimSun" w:eastAsia="宋体;SimSun"/>
        </w:rPr>
        <w:t>设施、工艺、检验方法、执行标准、物料、系统管理计软件及其他与体系有关的变更。</w:t>
      </w:r>
    </w:p>
    <w:p>
      <w:pPr>
        <w:pStyle w:val="Normal"/>
        <w:tabs>
          <w:tab w:val="clear" w:pos="420"/>
          <w:tab w:val="left" w:pos="6846" w:leader="none"/>
        </w:tabs>
        <w:spacing w:lineRule="auto" w:line="360"/>
        <w:rPr>
          <w:rFonts w:ascii="宋体;SimSun" w:hAnsi="宋体;SimSun" w:eastAsia="宋体;SimSun" w:cs="宋体;SimSun"/>
          <w:b/>
          <w:b/>
        </w:rPr>
      </w:pPr>
      <w:r>
        <w:rPr>
          <w:rFonts w:eastAsia="宋体;SimSun" w:cs="宋体;SimSun" w:ascii="宋体;SimSun" w:hAnsi="宋体;SimSun"/>
          <w:b/>
        </w:rPr>
        <w:t>3</w:t>
      </w:r>
      <w:r>
        <w:rPr>
          <w:rFonts w:ascii="宋体;SimSun" w:hAnsi="宋体;SimSun" w:cs="宋体;SimSun" w:eastAsia="宋体;SimSun"/>
          <w:b/>
        </w:rPr>
        <w:t>、职责</w:t>
      </w:r>
      <w:r>
        <w:rPr>
          <w:rFonts w:eastAsia="宋体;SimSun" w:cs="宋体;SimSun" w:ascii="宋体;SimSun" w:hAnsi="宋体;SimSun"/>
          <w:b/>
        </w:rPr>
        <w:tab/>
      </w:r>
    </w:p>
    <w:p>
      <w:pPr>
        <w:pStyle w:val="Normal"/>
        <w:spacing w:lineRule="auto" w:line="360"/>
        <w:ind w:firstLine="424"/>
        <w:rPr>
          <w:rFonts w:ascii="宋体;SimSun" w:hAnsi="宋体;SimSun" w:eastAsia="宋体;SimSun" w:cs="宋体;SimSun"/>
        </w:rPr>
      </w:pPr>
      <w:r>
        <w:rPr>
          <w:rFonts w:eastAsia="宋体;SimSun" w:cs="宋体;SimSun" w:ascii="宋体;SimSun" w:hAnsi="宋体;SimSun"/>
        </w:rPr>
        <w:t xml:space="preserve">3.1 </w:t>
      </w:r>
      <w:r>
        <w:rPr>
          <w:rFonts w:ascii="宋体;SimSun" w:hAnsi="宋体;SimSun" w:cs="宋体;SimSun" w:eastAsia="宋体;SimSun"/>
        </w:rPr>
        <w:t>质量部负责变更控制的管理工作。</w:t>
      </w:r>
    </w:p>
    <w:p>
      <w:pPr>
        <w:pStyle w:val="Normal"/>
        <w:spacing w:lineRule="auto" w:line="360"/>
        <w:ind w:firstLine="424"/>
        <w:rPr>
          <w:rFonts w:ascii="宋体;SimSun" w:hAnsi="宋体;SimSun" w:eastAsia="宋体;SimSun" w:cs="宋体;SimSun"/>
        </w:rPr>
      </w:pPr>
      <w:r>
        <w:rPr>
          <w:rFonts w:eastAsia="宋体;SimSun" w:cs="宋体;SimSun" w:ascii="宋体;SimSun" w:hAnsi="宋体;SimSun"/>
        </w:rPr>
        <w:t xml:space="preserve">3.2 </w:t>
      </w:r>
      <w:r>
        <w:rPr>
          <w:rFonts w:ascii="宋体;SimSun" w:hAnsi="宋体;SimSun" w:cs="宋体;SimSun" w:eastAsia="宋体;SimSun"/>
        </w:rPr>
        <w:t>公司各部门及人员按本规程执行。</w:t>
      </w:r>
    </w:p>
    <w:p>
      <w:pPr>
        <w:pStyle w:val="Normal"/>
        <w:spacing w:lineRule="auto" w:line="360"/>
        <w:rPr>
          <w:rFonts w:ascii="宋体;SimSun" w:hAnsi="宋体;SimSun" w:eastAsia="宋体;SimSun" w:cs="宋体;SimSun"/>
          <w:b/>
          <w:b/>
        </w:rPr>
      </w:pPr>
      <w:r>
        <w:rPr>
          <w:rFonts w:eastAsia="宋体;SimSun" w:cs="宋体;SimSun" w:ascii="宋体;SimSun" w:hAnsi="宋体;SimSun"/>
          <w:b/>
        </w:rPr>
        <w:t>4</w:t>
      </w:r>
      <w:r>
        <w:rPr>
          <w:rFonts w:ascii="宋体;SimSun" w:hAnsi="宋体;SimSun" w:cs="宋体;SimSun" w:eastAsia="宋体;SimSun"/>
          <w:b/>
        </w:rPr>
        <w:t>、程序</w:t>
      </w:r>
    </w:p>
    <w:p>
      <w:pPr>
        <w:pStyle w:val="Normal"/>
        <w:spacing w:lineRule="auto" w:line="360"/>
        <w:rPr>
          <w:rFonts w:ascii="宋体;SimSun" w:hAnsi="宋体;SimSun" w:eastAsia="宋体;SimSun" w:cs="宋体;SimSun"/>
          <w:b/>
          <w:b/>
        </w:rPr>
      </w:pPr>
      <w:r>
        <w:rPr>
          <w:rFonts w:eastAsia="宋体;SimSun" w:cs="宋体;SimSun" w:ascii="宋体;SimSun" w:hAnsi="宋体;SimSun"/>
          <w:b/>
        </w:rPr>
        <w:t xml:space="preserve">4.1 </w:t>
      </w:r>
      <w:r>
        <w:rPr>
          <w:rFonts w:ascii="宋体;SimSun" w:hAnsi="宋体;SimSun" w:cs="宋体;SimSun" w:eastAsia="宋体;SimSun"/>
          <w:b/>
        </w:rPr>
        <w:t>变更的分类</w:t>
      </w:r>
    </w:p>
    <w:p>
      <w:pPr>
        <w:pStyle w:val="Normal"/>
        <w:spacing w:lineRule="auto" w:line="360"/>
        <w:ind w:firstLine="420"/>
        <w:rPr>
          <w:rFonts w:ascii="宋体;SimSun" w:hAnsi="宋体;SimSun" w:eastAsia="宋体;SimSun" w:cs="宋体;SimSun"/>
        </w:rPr>
      </w:pPr>
      <w:r>
        <w:rPr>
          <w:rFonts w:ascii="宋体;SimSun" w:hAnsi="宋体;SimSun" w:cs="宋体;SimSun" w:eastAsia="宋体;SimSun"/>
        </w:rPr>
        <w:t>按照影响程度的不同，分成重大变更和一般变更：</w:t>
      </w:r>
    </w:p>
    <w:p>
      <w:pPr>
        <w:pStyle w:val="Normal"/>
        <w:spacing w:lineRule="auto" w:line="360"/>
        <w:rPr>
          <w:rFonts w:ascii="宋体;SimSun" w:hAnsi="宋体;SimSun" w:eastAsia="宋体;SimSun" w:cs="宋体;SimSun"/>
        </w:rPr>
      </w:pPr>
      <w:r>
        <w:rPr>
          <w:rFonts w:eastAsia="宋体;SimSun" w:cs="宋体;SimSun" w:ascii="宋体;SimSun" w:hAnsi="宋体;SimSun"/>
        </w:rPr>
        <w:t xml:space="preserve">4.1.1 </w:t>
      </w:r>
      <w:r>
        <w:rPr>
          <w:rFonts w:ascii="宋体;SimSun" w:hAnsi="宋体;SimSun" w:cs="宋体;SimSun" w:eastAsia="宋体;SimSun"/>
        </w:rPr>
        <w:t>重大变更：对以下方面有潜在影响的变更；</w:t>
      </w:r>
    </w:p>
    <w:p>
      <w:pPr>
        <w:pStyle w:val="Normal"/>
        <w:numPr>
          <w:ilvl w:val="0"/>
          <w:numId w:val="3"/>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注册信息</w:t>
      </w:r>
    </w:p>
    <w:p>
      <w:pPr>
        <w:pStyle w:val="Normal"/>
        <w:numPr>
          <w:ilvl w:val="0"/>
          <w:numId w:val="3"/>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产品技术要求</w:t>
      </w:r>
    </w:p>
    <w:p>
      <w:pPr>
        <w:pStyle w:val="Normal"/>
        <w:numPr>
          <w:ilvl w:val="0"/>
          <w:numId w:val="3"/>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产品质量要求（安全性和有效性）</w:t>
      </w:r>
    </w:p>
    <w:p>
      <w:pPr>
        <w:pStyle w:val="Normal"/>
        <w:numPr>
          <w:ilvl w:val="0"/>
          <w:numId w:val="3"/>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关键生产工艺和关键参数</w:t>
      </w:r>
    </w:p>
    <w:p>
      <w:pPr>
        <w:pStyle w:val="Normal"/>
        <w:spacing w:lineRule="auto" w:line="360"/>
        <w:rPr>
          <w:rFonts w:ascii="宋体;SimSun" w:hAnsi="宋体;SimSun" w:eastAsia="宋体;SimSun" w:cs="宋体;SimSun"/>
        </w:rPr>
      </w:pPr>
      <w:r>
        <w:rPr>
          <w:rFonts w:eastAsia="宋体;SimSun" w:cs="宋体;SimSun" w:ascii="宋体;SimSun" w:hAnsi="宋体;SimSun"/>
        </w:rPr>
        <w:t xml:space="preserve">4.1.2 </w:t>
      </w:r>
      <w:r>
        <w:rPr>
          <w:rFonts w:ascii="宋体;SimSun" w:hAnsi="宋体;SimSun" w:cs="宋体;SimSun" w:eastAsia="宋体;SimSun"/>
        </w:rPr>
        <w:t>一般变更：对生产、质量和检验、销售（分发）无影响或影响较小的更改，有如下特点：</w:t>
      </w:r>
    </w:p>
    <w:p>
      <w:pPr>
        <w:pStyle w:val="Normal"/>
        <w:numPr>
          <w:ilvl w:val="0"/>
          <w:numId w:val="4"/>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spacing w:val="6"/>
          <w:kern w:val="0"/>
          <w:szCs w:val="21"/>
        </w:rPr>
        <w:t>已经经过验证或确认、额外的检验或者经过数据统计证明的可行性的变更，并证明变更的可行性，在变更实施后无需再重复进行验证或确认、额外的检验的变更；</w:t>
      </w:r>
    </w:p>
    <w:p>
      <w:pPr>
        <w:pStyle w:val="Normal"/>
        <w:numPr>
          <w:ilvl w:val="0"/>
          <w:numId w:val="4"/>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spacing w:val="6"/>
          <w:kern w:val="0"/>
          <w:szCs w:val="21"/>
        </w:rPr>
        <w:t>变更范围对产品质量没有影响或影响甚微，变更后与变更前的产品质量具有等效性，并且变更实施后不需要经过验证或确认、额外的检验变更；</w:t>
      </w:r>
    </w:p>
    <w:p>
      <w:pPr>
        <w:pStyle w:val="Normal"/>
        <w:numPr>
          <w:ilvl w:val="0"/>
          <w:numId w:val="4"/>
        </w:numPr>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对注册信息、产品技术要求等没有影响</w:t>
      </w:r>
    </w:p>
    <w:p>
      <w:pPr>
        <w:pStyle w:val="Normal"/>
        <w:spacing w:lineRule="auto" w:line="360"/>
        <w:ind w:left="249" w:hanging="249"/>
        <w:rPr>
          <w:rFonts w:ascii="宋体;SimSun" w:hAnsi="宋体;SimSun" w:eastAsia="宋体;SimSun" w:cs="宋体;SimSun"/>
          <w:b/>
          <w:b/>
          <w:szCs w:val="21"/>
        </w:rPr>
      </w:pPr>
      <w:r>
        <w:rPr>
          <w:rFonts w:eastAsia="宋体;SimSun" w:cs="宋体;SimSun" w:ascii="宋体;SimSun" w:hAnsi="宋体;SimSun"/>
          <w:b/>
        </w:rPr>
        <w:t xml:space="preserve">4.2 </w:t>
      </w:r>
      <w:r>
        <w:rPr>
          <w:rFonts w:ascii="宋体;SimSun" w:hAnsi="宋体;SimSun" w:cs="宋体;SimSun" w:eastAsia="宋体;SimSun"/>
          <w:b/>
          <w:szCs w:val="21"/>
        </w:rPr>
        <w:t>变更控制原则</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4.2.1</w:t>
      </w:r>
      <w:r>
        <w:rPr>
          <w:rFonts w:ascii="宋体;SimSun" w:hAnsi="宋体;SimSun" w:cs="宋体;SimSun" w:eastAsia="宋体;SimSun"/>
          <w:szCs w:val="21"/>
        </w:rPr>
        <w:t>对所有影响产品质量的变更均应遵照变更控制系统进行评估和管理。国内销售的产品，涉及到产品的重大变更应经过监督管理部门批准或者进行相关的备案说明。</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4.2.2</w:t>
      </w:r>
      <w:r>
        <w:rPr>
          <w:rFonts w:ascii="宋体;SimSun" w:hAnsi="宋体;SimSun" w:cs="宋体;SimSun" w:eastAsia="宋体;SimSun"/>
          <w:szCs w:val="21"/>
        </w:rPr>
        <w:t>变更都应当评估其对产品质量的潜在影响。</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4.2.3</w:t>
      </w:r>
      <w:r>
        <w:rPr>
          <w:rFonts w:ascii="宋体;SimSun" w:hAnsi="宋体;SimSun" w:cs="宋体;SimSun" w:eastAsia="宋体;SimSun"/>
          <w:szCs w:val="21"/>
        </w:rPr>
        <w:t>判断变更所需的验证、额外的检验以及稳定性考察应当有科学的依据。</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4.2.4</w:t>
      </w:r>
      <w:r>
        <w:rPr>
          <w:rFonts w:ascii="宋体;SimSun" w:hAnsi="宋体;SimSun" w:cs="宋体;SimSun" w:eastAsia="宋体;SimSun"/>
          <w:szCs w:val="21"/>
        </w:rPr>
        <w:t>与产品质量、生产、管理有关的变更由申请部门提出后，应当经评估、制定实施计划并明确实施职责，最终由质量部门审核批准。变更实施应当有完整的记录。</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4.2.5</w:t>
      </w:r>
      <w:r>
        <w:rPr>
          <w:rFonts w:ascii="宋体;SimSun" w:hAnsi="宋体;SimSun" w:cs="宋体;SimSun" w:eastAsia="宋体;SimSun"/>
          <w:szCs w:val="21"/>
        </w:rPr>
        <w:t>变更实施时，应当确保与变更相关的文件均已修订。</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4.2.6</w:t>
      </w:r>
      <w:r>
        <w:rPr>
          <w:rFonts w:ascii="宋体;SimSun" w:hAnsi="宋体;SimSun" w:cs="宋体;SimSun" w:eastAsia="宋体;SimSun"/>
          <w:szCs w:val="21"/>
        </w:rPr>
        <w:t>质量部应当保存所有变更的文件和记录。</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4.2.7</w:t>
      </w:r>
      <w:r>
        <w:rPr>
          <w:rFonts w:ascii="宋体;SimSun" w:hAnsi="宋体;SimSun" w:cs="宋体;SimSun" w:eastAsia="宋体;SimSun"/>
          <w:szCs w:val="21"/>
        </w:rPr>
        <w:t>未经批准严禁对现行各种标准、规定、条件等进行任何变更。</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4.2.8</w:t>
      </w:r>
      <w:r>
        <w:rPr>
          <w:rFonts w:ascii="宋体;SimSun" w:hAnsi="宋体;SimSun" w:cs="宋体;SimSun" w:eastAsia="宋体;SimSun"/>
          <w:szCs w:val="21"/>
        </w:rPr>
        <w:t>变更在实施过程中必须严格按照经批准的操作规程或程序操作，并同步实施监控。</w:t>
      </w:r>
    </w:p>
    <w:p>
      <w:pPr>
        <w:pStyle w:val="Normal"/>
        <w:spacing w:lineRule="auto" w:line="360"/>
        <w:rPr>
          <w:rFonts w:ascii="宋体;SimSun" w:hAnsi="宋体;SimSun" w:eastAsia="宋体;SimSun" w:cs="宋体;SimSun"/>
          <w:b/>
          <w:b/>
        </w:rPr>
      </w:pPr>
      <w:r>
        <w:rPr>
          <w:rFonts w:eastAsia="宋体;SimSun" w:cs="宋体;SimSun" w:ascii="宋体;SimSun" w:hAnsi="宋体;SimSun"/>
          <w:b/>
        </w:rPr>
        <w:t xml:space="preserve">4.3 </w:t>
      </w:r>
      <w:r>
        <w:rPr>
          <w:rFonts w:ascii="宋体;SimSun" w:hAnsi="宋体;SimSun" w:cs="宋体;SimSun" w:eastAsia="宋体;SimSun"/>
          <w:b/>
          <w:bCs/>
          <w:szCs w:val="21"/>
        </w:rPr>
        <w:t>变更的发行和审批</w:t>
      </w:r>
    </w:p>
    <w:p>
      <w:pPr>
        <w:pStyle w:val="Style16"/>
        <w:spacing w:lineRule="auto" w:line="360"/>
        <w:ind w:left="1004" w:hanging="525"/>
        <w:rPr>
          <w:rFonts w:ascii="宋体;SimSun" w:hAnsi="宋体;SimSun" w:eastAsia="宋体;SimSun" w:cs="宋体;SimSun"/>
          <w:szCs w:val="21"/>
        </w:rPr>
      </w:pPr>
      <w:r>
        <w:rPr>
          <w:rFonts w:eastAsia="宋体;SimSun" w:cs="宋体;SimSun" w:ascii="宋体;SimSun" w:hAnsi="宋体;SimSun"/>
          <w:szCs w:val="21"/>
        </w:rPr>
        <w:t>4.3.1</w:t>
      </w:r>
      <w:r>
        <w:rPr>
          <w:rFonts w:ascii="宋体;SimSun" w:hAnsi="宋体;SimSun" w:cs="宋体;SimSun" w:eastAsia="宋体;SimSun"/>
          <w:szCs w:val="21"/>
        </w:rPr>
        <w:t>变更申请：相关部门提出更改并填写《变更申请单》中的相关内容：更改申请人，申请时间，更改描述，更改理由。变更申请填写完后，交给质量部进行预审核。</w:t>
      </w:r>
    </w:p>
    <w:p>
      <w:pPr>
        <w:pStyle w:val="Normal"/>
        <w:spacing w:lineRule="auto" w:line="360"/>
        <w:ind w:left="1012" w:hanging="525"/>
        <w:rPr>
          <w:rFonts w:ascii="宋体;SimSun" w:hAnsi="宋体;SimSun" w:eastAsia="宋体;SimSun" w:cs="宋体;SimSun"/>
          <w:szCs w:val="21"/>
        </w:rPr>
      </w:pPr>
      <w:r>
        <w:rPr>
          <w:rFonts w:eastAsia="宋体;SimSun" w:cs="宋体;SimSun" w:ascii="宋体;SimSun" w:hAnsi="宋体;SimSun"/>
          <w:szCs w:val="21"/>
        </w:rPr>
        <w:t>4.3.2</w:t>
      </w:r>
      <w:r>
        <w:rPr>
          <w:rFonts w:ascii="宋体;SimSun" w:hAnsi="宋体;SimSun" w:cs="宋体;SimSun" w:eastAsia="宋体;SimSun"/>
          <w:kern w:val="0"/>
          <w:szCs w:val="21"/>
        </w:rPr>
        <w:t>变更控制的编号管理：编号方式为：</w:t>
      </w:r>
      <w:r>
        <w:rPr>
          <w:rFonts w:eastAsia="宋体;SimSun" w:cs="宋体;SimSun" w:ascii="宋体;SimSun" w:hAnsi="宋体;SimSun"/>
          <w:kern w:val="0"/>
          <w:szCs w:val="21"/>
        </w:rPr>
        <w:t>BG -</w:t>
      </w:r>
      <w:r>
        <w:rPr>
          <w:rFonts w:ascii="宋体;SimSun" w:hAnsi="宋体;SimSun" w:cs="宋体;SimSun" w:eastAsia="宋体;SimSun"/>
          <w:kern w:val="0"/>
          <w:szCs w:val="21"/>
        </w:rPr>
        <w:t>年份</w:t>
      </w:r>
      <w:r>
        <w:rPr>
          <w:rFonts w:eastAsia="宋体;SimSun" w:cs="宋体;SimSun" w:ascii="宋体;SimSun" w:hAnsi="宋体;SimSun"/>
          <w:kern w:val="0"/>
          <w:szCs w:val="21"/>
        </w:rPr>
        <w:t>-</w:t>
      </w:r>
      <w:r>
        <w:rPr>
          <w:rFonts w:ascii="宋体;SimSun" w:hAnsi="宋体;SimSun" w:cs="宋体;SimSun" w:eastAsia="宋体;SimSun"/>
          <w:kern w:val="0"/>
          <w:szCs w:val="21"/>
        </w:rPr>
        <w:t>流水号，年份用四位数表示，流水号从</w:t>
      </w:r>
      <w:r>
        <w:rPr>
          <w:rFonts w:eastAsia="宋体;SimSun" w:cs="宋体;SimSun" w:ascii="宋体;SimSun" w:hAnsi="宋体;SimSun"/>
          <w:kern w:val="0"/>
          <w:szCs w:val="21"/>
        </w:rPr>
        <w:t>001</w:t>
      </w:r>
      <w:r>
        <w:rPr>
          <w:rFonts w:ascii="宋体;SimSun" w:hAnsi="宋体;SimSun" w:cs="宋体;SimSun" w:eastAsia="宋体;SimSun"/>
          <w:kern w:val="0"/>
          <w:szCs w:val="21"/>
        </w:rPr>
        <w:t>开始。例如：“</w:t>
      </w:r>
      <w:r>
        <w:rPr>
          <w:rFonts w:eastAsia="宋体;SimSun" w:cs="宋体;SimSun" w:ascii="宋体;SimSun" w:hAnsi="宋体;SimSun"/>
          <w:kern w:val="0"/>
          <w:szCs w:val="21"/>
        </w:rPr>
        <w:t>BG-20</w:t>
      </w:r>
      <w:r>
        <w:rPr>
          <w:rFonts w:eastAsia="宋体;SimSun" w:cs="宋体;SimSun" w:ascii="宋体;SimSun" w:hAnsi="宋体;SimSun"/>
          <w:kern w:val="0"/>
          <w:szCs w:val="21"/>
        </w:rPr>
        <w:t>20</w:t>
      </w:r>
      <w:r>
        <w:rPr>
          <w:rFonts w:eastAsia="宋体;SimSun" w:cs="宋体;SimSun" w:ascii="宋体;SimSun" w:hAnsi="宋体;SimSun"/>
          <w:kern w:val="0"/>
          <w:szCs w:val="21"/>
        </w:rPr>
        <w:t>-001”</w:t>
      </w:r>
      <w:r>
        <w:rPr>
          <w:rFonts w:ascii="宋体;SimSun" w:hAnsi="宋体;SimSun" w:cs="宋体;SimSun" w:eastAsia="宋体;SimSun"/>
          <w:kern w:val="0"/>
          <w:szCs w:val="21"/>
        </w:rPr>
        <w:t>表示</w:t>
      </w:r>
      <w:r>
        <w:rPr>
          <w:rFonts w:eastAsia="宋体;SimSun" w:cs="宋体;SimSun" w:ascii="宋体;SimSun" w:hAnsi="宋体;SimSun"/>
          <w:kern w:val="0"/>
          <w:szCs w:val="21"/>
        </w:rPr>
        <w:t>20</w:t>
      </w:r>
      <w:r>
        <w:rPr>
          <w:rFonts w:eastAsia="宋体;SimSun" w:cs="宋体;SimSun" w:ascii="宋体;SimSun" w:hAnsi="宋体;SimSun"/>
          <w:kern w:val="0"/>
          <w:szCs w:val="21"/>
        </w:rPr>
        <w:t>20</w:t>
      </w:r>
      <w:r>
        <w:rPr>
          <w:rFonts w:ascii="宋体;SimSun" w:hAnsi="宋体;SimSun" w:cs="宋体;SimSun" w:eastAsia="宋体;SimSun"/>
          <w:kern w:val="0"/>
          <w:szCs w:val="21"/>
        </w:rPr>
        <w:t>年发生的第一个变更。</w:t>
      </w:r>
    </w:p>
    <w:p>
      <w:pPr>
        <w:pStyle w:val="Normal"/>
        <w:spacing w:lineRule="auto" w:line="360"/>
        <w:ind w:left="248" w:hanging="248"/>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 xml:space="preserve">4.3.3 </w:t>
      </w:r>
      <w:r>
        <w:rPr>
          <w:rFonts w:ascii="宋体;SimSun" w:hAnsi="宋体;SimSun" w:cs="宋体;SimSun" w:eastAsia="宋体;SimSun"/>
          <w:szCs w:val="21"/>
        </w:rPr>
        <w:t>变更评估和审核：</w:t>
      </w:r>
    </w:p>
    <w:p>
      <w:pPr>
        <w:pStyle w:val="Normal"/>
        <w:spacing w:lineRule="auto" w:line="360"/>
        <w:ind w:left="1086" w:hanging="1086"/>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1</w:t>
      </w:r>
      <w:r>
        <w:rPr>
          <w:rFonts w:ascii="宋体;SimSun" w:hAnsi="宋体;SimSun" w:cs="宋体;SimSun" w:eastAsia="宋体;SimSun"/>
          <w:szCs w:val="21"/>
        </w:rPr>
        <w:t>）质量部接到“变更申请单’后，负责确认更改是否属于重大更改。如果属于重大的更改，质量部将组织相关部门进行预评审，各相关部门审核更改的可行性、评审确定更改实施和验证方案、临床验证</w:t>
      </w:r>
      <w:r>
        <w:rPr>
          <w:rFonts w:eastAsia="宋体;SimSun" w:cs="宋体;SimSun" w:ascii="宋体;SimSun" w:hAnsi="宋体;SimSun"/>
          <w:szCs w:val="21"/>
        </w:rPr>
        <w:t>/</w:t>
      </w:r>
      <w:r>
        <w:rPr>
          <w:rFonts w:ascii="宋体;SimSun" w:hAnsi="宋体;SimSun" w:cs="宋体;SimSun" w:eastAsia="宋体;SimSun"/>
          <w:szCs w:val="21"/>
        </w:rPr>
        <w:t>风险分析的必要性、相关法律法规的符合性和其他。根据评审的结果，作出批准或拒绝的决定。</w:t>
      </w:r>
    </w:p>
    <w:p>
      <w:pPr>
        <w:pStyle w:val="Style16"/>
        <w:spacing w:lineRule="auto" w:line="360"/>
        <w:ind w:left="1155" w:hanging="840"/>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2</w:t>
      </w:r>
      <w:r>
        <w:rPr>
          <w:rFonts w:ascii="宋体;SimSun" w:hAnsi="宋体;SimSun" w:cs="宋体;SimSun" w:eastAsia="宋体;SimSun"/>
          <w:szCs w:val="21"/>
        </w:rPr>
        <w:t>）对于需要验证的变更，更改验证方案实施完后，更改提出部门应把总结报告和验证报告递交质量部进行评审，质量部根据报告给出最终评审意见。必要时，质量部组织相关人员进行会审。对不需要验证的更改，评估人员应签字确认。</w:t>
      </w:r>
    </w:p>
    <w:p>
      <w:pPr>
        <w:pStyle w:val="Style16"/>
        <w:spacing w:lineRule="auto" w:line="360"/>
        <w:ind w:firstLine="991"/>
        <w:rPr>
          <w:rFonts w:ascii="宋体;SimSun" w:hAnsi="宋体;SimSun" w:eastAsia="宋体;SimSun" w:cs="宋体;SimSun"/>
          <w:szCs w:val="21"/>
        </w:rPr>
      </w:pPr>
      <w:r>
        <w:rPr>
          <w:rFonts w:eastAsia="宋体;SimSun" w:cs="宋体;SimSun" w:ascii="宋体;SimSun" w:hAnsi="宋体;SimSun"/>
          <w:szCs w:val="21"/>
        </w:rPr>
        <w:t>3</w:t>
      </w:r>
      <w:r>
        <w:rPr>
          <w:rFonts w:ascii="宋体;SimSun" w:hAnsi="宋体;SimSun" w:cs="宋体;SimSun" w:eastAsia="宋体;SimSun"/>
          <w:szCs w:val="21"/>
        </w:rPr>
        <w:t>）在变更过程中，如遇到变更失败，可终止变更，向质量部提出撤销变更申请。</w:t>
      </w:r>
    </w:p>
    <w:p>
      <w:pPr>
        <w:pStyle w:val="Style16"/>
        <w:spacing w:lineRule="auto" w:line="360"/>
        <w:ind w:left="1273" w:hanging="315"/>
        <w:rPr>
          <w:rFonts w:ascii="宋体;SimSun" w:hAnsi="宋体;SimSun" w:eastAsia="宋体;SimSun" w:cs="宋体;SimSun"/>
          <w:szCs w:val="21"/>
        </w:rPr>
      </w:pPr>
      <w:r>
        <w:rPr>
          <w:rFonts w:eastAsia="宋体;SimSun" w:cs="宋体;SimSun" w:ascii="宋体;SimSun" w:hAnsi="宋体;SimSun"/>
          <w:szCs w:val="21"/>
        </w:rPr>
        <w:t>4</w:t>
      </w:r>
      <w:r>
        <w:rPr>
          <w:rFonts w:ascii="宋体;SimSun" w:hAnsi="宋体;SimSun" w:cs="宋体;SimSun" w:eastAsia="宋体;SimSun"/>
          <w:szCs w:val="21"/>
        </w:rPr>
        <w:t>）对于变更涉及到的文件更改，按照《文件控制程序》进行。针对涉及到的产品物料，进行形成对现有库存（包括客户和供应商处库存）处理及更改方法。</w:t>
      </w:r>
    </w:p>
    <w:p>
      <w:pPr>
        <w:pStyle w:val="Normal"/>
        <w:spacing w:lineRule="auto" w:line="360"/>
        <w:ind w:left="1273" w:hanging="315"/>
        <w:rPr>
          <w:rFonts w:ascii="宋体;SimSun" w:hAnsi="宋体;SimSun" w:eastAsia="宋体;SimSun" w:cs="宋体;SimSun"/>
          <w:szCs w:val="21"/>
        </w:rPr>
      </w:pPr>
      <w:r>
        <w:rPr>
          <w:rFonts w:eastAsia="宋体;SimSun" w:cs="宋体;SimSun" w:ascii="宋体;SimSun" w:hAnsi="宋体;SimSun"/>
          <w:szCs w:val="21"/>
        </w:rPr>
        <w:t>5</w:t>
      </w:r>
      <w:r>
        <w:rPr>
          <w:rFonts w:ascii="宋体;SimSun" w:hAnsi="宋体;SimSun" w:cs="宋体;SimSun" w:eastAsia="宋体;SimSun"/>
          <w:szCs w:val="21"/>
        </w:rPr>
        <w:t>）如更改信息不充分，或是更改计划不可行时，相关部门可在备注栏中注明否决此更改的原因。质量部最终根据各部门的意见，作出批准或拒绝的决定。</w:t>
      </w:r>
    </w:p>
    <w:p>
      <w:pPr>
        <w:pStyle w:val="Normal"/>
        <w:spacing w:lineRule="auto" w:line="360"/>
        <w:ind w:firstLine="630"/>
        <w:rPr>
          <w:rFonts w:ascii="宋体;SimSun" w:hAnsi="宋体;SimSun" w:eastAsia="宋体;SimSun" w:cs="宋体;SimSun"/>
        </w:rPr>
      </w:pPr>
      <w:r>
        <w:rPr>
          <w:rFonts w:eastAsia="宋体;SimSun" w:cs="宋体;SimSun" w:ascii="宋体;SimSun" w:hAnsi="宋体;SimSun"/>
        </w:rPr>
        <w:t xml:space="preserve">4.3.4 </w:t>
      </w:r>
      <w:r>
        <w:rPr>
          <w:rFonts w:ascii="宋体;SimSun" w:hAnsi="宋体;SimSun" w:cs="宋体;SimSun" w:eastAsia="宋体;SimSun"/>
        </w:rPr>
        <w:t>变更通常评估以下内容：</w:t>
      </w:r>
    </w:p>
    <w:p>
      <w:pPr>
        <w:pStyle w:val="Normal"/>
        <w:spacing w:lineRule="auto" w:line="360"/>
        <w:ind w:left="1338" w:hanging="630"/>
        <w:rPr>
          <w:rFonts w:ascii="宋体;SimSun" w:hAnsi="宋体;SimSun" w:eastAsia="宋体;SimSun" w:cs="宋体;SimSun"/>
        </w:rPr>
      </w:pPr>
      <w:r>
        <w:rPr>
          <w:rFonts w:ascii="宋体;SimSun" w:hAnsi="宋体;SimSun" w:cs="宋体;SimSun" w:eastAsia="宋体;SimSun"/>
        </w:rPr>
        <w:t>（</w:t>
      </w:r>
      <w:r>
        <w:rPr>
          <w:rFonts w:eastAsia="宋体;SimSun" w:cs="宋体;SimSun" w:ascii="宋体;SimSun" w:hAnsi="宋体;SimSun"/>
        </w:rPr>
        <w:t>1</w:t>
      </w:r>
      <w:r>
        <w:rPr>
          <w:rFonts w:ascii="宋体;SimSun" w:hAnsi="宋体;SimSun" w:cs="宋体;SimSun" w:eastAsia="宋体;SimSun"/>
        </w:rPr>
        <w:t>）对产品质量的影响，如质量标准、检验方法及方法验证、工艺规程及工艺验证等，必要时，根据《风险管理控制程序》来评估变更的风险并制定风险控制措施。</w:t>
      </w:r>
    </w:p>
    <w:p>
      <w:pPr>
        <w:pStyle w:val="Normal"/>
        <w:spacing w:lineRule="auto" w:line="360"/>
        <w:ind w:firstLine="708"/>
        <w:rPr>
          <w:rFonts w:ascii="宋体;SimSun" w:hAnsi="宋体;SimSun" w:eastAsia="宋体;SimSun" w:cs="宋体;SimSun"/>
        </w:rPr>
      </w:pPr>
      <w:r>
        <w:rPr>
          <w:rFonts w:ascii="宋体;SimSun" w:hAnsi="宋体;SimSun" w:cs="宋体;SimSun" w:eastAsia="宋体;SimSun"/>
        </w:rPr>
        <w:t>（</w:t>
      </w:r>
      <w:r>
        <w:rPr>
          <w:rFonts w:eastAsia="宋体;SimSun" w:cs="宋体;SimSun" w:ascii="宋体;SimSun" w:hAnsi="宋体;SimSun"/>
        </w:rPr>
        <w:t>2</w:t>
      </w:r>
      <w:r>
        <w:rPr>
          <w:rFonts w:ascii="宋体;SimSun" w:hAnsi="宋体;SimSun" w:cs="宋体;SimSun" w:eastAsia="宋体;SimSun"/>
        </w:rPr>
        <w:t>）对法规的影响：涉及哪些相关法律法规的规定，需经药监局进行何种批准。</w:t>
      </w:r>
    </w:p>
    <w:p>
      <w:pPr>
        <w:pStyle w:val="Normal"/>
        <w:spacing w:lineRule="auto" w:line="360"/>
        <w:ind w:firstLine="708"/>
        <w:rPr>
          <w:rFonts w:ascii="宋体;SimSun" w:hAnsi="宋体;SimSun" w:eastAsia="宋体;SimSun" w:cs="宋体;SimSun"/>
        </w:rPr>
      </w:pPr>
      <w:r>
        <w:rPr>
          <w:rFonts w:ascii="宋体;SimSun" w:hAnsi="宋体;SimSun" w:cs="宋体;SimSun" w:eastAsia="宋体;SimSun"/>
        </w:rPr>
        <w:t>（</w:t>
      </w:r>
      <w:r>
        <w:rPr>
          <w:rFonts w:eastAsia="宋体;SimSun" w:cs="宋体;SimSun" w:ascii="宋体;SimSun" w:hAnsi="宋体;SimSun"/>
        </w:rPr>
        <w:t>3</w:t>
      </w:r>
      <w:r>
        <w:rPr>
          <w:rFonts w:ascii="宋体;SimSun" w:hAnsi="宋体;SimSun" w:cs="宋体;SimSun" w:eastAsia="宋体;SimSun"/>
        </w:rPr>
        <w:t>）对其他系统的影响，如标签和包装、培训系统、文件系统、物料管理等。</w:t>
      </w:r>
    </w:p>
    <w:p>
      <w:pPr>
        <w:pStyle w:val="Normal"/>
        <w:spacing w:lineRule="auto" w:line="360"/>
        <w:ind w:firstLine="708"/>
        <w:rPr>
          <w:rFonts w:ascii="宋体;SimSun" w:hAnsi="宋体;SimSun" w:eastAsia="宋体;SimSun" w:cs="宋体;SimSun"/>
        </w:rPr>
      </w:pPr>
      <w:r>
        <w:rPr>
          <w:rFonts w:ascii="宋体;SimSun" w:hAnsi="宋体;SimSun" w:cs="宋体;SimSun" w:eastAsia="宋体;SimSun"/>
        </w:rPr>
        <w:t>（</w:t>
      </w:r>
      <w:r>
        <w:rPr>
          <w:rFonts w:eastAsia="宋体;SimSun" w:cs="宋体;SimSun" w:ascii="宋体;SimSun" w:hAnsi="宋体;SimSun"/>
        </w:rPr>
        <w:t>4</w:t>
      </w:r>
      <w:r>
        <w:rPr>
          <w:rFonts w:ascii="宋体;SimSun" w:hAnsi="宋体;SimSun" w:cs="宋体;SimSun" w:eastAsia="宋体;SimSun"/>
        </w:rPr>
        <w:t>）与产品注册工艺与标准相关的变更必须制定计划参照相关法规进行质量研究和评估。</w:t>
      </w:r>
    </w:p>
    <w:p>
      <w:pPr>
        <w:pStyle w:val="Normal"/>
        <w:spacing w:lineRule="auto" w:line="360"/>
        <w:rPr>
          <w:rFonts w:ascii="宋体;SimSun" w:hAnsi="宋体;SimSun" w:eastAsia="宋体;SimSun" w:cs="宋体;SimSun"/>
          <w:b/>
          <w:b/>
        </w:rPr>
      </w:pPr>
      <w:r>
        <w:rPr>
          <w:rFonts w:eastAsia="宋体;SimSun" w:cs="宋体;SimSun" w:ascii="宋体;SimSun" w:hAnsi="宋体;SimSun"/>
          <w:b/>
        </w:rPr>
        <w:t xml:space="preserve">4.4 </w:t>
      </w:r>
      <w:r>
        <w:rPr>
          <w:rFonts w:ascii="宋体;SimSun" w:hAnsi="宋体;SimSun" w:cs="宋体;SimSun" w:eastAsia="宋体;SimSun"/>
          <w:b/>
        </w:rPr>
        <w:t>变更的发布和实施</w:t>
      </w:r>
    </w:p>
    <w:p>
      <w:pPr>
        <w:pStyle w:val="Normal"/>
        <w:spacing w:lineRule="auto" w:line="360"/>
        <w:ind w:firstLine="210"/>
        <w:rPr>
          <w:rFonts w:ascii="宋体;SimSun" w:hAnsi="宋体;SimSun" w:eastAsia="宋体;SimSun" w:cs="宋体;SimSun"/>
          <w:szCs w:val="21"/>
        </w:rPr>
      </w:pPr>
      <w:r>
        <w:rPr>
          <w:rFonts w:eastAsia="宋体;SimSun" w:cs="宋体;SimSun" w:ascii="宋体;SimSun" w:hAnsi="宋体;SimSun"/>
          <w:szCs w:val="21"/>
        </w:rPr>
        <w:t xml:space="preserve">4.4.1 </w:t>
      </w:r>
      <w:r>
        <w:rPr>
          <w:rFonts w:ascii="宋体;SimSun" w:hAnsi="宋体;SimSun" w:cs="宋体;SimSun" w:eastAsia="宋体;SimSun"/>
          <w:szCs w:val="21"/>
        </w:rPr>
        <w:t>变更信息的发布</w:t>
      </w:r>
    </w:p>
    <w:p>
      <w:pPr>
        <w:pStyle w:val="Normal"/>
        <w:spacing w:lineRule="auto" w:line="360"/>
        <w:ind w:left="958" w:hanging="0"/>
        <w:rPr>
          <w:rFonts w:ascii="宋体;SimSun" w:hAnsi="宋体;SimSun" w:eastAsia="宋体;SimSun" w:cs="宋体;SimSun"/>
          <w:szCs w:val="21"/>
        </w:rPr>
      </w:pPr>
      <w:r>
        <w:rPr>
          <w:rFonts w:ascii="宋体;SimSun" w:hAnsi="宋体;SimSun" w:cs="宋体;SimSun" w:eastAsia="宋体;SimSun"/>
          <w:szCs w:val="21"/>
        </w:rPr>
        <w:t>更改评审通过后，由质量部确定更改生效日期，发布最终的“变更通知单”，将变更信息通知到所有相关的部门</w:t>
      </w:r>
      <w:r>
        <w:rPr>
          <w:rFonts w:eastAsia="宋体;SimSun" w:cs="宋体;SimSun" w:ascii="宋体;SimSun" w:hAnsi="宋体;SimSun"/>
          <w:szCs w:val="21"/>
        </w:rPr>
        <w:t>/</w:t>
      </w:r>
      <w:r>
        <w:rPr>
          <w:rFonts w:ascii="宋体;SimSun" w:hAnsi="宋体;SimSun" w:cs="宋体;SimSun" w:eastAsia="宋体;SimSun"/>
          <w:szCs w:val="21"/>
        </w:rPr>
        <w:t>人，必要时可组织相关人员对此进行培训。</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eastAsia="宋体;SimSun" w:cs="宋体;SimSun" w:ascii="宋体;SimSun" w:hAnsi="宋体;SimSun"/>
          <w:szCs w:val="21"/>
        </w:rPr>
        <w:t xml:space="preserve">4.4.2 </w:t>
      </w:r>
      <w:r>
        <w:rPr>
          <w:rFonts w:ascii="宋体;SimSun" w:hAnsi="宋体;SimSun" w:cs="宋体;SimSun" w:eastAsia="宋体;SimSun"/>
          <w:szCs w:val="21"/>
        </w:rPr>
        <w:t>变更的执行：</w:t>
      </w:r>
    </w:p>
    <w:p>
      <w:pPr>
        <w:pStyle w:val="Normal"/>
        <w:numPr>
          <w:ilvl w:val="0"/>
          <w:numId w:val="2"/>
        </w:numPr>
        <w:spacing w:lineRule="auto" w:line="360"/>
        <w:rPr>
          <w:rFonts w:ascii="宋体;SimSun" w:hAnsi="宋体;SimSun" w:eastAsia="宋体;SimSun" w:cs="宋体;SimSun"/>
          <w:szCs w:val="21"/>
        </w:rPr>
      </w:pPr>
      <w:r>
        <w:rPr>
          <w:rFonts w:ascii="宋体;SimSun" w:hAnsi="宋体;SimSun" w:cs="宋体;SimSun" w:eastAsia="宋体;SimSun"/>
          <w:szCs w:val="21"/>
        </w:rPr>
        <w:t>如果由涉及到物料和产品的处理，物流部根据更改的具体要求对库存的物料和产品进行标识、冻结。</w:t>
      </w:r>
    </w:p>
    <w:p>
      <w:pPr>
        <w:pStyle w:val="Normal"/>
        <w:numPr>
          <w:ilvl w:val="0"/>
          <w:numId w:val="2"/>
        </w:numPr>
        <w:spacing w:lineRule="auto" w:line="360"/>
        <w:rPr>
          <w:rFonts w:ascii="宋体;SimSun" w:hAnsi="宋体;SimSun" w:eastAsia="宋体;SimSun" w:cs="宋体;SimSun"/>
          <w:szCs w:val="21"/>
        </w:rPr>
      </w:pPr>
      <w:r>
        <w:rPr>
          <w:rFonts w:ascii="宋体;SimSun" w:hAnsi="宋体;SimSun" w:cs="宋体;SimSun" w:eastAsia="宋体;SimSun"/>
          <w:szCs w:val="21"/>
        </w:rPr>
        <w:t>采购对涉及到物料的要求，更新采购技术规范并通知相关的供方。</w:t>
      </w:r>
    </w:p>
    <w:p>
      <w:pPr>
        <w:pStyle w:val="Normal"/>
        <w:numPr>
          <w:ilvl w:val="0"/>
          <w:numId w:val="2"/>
        </w:numPr>
        <w:spacing w:lineRule="auto" w:line="360"/>
        <w:rPr>
          <w:rFonts w:ascii="宋体;SimSun" w:hAnsi="宋体;SimSun" w:eastAsia="宋体;SimSun" w:cs="宋体;SimSun"/>
          <w:szCs w:val="21"/>
        </w:rPr>
      </w:pPr>
      <w:r>
        <w:rPr>
          <w:rFonts w:ascii="宋体;SimSun" w:hAnsi="宋体;SimSun" w:cs="宋体;SimSun" w:eastAsia="宋体;SimSun"/>
          <w:szCs w:val="21"/>
        </w:rPr>
        <w:t>涉及到产品注册方面，由注册部门按照药监局的法规要求进行许可申请或者备案。</w:t>
      </w:r>
    </w:p>
    <w:p>
      <w:pPr>
        <w:pStyle w:val="Normal"/>
        <w:numPr>
          <w:ilvl w:val="0"/>
          <w:numId w:val="2"/>
        </w:numPr>
        <w:spacing w:lineRule="auto" w:line="360"/>
        <w:rPr>
          <w:rFonts w:ascii="宋体;SimSun" w:hAnsi="宋体;SimSun" w:eastAsia="宋体;SimSun" w:cs="宋体;SimSun"/>
          <w:szCs w:val="21"/>
        </w:rPr>
      </w:pPr>
      <w:r>
        <w:rPr>
          <w:rFonts w:ascii="宋体;SimSun" w:hAnsi="宋体;SimSun" w:cs="宋体;SimSun" w:eastAsia="宋体;SimSun"/>
          <w:szCs w:val="21"/>
        </w:rPr>
        <w:t>任何变更涉及的产品批次，必须被隔离存放直至变更关闭时才能被放行到市场；对经过批准的变更，其相关的验证批次可以放行。</w:t>
      </w:r>
    </w:p>
    <w:p>
      <w:pPr>
        <w:pStyle w:val="Normal"/>
        <w:spacing w:lineRule="auto" w:line="360"/>
        <w:rPr>
          <w:rFonts w:ascii="宋体;SimSun" w:hAnsi="宋体;SimSun" w:eastAsia="宋体;SimSun" w:cs="宋体;SimSun"/>
          <w:b/>
          <w:b/>
        </w:rPr>
      </w:pPr>
      <w:r>
        <w:rPr>
          <w:rFonts w:eastAsia="宋体;SimSun" w:cs="宋体;SimSun" w:ascii="宋体;SimSun" w:hAnsi="宋体;SimSun"/>
          <w:b/>
        </w:rPr>
        <w:t xml:space="preserve">4.5 </w:t>
      </w:r>
      <w:r>
        <w:rPr>
          <w:rFonts w:ascii="宋体;SimSun" w:hAnsi="宋体;SimSun" w:cs="宋体;SimSun" w:eastAsia="宋体;SimSun"/>
          <w:b/>
        </w:rPr>
        <w:t>变更审计和关闭</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4.5.1</w:t>
      </w:r>
      <w:r>
        <w:rPr>
          <w:rFonts w:ascii="宋体;SimSun" w:hAnsi="宋体;SimSun" w:cs="宋体;SimSun" w:eastAsia="宋体;SimSun"/>
        </w:rPr>
        <w:t>质量部根据变更的实施情况，相关验证评估情况以及相关备案和审批的结论评价该次变更是否达到预期的目的和效果，最终由质量部经理审批关闭变更。</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 xml:space="preserve">4.5.2 </w:t>
      </w:r>
      <w:r>
        <w:rPr>
          <w:rFonts w:ascii="宋体;SimSun" w:hAnsi="宋体;SimSun" w:cs="宋体;SimSun" w:eastAsia="宋体;SimSun"/>
        </w:rPr>
        <w:t>变更情况的传递和反馈：变更完成后，如有需要，须及时将变更内容通知有关部门。</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 xml:space="preserve">4.5.3 </w:t>
      </w:r>
      <w:r>
        <w:rPr>
          <w:rFonts w:ascii="宋体;SimSun" w:hAnsi="宋体;SimSun" w:cs="宋体;SimSun" w:eastAsia="宋体;SimSun"/>
        </w:rPr>
        <w:t>质量部登记《变更台帐》，并在公司每年进行质量回顾的时候进行年度变更情况回顾。</w:t>
      </w:r>
    </w:p>
    <w:p>
      <w:pPr>
        <w:pStyle w:val="Normal"/>
        <w:spacing w:lineRule="auto" w:line="360"/>
        <w:ind w:firstLine="420"/>
        <w:jc w:val="left"/>
        <w:rPr>
          <w:rFonts w:ascii="宋体;SimSun" w:hAnsi="宋体;SimSun" w:eastAsia="宋体;SimSun" w:cs="宋体;SimSun"/>
          <w:kern w:val="0"/>
          <w:szCs w:val="21"/>
        </w:rPr>
      </w:pPr>
      <w:r>
        <w:rPr>
          <w:rFonts w:eastAsia="宋体;SimSun" w:cs="宋体;SimSun" w:ascii="宋体;SimSun" w:hAnsi="宋体;SimSun"/>
        </w:rPr>
        <w:t xml:space="preserve">4.5.4 </w:t>
      </w:r>
      <w:r>
        <w:rPr>
          <w:rFonts w:ascii="宋体;SimSun" w:hAnsi="宋体;SimSun" w:cs="宋体;SimSun" w:eastAsia="宋体;SimSun"/>
          <w:kern w:val="0"/>
          <w:szCs w:val="21"/>
        </w:rPr>
        <w:t>变更控制的原始记录由质量部存档，变更申请部门保留复印件。变更记录应永久保存。</w:t>
      </w:r>
    </w:p>
    <w:p>
      <w:pPr>
        <w:pStyle w:val="Normal"/>
        <w:spacing w:lineRule="auto" w:line="360"/>
        <w:jc w:val="left"/>
        <w:rPr>
          <w:rFonts w:ascii="宋体;SimSun" w:hAnsi="宋体;SimSun" w:eastAsia="宋体;SimSun" w:cs="宋体;SimSun"/>
          <w:kern w:val="0"/>
          <w:szCs w:val="21"/>
        </w:rPr>
      </w:pPr>
      <w:r>
        <w:rPr>
          <w:rFonts w:eastAsia="宋体;SimSun" w:cs="宋体;SimSun" w:ascii="宋体;SimSun" w:hAnsi="宋体;SimSun"/>
          <w:kern w:val="0"/>
          <w:szCs w:val="21"/>
        </w:rPr>
        <w:t xml:space="preserve">4.6 </w:t>
      </w:r>
      <w:r>
        <w:rPr>
          <w:rFonts w:ascii="宋体;SimSun" w:hAnsi="宋体;SimSun" w:cs="宋体;SimSun" w:eastAsia="宋体;SimSun"/>
          <w:kern w:val="0"/>
          <w:szCs w:val="21"/>
        </w:rPr>
        <w:t>软件产品本身的变更按照</w:t>
      </w:r>
      <w:r>
        <w:rPr>
          <w:rFonts w:eastAsia="宋体;SimSun" w:cs="宋体;SimSun" w:ascii="宋体;SimSun" w:hAnsi="宋体;SimSun"/>
          <w:kern w:val="0"/>
          <w:szCs w:val="21"/>
        </w:rPr>
        <w:t>QMS-R10</w:t>
      </w:r>
      <w:r>
        <w:rPr>
          <w:rFonts w:ascii="宋体;SimSun" w:hAnsi="宋体;SimSun" w:cs="宋体;SimSun" w:eastAsia="宋体;SimSun"/>
          <w:kern w:val="0"/>
          <w:szCs w:val="21"/>
        </w:rPr>
        <w:t>《软件配置管理制度》的规定进行。涉及到文件更改的按照</w:t>
      </w:r>
      <w:r>
        <w:rPr>
          <w:rFonts w:eastAsia="宋体;SimSun" w:cs="宋体;SimSun" w:ascii="宋体;SimSun" w:hAnsi="宋体;SimSun"/>
          <w:kern w:val="0"/>
          <w:szCs w:val="21"/>
        </w:rPr>
        <w:t>QMS-P01</w:t>
      </w:r>
      <w:r>
        <w:rPr>
          <w:rFonts w:ascii="宋体;SimSun" w:hAnsi="宋体;SimSun" w:cs="宋体;SimSun" w:eastAsia="宋体;SimSun"/>
          <w:kern w:val="0"/>
          <w:szCs w:val="21"/>
        </w:rPr>
        <w:t>《文件控制程序》的要求进行。</w:t>
      </w:r>
    </w:p>
    <w:p>
      <w:pPr>
        <w:pStyle w:val="Normal"/>
        <w:spacing w:lineRule="auto" w:line="360"/>
        <w:rPr>
          <w:rFonts w:ascii="宋体;SimSun" w:hAnsi="宋体;SimSun" w:eastAsia="宋体;SimSun" w:cs="宋体;SimSun"/>
          <w:b/>
          <w:b/>
        </w:rPr>
      </w:pPr>
      <w:r>
        <w:rPr>
          <w:rFonts w:eastAsia="宋体;SimSun" w:cs="宋体;SimSun" w:ascii="宋体;SimSun" w:hAnsi="宋体;SimSun"/>
          <w:b/>
        </w:rPr>
        <w:t>5</w:t>
      </w:r>
      <w:r>
        <w:rPr>
          <w:rFonts w:ascii="宋体;SimSun" w:hAnsi="宋体;SimSun" w:cs="宋体;SimSun" w:eastAsia="宋体;SimSun"/>
          <w:b/>
        </w:rPr>
        <w:t>、相关文件</w:t>
      </w:r>
    </w:p>
    <w:p>
      <w:pPr>
        <w:pStyle w:val="Normal"/>
        <w:spacing w:lineRule="auto" w:line="360"/>
        <w:ind w:firstLine="283"/>
        <w:rPr>
          <w:rFonts w:ascii="宋体;SimSun" w:hAnsi="宋体;SimSun" w:eastAsia="宋体;SimSun" w:cs="宋体;SimSun"/>
        </w:rPr>
      </w:pPr>
      <w:r>
        <w:rPr>
          <w:rFonts w:eastAsia="宋体;SimSun" w:cs="宋体;SimSun" w:ascii="宋体;SimSun" w:hAnsi="宋体;SimSun"/>
        </w:rPr>
        <w:t>5</w:t>
      </w:r>
      <w:r>
        <w:rPr>
          <w:rFonts w:eastAsia="宋体;SimSun" w:cs="宋体;SimSun" w:ascii="宋体;SimSun" w:hAnsi="宋体;SimSun"/>
        </w:rPr>
        <w:t>.1 QMS-P01</w:t>
      </w:r>
      <w:r>
        <w:rPr>
          <w:rFonts w:ascii="宋体;SimSun" w:hAnsi="宋体;SimSun" w:cs="宋体;SimSun" w:eastAsia="宋体;SimSun"/>
        </w:rPr>
        <w:t>《文件控制程序》</w:t>
      </w:r>
    </w:p>
    <w:p>
      <w:pPr>
        <w:pStyle w:val="Normal"/>
        <w:spacing w:lineRule="auto" w:line="360"/>
        <w:rPr>
          <w:rFonts w:ascii="宋体;SimSun" w:hAnsi="宋体;SimSun" w:eastAsia="宋体;SimSun" w:cs="宋体;SimSun"/>
          <w:b/>
          <w:b/>
        </w:rPr>
      </w:pPr>
      <w:r>
        <w:rPr>
          <w:rFonts w:eastAsia="宋体;SimSun" w:cs="宋体;SimSun" w:ascii="宋体;SimSun" w:hAnsi="宋体;SimSun"/>
          <w:b/>
        </w:rPr>
        <w:t>6</w:t>
      </w:r>
      <w:r>
        <w:rPr>
          <w:rFonts w:ascii="宋体;SimSun" w:hAnsi="宋体;SimSun" w:cs="宋体;SimSun" w:eastAsia="宋体;SimSun"/>
          <w:b/>
        </w:rPr>
        <w:t>、记录</w:t>
      </w:r>
    </w:p>
    <w:p>
      <w:pPr>
        <w:pStyle w:val="Normal"/>
        <w:spacing w:lineRule="auto" w:line="360"/>
        <w:ind w:firstLine="283"/>
        <w:rPr>
          <w:rFonts w:ascii="宋体;SimSun" w:hAnsi="宋体;SimSun" w:eastAsia="宋体;SimSun" w:cs="宋体;SimSun"/>
        </w:rPr>
      </w:pPr>
      <w:r>
        <w:rPr>
          <w:rFonts w:eastAsia="宋体;SimSun" w:cs="宋体;SimSun" w:ascii="宋体;SimSun" w:hAnsi="宋体;SimSun"/>
        </w:rPr>
        <w:t>6</w:t>
      </w:r>
      <w:r>
        <w:rPr>
          <w:rFonts w:eastAsia="宋体;SimSun" w:cs="宋体;SimSun" w:ascii="宋体;SimSun" w:hAnsi="宋体;SimSun"/>
        </w:rPr>
        <w:t>.1 QMS-R1</w:t>
      </w:r>
      <w:r>
        <w:rPr>
          <w:rFonts w:eastAsia="宋体;SimSun" w:cs="宋体;SimSun" w:ascii="宋体;SimSun" w:hAnsi="宋体;SimSun"/>
        </w:rPr>
        <w:t>2</w:t>
      </w:r>
      <w:r>
        <w:rPr>
          <w:rFonts w:eastAsia="宋体;SimSun" w:cs="宋体;SimSun" w:ascii="宋体;SimSun" w:hAnsi="宋体;SimSun"/>
        </w:rPr>
        <w:t>-R1</w:t>
      </w:r>
      <w:r>
        <w:rPr>
          <w:rFonts w:ascii="宋体;SimSun" w:hAnsi="宋体;SimSun" w:cs="宋体;SimSun" w:eastAsia="宋体;SimSun"/>
        </w:rPr>
        <w:t>《变更申请表</w:t>
      </w:r>
      <w:r>
        <w:rPr>
          <w:rFonts w:eastAsia="宋体;SimSun" w:cs="宋体;SimSun" w:ascii="宋体;SimSun" w:hAnsi="宋体;SimSun"/>
        </w:rPr>
        <w:t>/</w:t>
      </w:r>
      <w:r>
        <w:rPr>
          <w:rFonts w:ascii="宋体;SimSun" w:hAnsi="宋体;SimSun" w:cs="宋体;SimSun" w:eastAsia="宋体;SimSun"/>
        </w:rPr>
        <w:t>审批表》</w:t>
      </w:r>
    </w:p>
    <w:p>
      <w:pPr>
        <w:pStyle w:val="Normal"/>
        <w:spacing w:lineRule="auto" w:line="360"/>
        <w:ind w:firstLine="283"/>
        <w:rPr>
          <w:rFonts w:ascii="宋体;SimSun" w:hAnsi="宋体;SimSun" w:eastAsia="宋体;SimSun" w:cs="宋体;SimSun"/>
        </w:rPr>
      </w:pPr>
      <w:r>
        <w:rPr>
          <w:rFonts w:eastAsia="宋体;SimSun" w:cs="宋体;SimSun" w:ascii="宋体;SimSun" w:hAnsi="宋体;SimSun"/>
        </w:rPr>
        <w:t>6</w:t>
      </w:r>
      <w:r>
        <w:rPr>
          <w:rFonts w:eastAsia="宋体;SimSun" w:cs="宋体;SimSun" w:ascii="宋体;SimSun" w:hAnsi="宋体;SimSun"/>
        </w:rPr>
        <w:t>.2 QMS-R1</w:t>
      </w:r>
      <w:r>
        <w:rPr>
          <w:rFonts w:eastAsia="宋体;SimSun" w:cs="宋体;SimSun" w:ascii="宋体;SimSun" w:hAnsi="宋体;SimSun"/>
        </w:rPr>
        <w:t>2</w:t>
      </w:r>
      <w:r>
        <w:rPr>
          <w:rFonts w:eastAsia="宋体;SimSun" w:cs="宋体;SimSun" w:ascii="宋体;SimSun" w:hAnsi="宋体;SimSun"/>
        </w:rPr>
        <w:t>-R2</w:t>
      </w:r>
      <w:r>
        <w:rPr>
          <w:rFonts w:ascii="宋体;SimSun" w:hAnsi="宋体;SimSun" w:cs="宋体;SimSun" w:eastAsia="宋体;SimSun"/>
        </w:rPr>
        <w:t>《变更通知单》</w:t>
      </w:r>
    </w:p>
    <w:p>
      <w:pPr>
        <w:pStyle w:val="Normal"/>
        <w:autoSpaceDE w:val="false"/>
        <w:spacing w:lineRule="auto" w:line="360"/>
        <w:rPr>
          <w:rFonts w:ascii="宋体;SimSun" w:hAnsi="宋体;SimSun" w:eastAsia="宋体;SimSun" w:cs="宋体;SimSun"/>
          <w:b/>
          <w:b/>
          <w:szCs w:val="21"/>
        </w:rPr>
      </w:pPr>
      <w:r>
        <w:rPr>
          <w:rFonts w:eastAsia="宋体;SimSun" w:cs="宋体;SimSun" w:ascii="宋体;SimSun" w:hAnsi="宋体;SimSun"/>
          <w:b/>
          <w:szCs w:val="21"/>
        </w:rPr>
        <w:t>7</w:t>
      </w:r>
      <w:r>
        <w:rPr>
          <w:rFonts w:ascii="宋体;SimSun" w:hAnsi="宋体;SimSun" w:cs="宋体;SimSun" w:eastAsia="宋体;SimSun"/>
          <w:b/>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5998"/>
        <w:gridCol w:w="2271"/>
      </w:tblGrid>
      <w:tr>
        <w:trPr>
          <w:trHeight w:val="479"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998"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271"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998"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271"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w:t>
            </w:r>
            <w:r>
              <w:rPr>
                <w:rFonts w:eastAsia="宋体;SimSun" w:cs="宋体;SimSun" w:ascii="宋体;SimSun" w:hAnsi="宋体;SimSun"/>
                <w:sz w:val="21"/>
              </w:rPr>
              <w:t>020</w:t>
            </w:r>
            <w:r>
              <w:rPr>
                <w:rFonts w:eastAsia="宋体;SimSun" w:cs="宋体;SimSun" w:ascii="宋体;SimSun" w:hAnsi="宋体;SimSun"/>
                <w:sz w:val="21"/>
              </w:rPr>
              <w:t>-</w:t>
            </w:r>
            <w:r>
              <w:rPr>
                <w:rFonts w:eastAsia="宋体;SimSun" w:cs="宋体;SimSun" w:ascii="宋体;SimSun" w:hAnsi="宋体;SimSun"/>
                <w:sz w:val="21"/>
              </w:rPr>
              <w:t>06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r>
    </w:p>
    <w:sectPr>
      <w:headerReference w:type="default" r:id="rId2"/>
      <w:type w:val="nextPage"/>
      <w:pgSz w:w="11906" w:h="16838"/>
      <w:pgMar w:left="1134" w:right="1134" w:gutter="0" w:header="851" w:top="1134" w:footer="0"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Liberation Sans">
    <w:altName w:val="Arial"/>
    <w:charset w:val="01"/>
    <w:family w:val="swiss"/>
    <w:pitch w:val="variable"/>
  </w:font>
  <w:font w:name="ËÎÌå">
    <w:altName w:val="宋体"/>
    <w:charset w:val="86"/>
    <w:family w:val="auto"/>
    <w:pitch w:val="default"/>
  </w:font>
  <w:font w:name="宋体">
    <w:altName w:val="SimSun"/>
    <w:charset w:val="86"/>
    <w:family w:val="auto"/>
    <w:pitch w:val="variable"/>
  </w:font>
  <w:font w:name="Arial Unicode MS">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变更控制管理制度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QMS-R1</w:t>
          </w:r>
          <w:r>
            <w:rPr>
              <w:rFonts w:eastAsia="宋体;SimSun" w:cs="宋体;SimSun" w:ascii="宋体;SimSun" w:hAnsi="宋体;SimSun"/>
              <w:sz w:val="24"/>
              <w:szCs w:val="24"/>
            </w:rPr>
            <w:t>2</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4</w:t>
          </w:r>
          <w:r>
            <w:rPr>
              <w:sz w:val="24"/>
              <w:szCs w:val="24"/>
              <w:rFonts w:ascii="宋体;SimSun" w:hAnsi="宋体;SimSun" w:cs="宋体;SimSun" w:eastAsia="宋体;SimSun"/>
            </w:rPr>
            <w:fldChar w:fldCharType="end"/>
          </w:r>
          <w:r>
            <w:rPr>
              <w:rFonts w:eastAsia="宋体;SimSun" w:cs="宋体;SimSun" w:ascii="宋体;SimSun" w:hAnsi="宋体;SimSun"/>
              <w:sz w:val="24"/>
              <w:szCs w:val="24"/>
            </w:rPr>
            <w:t>/4</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243" w:hanging="420"/>
      </w:pPr>
      <w:rPr>
        <w:rFonts w:ascii="Wingdings" w:hAnsi="Wingdings" w:cs="Wingdings" w:hint="default"/>
      </w:rPr>
    </w:lvl>
    <w:lvl w:ilvl="1">
      <w:start w:val="1"/>
      <w:numFmt w:val="bullet"/>
      <w:lvlText w:val=""/>
      <w:lvlJc w:val="left"/>
      <w:pPr>
        <w:tabs>
          <w:tab w:val="num" w:pos="0"/>
        </w:tabs>
        <w:ind w:left="1663" w:hanging="420"/>
      </w:pPr>
      <w:rPr>
        <w:rFonts w:ascii="Wingdings" w:hAnsi="Wingdings" w:cs="Wingdings" w:hint="default"/>
      </w:rPr>
    </w:lvl>
    <w:lvl w:ilvl="2">
      <w:start w:val="1"/>
      <w:numFmt w:val="bullet"/>
      <w:lvlText w:val=""/>
      <w:lvlJc w:val="left"/>
      <w:pPr>
        <w:tabs>
          <w:tab w:val="num" w:pos="0"/>
        </w:tabs>
        <w:ind w:left="2083" w:hanging="420"/>
      </w:pPr>
      <w:rPr>
        <w:rFonts w:ascii="Wingdings" w:hAnsi="Wingdings" w:cs="Wingdings" w:hint="default"/>
      </w:rPr>
    </w:lvl>
    <w:lvl w:ilvl="3">
      <w:start w:val="1"/>
      <w:numFmt w:val="bullet"/>
      <w:lvlText w:val=""/>
      <w:lvlJc w:val="left"/>
      <w:pPr>
        <w:tabs>
          <w:tab w:val="num" w:pos="0"/>
        </w:tabs>
        <w:ind w:left="2503" w:hanging="420"/>
      </w:pPr>
      <w:rPr>
        <w:rFonts w:ascii="Wingdings" w:hAnsi="Wingdings" w:cs="Wingdings" w:hint="default"/>
      </w:rPr>
    </w:lvl>
    <w:lvl w:ilvl="4">
      <w:start w:val="1"/>
      <w:numFmt w:val="bullet"/>
      <w:lvlText w:val=""/>
      <w:lvlJc w:val="left"/>
      <w:pPr>
        <w:tabs>
          <w:tab w:val="num" w:pos="0"/>
        </w:tabs>
        <w:ind w:left="2923" w:hanging="420"/>
      </w:pPr>
      <w:rPr>
        <w:rFonts w:ascii="Wingdings" w:hAnsi="Wingdings" w:cs="Wingdings" w:hint="default"/>
      </w:rPr>
    </w:lvl>
    <w:lvl w:ilvl="5">
      <w:start w:val="1"/>
      <w:numFmt w:val="bullet"/>
      <w:lvlText w:val=""/>
      <w:lvlJc w:val="left"/>
      <w:pPr>
        <w:tabs>
          <w:tab w:val="num" w:pos="0"/>
        </w:tabs>
        <w:ind w:left="3343" w:hanging="420"/>
      </w:pPr>
      <w:rPr>
        <w:rFonts w:ascii="Wingdings" w:hAnsi="Wingdings" w:cs="Wingdings" w:hint="default"/>
      </w:rPr>
    </w:lvl>
    <w:lvl w:ilvl="6">
      <w:start w:val="1"/>
      <w:numFmt w:val="bullet"/>
      <w:lvlText w:val=""/>
      <w:lvlJc w:val="left"/>
      <w:pPr>
        <w:tabs>
          <w:tab w:val="num" w:pos="0"/>
        </w:tabs>
        <w:ind w:left="3763" w:hanging="420"/>
      </w:pPr>
      <w:rPr>
        <w:rFonts w:ascii="Wingdings" w:hAnsi="Wingdings" w:cs="Wingdings" w:hint="default"/>
      </w:rPr>
    </w:lvl>
    <w:lvl w:ilvl="7">
      <w:start w:val="1"/>
      <w:numFmt w:val="bullet"/>
      <w:lvlText w:val=""/>
      <w:lvlJc w:val="left"/>
      <w:pPr>
        <w:tabs>
          <w:tab w:val="num" w:pos="0"/>
        </w:tabs>
        <w:ind w:left="4183" w:hanging="420"/>
      </w:pPr>
      <w:rPr>
        <w:rFonts w:ascii="Wingdings" w:hAnsi="Wingdings" w:cs="Wingdings" w:hint="default"/>
      </w:rPr>
    </w:lvl>
    <w:lvl w:ilvl="8">
      <w:start w:val="1"/>
      <w:numFmt w:val="bullet"/>
      <w:lvlText w:val=""/>
      <w:lvlJc w:val="left"/>
      <w:pPr>
        <w:tabs>
          <w:tab w:val="num" w:pos="0"/>
        </w:tabs>
        <w:ind w:left="4603" w:hanging="420"/>
      </w:pPr>
      <w:rPr>
        <w:rFonts w:ascii="Wingdings" w:hAnsi="Wingdings" w:cs="Wingdings" w:hint="default"/>
      </w:rPr>
    </w:lvl>
  </w:abstractNum>
  <w:abstractNum w:abstractNumId="3">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abstractNum w:abstractNumId="4">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Style14">
    <w:name w:val="日期 字符"/>
    <w:qFormat/>
    <w:rPr>
      <w:kern w:val="2"/>
      <w:sz w:val="21"/>
    </w:rPr>
  </w:style>
  <w:style w:type="character" w:styleId="St1">
    <w:name w:val="st1"/>
    <w:basedOn w:val="Style13"/>
    <w:qFormat/>
    <w:rPr/>
  </w:style>
  <w:style w:type="character" w:styleId="Style15">
    <w:name w:val="页眉 字符"/>
    <w:qFormat/>
    <w:rPr>
      <w:kern w:val="2"/>
      <w:sz w:val="18"/>
      <w:szCs w:val="18"/>
    </w:rPr>
  </w:style>
  <w:style w:type="character" w:styleId="1">
    <w:name w:val="标题 1 字符"/>
    <w:qFormat/>
    <w:rPr>
      <w:rFonts w:ascii="Arial Black" w:hAnsi="Arial Black" w:cs="Arial Black"/>
      <w:b/>
      <w:bCs/>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rPr>
      <w:kern w:val="2"/>
      <w:sz w:val="21"/>
    </w:rPr>
  </w:style>
  <w:style w:type="paragraph" w:styleId="Style17">
    <w:name w:val="普通(网站)"/>
    <w:basedOn w:val="Normal"/>
    <w:qFormat/>
    <w:pPr>
      <w:widowControl/>
      <w:spacing w:before="280" w:after="280"/>
      <w:jc w:val="left"/>
    </w:pPr>
    <w:rPr>
      <w:rFonts w:ascii="Arial Unicode MS" w:hAnsi="Arial Unicode MS" w:eastAsia="Times New Roman" w:cs="Arial Unicode MS"/>
      <w:color w:val="000066"/>
      <w:kern w:val="0"/>
      <w:sz w:val="24"/>
    </w:rPr>
  </w:style>
  <w:style w:type="paragraph" w:styleId="TextBodyIndent">
    <w:name w:val="Body Text Indent"/>
    <w:basedOn w:val="Normal"/>
    <w:pPr>
      <w:spacing w:before="0" w:after="120"/>
      <w:ind w:left="420"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2012-02-21T16:15:00Z</dcterms:created>
  <dc:creator>Hu</dc:creator>
  <dc:description/>
  <cp:keywords/>
  <dc:language>en-US</dc:language>
  <cp:lastModifiedBy>husmi</cp:lastModifiedBy>
  <dcterms:modified xsi:type="dcterms:W3CDTF">2021-07-07T20:19:00Z</dcterms:modified>
  <cp:revision>4</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