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eastAsia="宋体" w:cs="宋体" w:ascii="宋体" w:hAnsi="宋体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eastAsia="宋体" w:cs="宋体" w:ascii="宋体" w:hAnsi="宋体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 w:eastAsia="宋体"/>
          <w:b/>
          <w:sz w:val="32"/>
          <w:szCs w:val="32"/>
          <w:lang w:val="en-US" w:eastAsia="zh-CN"/>
        </w:rPr>
        <w:t>上海深至信息科技</w:t>
      </w:r>
      <w:r>
        <w:rPr>
          <w:rFonts w:ascii="宋体" w:hAnsi="宋体" w:cs="宋体" w:eastAsia="宋体"/>
          <w:b/>
          <w:sz w:val="32"/>
          <w:szCs w:val="32"/>
          <w:lang w:val="zh-CN"/>
        </w:rPr>
        <w:t>有限公司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 w:eastAsia="宋体"/>
          <w:b/>
          <w:sz w:val="32"/>
          <w:szCs w:val="32"/>
          <w:lang w:val="zh-CN"/>
        </w:rPr>
        <w:t>质量管理体系文件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column">
                  <wp:posOffset>22225</wp:posOffset>
                </wp:positionH>
                <wp:positionV relativeFrom="paragraph">
                  <wp:posOffset>422275</wp:posOffset>
                </wp:positionV>
                <wp:extent cx="5715000" cy="0"/>
                <wp:effectExtent l="0" t="38100" r="0" b="38100"/>
                <wp:wrapNone/>
                <wp:docPr id="1" name="直线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763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75pt,33.25pt" to="451.7pt,33.25pt" ID="直线 54" stroked="t" o:allowincell="f" style="position:absolute">
                <v:stroke color="black" weight="7632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宋体" w:cs="宋体" w:ascii="宋体" w:hAnsi="宋体"/>
          <w:b/>
          <w:sz w:val="32"/>
          <w:szCs w:val="32"/>
          <w:lang w:val="zh-CN"/>
        </w:rPr>
        <w:t xml:space="preserve">  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28"/>
          <w:szCs w:val="28"/>
          <w:lang w:val="zh-CN"/>
        </w:rPr>
      </w:pPr>
      <w:r>
        <w:rPr>
          <w:rFonts w:eastAsia="宋体" w:cs="宋体" w:ascii="宋体" w:hAnsi="宋体"/>
          <w:b/>
          <w:sz w:val="28"/>
          <w:szCs w:val="28"/>
          <w:lang w:val="zh-CN"/>
        </w:rPr>
      </w:r>
    </w:p>
    <w:p>
      <w:pPr>
        <w:pStyle w:val="Normal"/>
        <w:autoSpaceDE w:val="false"/>
        <w:spacing w:lineRule="exact" w:line="440"/>
        <w:rPr>
          <w:rFonts w:ascii="宋体" w:hAnsi="宋体" w:eastAsia="宋体" w:cs="宋体"/>
          <w:b/>
          <w:b/>
          <w:sz w:val="28"/>
          <w:szCs w:val="28"/>
          <w:lang w:val="zh-CN"/>
        </w:rPr>
      </w:pPr>
      <w:r>
        <w:rPr>
          <w:rFonts w:eastAsia="宋体" w:cs="宋体" w:ascii="宋体" w:hAnsi="宋体"/>
          <w:b/>
          <w:sz w:val="28"/>
          <w:szCs w:val="28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 w:eastAsia="宋体"/>
          <w:b/>
          <w:sz w:val="32"/>
          <w:szCs w:val="32"/>
          <w:lang w:val="zh-CN"/>
        </w:rPr>
        <w:t>清场管理制度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0"/>
          <w:szCs w:val="30"/>
          <w:lang w:val="zh-CN"/>
        </w:rPr>
      </w:pPr>
      <w:r>
        <w:rPr>
          <w:rFonts w:eastAsia="宋体" w:cs="宋体" w:ascii="宋体" w:hAnsi="宋体"/>
          <w:b/>
          <w:sz w:val="30"/>
          <w:szCs w:val="30"/>
          <w:lang w:val="zh-CN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eastAsia="宋体" w:cs="宋体" w:ascii="宋体" w:hAnsi="宋体"/>
          <w:b/>
          <w:sz w:val="30"/>
          <w:szCs w:val="30"/>
        </w:rPr>
      </w:r>
    </w:p>
    <w:tbl>
      <w:tblPr>
        <w:tblW w:w="3960" w:type="dxa"/>
        <w:jc w:val="left"/>
        <w:tblInd w:w="26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945"/>
      </w:tblGrid>
      <w:tr>
        <w:trPr/>
        <w:tc>
          <w:tcPr>
            <w:tcW w:w="2015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 w:eastAsia="宋体"/>
                <w:b/>
                <w:sz w:val="30"/>
                <w:szCs w:val="30"/>
              </w:rPr>
              <w:t>文件编号</w:t>
            </w:r>
          </w:p>
        </w:tc>
        <w:tc>
          <w:tcPr>
            <w:tcW w:w="1945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eastAsia="宋体" w:cs="宋体" w:ascii="宋体" w:hAnsi="宋体"/>
                <w:sz w:val="30"/>
                <w:szCs w:val="30"/>
              </w:rPr>
              <w:t>QMS-R02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 w:eastAsia="宋体"/>
                <w:b/>
                <w:sz w:val="30"/>
                <w:szCs w:val="30"/>
              </w:rPr>
              <w:t>主管部门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cs="宋体" w:eastAsia="宋体"/>
                <w:sz w:val="30"/>
                <w:szCs w:val="30"/>
              </w:rPr>
              <w:t>生产部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 w:eastAsia="宋体"/>
                <w:b/>
                <w:sz w:val="30"/>
                <w:szCs w:val="30"/>
              </w:rPr>
              <w:t>版本号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eastAsia="宋体" w:cs="宋体" w:ascii="宋体" w:hAnsi="宋体"/>
                <w:sz w:val="30"/>
                <w:szCs w:val="30"/>
                <w:lang w:val="en-US" w:eastAsia="zh-CN"/>
              </w:rPr>
              <w:t>A</w:t>
            </w:r>
            <w:r>
              <w:rPr>
                <w:rFonts w:eastAsia="宋体" w:cs="宋体" w:ascii="宋体" w:hAnsi="宋体"/>
                <w:sz w:val="30"/>
                <w:szCs w:val="30"/>
              </w:rPr>
              <w:t>00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 w:eastAsia="宋体"/>
                <w:b/>
                <w:sz w:val="30"/>
                <w:szCs w:val="30"/>
              </w:rPr>
              <w:t>发放号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napToGrid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eastAsia="宋体" w:cs="宋体" w:ascii="宋体" w:hAnsi="宋体"/>
                <w:b/>
                <w:sz w:val="30"/>
                <w:szCs w:val="30"/>
              </w:rPr>
            </w:r>
          </w:p>
        </w:tc>
      </w:tr>
    </w:tbl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eastAsia="宋体" w:cs="宋体" w:ascii="宋体" w:hAnsi="宋体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eastAsia="宋体" w:cs="宋体" w:ascii="宋体" w:hAnsi="宋体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eastAsia="宋体" w:cs="宋体" w:ascii="宋体" w:hAnsi="宋体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57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ascii="宋体" w:hAnsi="宋体" w:cs="宋体" w:eastAsia="宋体"/>
          <w:b/>
          <w:sz w:val="30"/>
          <w:szCs w:val="30"/>
        </w:rPr>
        <w:t>起草人：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 w:eastAsia="宋体"/>
          <w:b/>
          <w:sz w:val="30"/>
          <w:szCs w:val="30"/>
        </w:rPr>
        <w:t>日期：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57"/>
        <w:rPr>
          <w:rFonts w:ascii="宋体" w:hAnsi="宋体" w:eastAsia="宋体" w:cs="宋体"/>
          <w:b/>
          <w:b/>
          <w:sz w:val="30"/>
          <w:szCs w:val="30"/>
          <w:u w:val="single"/>
        </w:rPr>
      </w:pPr>
      <w:r>
        <w:rPr>
          <w:rFonts w:ascii="宋体" w:hAnsi="宋体" w:cs="宋体" w:eastAsia="宋体"/>
          <w:b/>
          <w:sz w:val="30"/>
          <w:szCs w:val="30"/>
        </w:rPr>
        <w:t>审核人：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</w:rPr>
        <w:t>日期：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 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57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ascii="宋体" w:hAnsi="宋体" w:cs="宋体" w:eastAsia="宋体"/>
          <w:b/>
          <w:sz w:val="30"/>
          <w:szCs w:val="30"/>
        </w:rPr>
        <w:t>批准人：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</w:rPr>
        <w:t>日期：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 </w:t>
      </w:r>
    </w:p>
    <w:p>
      <w:pPr>
        <w:pStyle w:val="Normal"/>
        <w:ind w:right="-351" w:hanging="0"/>
        <w:rPr>
          <w:rFonts w:ascii="宋体" w:hAnsi="宋体" w:eastAsia="宋体" w:cs="宋体"/>
          <w:b/>
          <w:b/>
          <w:sz w:val="24"/>
          <w:szCs w:val="30"/>
        </w:rPr>
      </w:pPr>
      <w:r>
        <w:rPr>
          <w:rFonts w:eastAsia="宋体" w:cs="宋体" w:ascii="宋体" w:hAnsi="宋体"/>
          <w:b/>
          <w:sz w:val="24"/>
          <w:szCs w:val="30"/>
        </w:rPr>
      </w:r>
    </w:p>
    <w:p>
      <w:pPr>
        <w:pStyle w:val="Normal"/>
        <w:rPr>
          <w:rFonts w:ascii="宋体" w:hAnsi="宋体" w:eastAsia="宋体" w:cs="宋体"/>
          <w:b/>
          <w:b/>
          <w:sz w:val="24"/>
        </w:rPr>
      </w:pPr>
      <w:r>
        <w:rPr>
          <w:rFonts w:eastAsia="宋体" w:cs="宋体" w:ascii="宋体" w:hAnsi="宋体"/>
          <w:b/>
          <w:sz w:val="24"/>
        </w:rPr>
      </w:r>
    </w:p>
    <w:p>
      <w:pPr>
        <w:pStyle w:val="Normal"/>
        <w:ind w:right="-351" w:hanging="0"/>
        <w:rPr>
          <w:rFonts w:ascii="宋体" w:hAnsi="宋体" w:eastAsia="宋体" w:cs="宋体"/>
          <w:b/>
          <w:b/>
          <w:sz w:val="24"/>
        </w:rPr>
      </w:pPr>
      <w:r>
        <w:rPr>
          <w:rFonts w:eastAsia="宋体" w:cs="宋体" w:ascii="宋体" w:hAnsi="宋体"/>
          <w:b/>
          <w:sz w:val="24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  <w:t xml:space="preserve">                                                                               </w:t>
      </w:r>
    </w:p>
    <w:p>
      <w:pPr>
        <w:pStyle w:val="Normal"/>
        <w:tabs>
          <w:tab w:val="clear" w:pos="420"/>
          <w:tab w:val="left" w:pos="7513" w:leader="none"/>
          <w:tab w:val="left" w:pos="9460" w:leader="none"/>
        </w:tabs>
        <w:ind w:right="-28" w:firstLine="1060"/>
        <w:rPr>
          <w:rFonts w:ascii="宋体" w:hAnsi="宋体" w:eastAsia="宋体" w:cs="宋体"/>
          <w:bCs/>
          <w:color w:val="FF0000"/>
          <w:sz w:val="24"/>
        </w:rPr>
      </w:pPr>
      <w:r>
        <w:rPr>
          <w:rFonts w:ascii="宋体" w:hAnsi="宋体" w:cs="宋体" w:eastAsia="宋体"/>
          <w:b/>
          <w:sz w:val="24"/>
        </w:rPr>
        <w:t>分发部门：</w:t>
      </w:r>
      <w:r>
        <w:rPr>
          <w:rFonts w:ascii="宋体" w:hAnsi="宋体" w:cs="宋体" w:eastAsia="宋体"/>
          <w:bCs/>
          <w:sz w:val="24"/>
        </w:rPr>
        <w:t>生产部</w:t>
      </w:r>
      <w:r>
        <w:rPr>
          <w:rFonts w:eastAsia="宋体" w:cs="宋体" w:ascii="宋体" w:hAnsi="宋体"/>
          <w:bCs/>
          <w:sz w:val="24"/>
        </w:rPr>
        <w:t>/</w:t>
      </w:r>
      <w:r>
        <w:rPr>
          <w:rFonts w:ascii="宋体" w:hAnsi="宋体" w:cs="宋体" w:eastAsia="宋体"/>
          <w:bCs/>
          <w:sz w:val="24"/>
        </w:rPr>
        <w:t>运维、质量部</w:t>
      </w:r>
      <w:r>
        <w:rPr>
          <w:rFonts w:ascii="宋体" w:hAnsi="宋体" w:cs="宋体" w:eastAsia="宋体"/>
          <w:b/>
          <w:sz w:val="24"/>
        </w:rPr>
        <w:t xml:space="preserve">           </w:t>
      </w:r>
      <w:r>
        <w:rPr>
          <w:rFonts w:ascii="宋体" w:hAnsi="宋体" w:cs="宋体" w:eastAsia="宋体"/>
          <w:b/>
          <w:color w:val="FF0000"/>
          <w:sz w:val="24"/>
        </w:rPr>
        <w:t>生效日期：</w:t>
      </w:r>
      <w:r>
        <w:rPr>
          <w:rFonts w:eastAsia="宋体" w:cs="宋体" w:ascii="宋体" w:hAnsi="宋体"/>
          <w:bCs/>
          <w:color w:val="FF0000"/>
          <w:sz w:val="24"/>
        </w:rPr>
        <w:t>20</w:t>
      </w:r>
      <w:r>
        <w:rPr>
          <w:rFonts w:eastAsia="宋体" w:cs="宋体" w:ascii="宋体" w:hAnsi="宋体"/>
          <w:bCs/>
          <w:color w:val="FF0000"/>
          <w:sz w:val="24"/>
        </w:rPr>
        <w:t>20</w:t>
      </w:r>
      <w:r>
        <w:rPr>
          <w:rFonts w:eastAsia="宋体" w:cs="宋体" w:ascii="宋体" w:hAnsi="宋体"/>
          <w:bCs/>
          <w:color w:val="FF0000"/>
          <w:sz w:val="24"/>
        </w:rPr>
        <w:t>-0</w:t>
      </w:r>
      <w:r>
        <w:rPr>
          <w:rFonts w:eastAsia="宋体" w:cs="宋体" w:ascii="宋体" w:hAnsi="宋体"/>
          <w:bCs/>
          <w:color w:val="FF0000"/>
          <w:sz w:val="24"/>
        </w:rPr>
        <w:t>6</w:t>
      </w:r>
      <w:r>
        <w:rPr>
          <w:rFonts w:eastAsia="宋体" w:cs="宋体" w:ascii="宋体" w:hAnsi="宋体"/>
          <w:bCs/>
          <w:color w:val="FF0000"/>
          <w:sz w:val="24"/>
        </w:rPr>
        <w:t>-</w:t>
      </w:r>
      <w:r>
        <w:rPr>
          <w:rFonts w:eastAsia="宋体" w:cs="宋体" w:ascii="宋体" w:hAnsi="宋体"/>
          <w:bCs/>
          <w:color w:val="FF0000"/>
          <w:sz w:val="24"/>
        </w:rPr>
        <w:t>22</w:t>
      </w:r>
    </w:p>
    <w:p>
      <w:pPr>
        <w:pStyle w:val="Normal"/>
        <w:tabs>
          <w:tab w:val="clear" w:pos="420"/>
          <w:tab w:val="left" w:pos="7513" w:leader="none"/>
          <w:tab w:val="left" w:pos="9460" w:leader="none"/>
        </w:tabs>
        <w:ind w:right="-28" w:firstLine="1056"/>
        <w:rPr>
          <w:rFonts w:ascii="宋体" w:hAnsi="宋体" w:eastAsia="宋体" w:cs="宋体"/>
          <w:bCs/>
          <w:color w:val="FF0000"/>
          <w:sz w:val="24"/>
        </w:rPr>
      </w:pPr>
      <w:r>
        <w:rPr>
          <w:rFonts w:eastAsia="宋体" w:cs="宋体" w:ascii="宋体" w:hAnsi="宋体"/>
          <w:bCs/>
          <w:color w:val="FF0000"/>
          <w:sz w:val="24"/>
        </w:rPr>
      </w:r>
    </w:p>
    <w:p>
      <w:pPr>
        <w:pStyle w:val="Normal"/>
        <w:tabs>
          <w:tab w:val="clear" w:pos="420"/>
          <w:tab w:val="left" w:pos="7513" w:leader="none"/>
          <w:tab w:val="left" w:pos="9460" w:leader="none"/>
        </w:tabs>
        <w:ind w:right="-28" w:firstLine="1056"/>
        <w:rPr>
          <w:rFonts w:ascii="宋体" w:hAnsi="宋体" w:eastAsia="宋体" w:cs="宋体"/>
          <w:bCs/>
          <w:color w:val="FF0000"/>
          <w:sz w:val="24"/>
        </w:rPr>
      </w:pPr>
      <w:r>
        <w:rPr>
          <w:rFonts w:eastAsia="宋体" w:cs="宋体" w:ascii="宋体" w:hAnsi="宋体"/>
          <w:bCs/>
          <w:color w:val="FF0000"/>
          <w:sz w:val="24"/>
        </w:rPr>
      </w:r>
    </w:p>
    <w:p>
      <w:pPr>
        <w:pStyle w:val="Normal"/>
        <w:widowControl/>
        <w:numPr>
          <w:ilvl w:val="0"/>
          <w:numId w:val="2"/>
        </w:numPr>
        <w:tabs>
          <w:tab w:val="clear" w:pos="420"/>
          <w:tab w:val="left" w:pos="540" w:leader="none"/>
          <w:tab w:val="left" w:pos="5760" w:leader="none"/>
        </w:tabs>
        <w:spacing w:lineRule="auto" w:line="360"/>
        <w:ind w:left="709" w:hanging="709"/>
        <w:jc w:val="left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目的：</w:t>
      </w:r>
      <w:r>
        <w:rPr>
          <w:rFonts w:ascii="宋体" w:hAnsi="宋体" w:cs="宋体" w:eastAsia="宋体"/>
        </w:rPr>
        <w:t>规范清场工作的管理，防止产品生产过程中</w:t>
      </w:r>
      <w:r>
        <w:rPr>
          <w:rFonts w:ascii="宋体" w:hAnsi="宋体" w:cs="宋体" w:eastAsia="宋体"/>
          <w:lang w:val="en-US" w:eastAsia="zh-CN"/>
        </w:rPr>
        <w:t>的</w:t>
      </w:r>
      <w:r>
        <w:rPr>
          <w:rFonts w:ascii="宋体" w:hAnsi="宋体" w:cs="宋体" w:eastAsia="宋体"/>
        </w:rPr>
        <w:t>混淆事故的发生。</w:t>
      </w:r>
    </w:p>
    <w:p>
      <w:pPr>
        <w:pStyle w:val="Normal"/>
        <w:widowControl/>
        <w:numPr>
          <w:ilvl w:val="0"/>
          <w:numId w:val="2"/>
        </w:numPr>
        <w:tabs>
          <w:tab w:val="clear" w:pos="420"/>
          <w:tab w:val="left" w:pos="540" w:leader="none"/>
          <w:tab w:val="left" w:pos="5760" w:leader="none"/>
        </w:tabs>
        <w:spacing w:lineRule="auto" w:line="360"/>
        <w:ind w:left="709" w:hanging="709"/>
        <w:jc w:val="left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范围：</w:t>
      </w:r>
      <w:r>
        <w:rPr>
          <w:rFonts w:ascii="宋体" w:hAnsi="宋体" w:cs="宋体" w:eastAsia="宋体"/>
        </w:rPr>
        <w:t>适用于与</w:t>
      </w:r>
      <w:r>
        <w:rPr>
          <w:rFonts w:ascii="宋体" w:hAnsi="宋体" w:cs="宋体" w:eastAsia="宋体"/>
          <w:lang w:val="en-US" w:eastAsia="zh-CN"/>
        </w:rPr>
        <w:t>媒介复制和实物包装的</w:t>
      </w:r>
      <w:r>
        <w:rPr>
          <w:rFonts w:ascii="宋体" w:hAnsi="宋体" w:cs="宋体" w:eastAsia="宋体"/>
        </w:rPr>
        <w:t>相关清场工作。</w:t>
      </w:r>
    </w:p>
    <w:p>
      <w:pPr>
        <w:pStyle w:val="Normal"/>
        <w:widowControl/>
        <w:numPr>
          <w:ilvl w:val="0"/>
          <w:numId w:val="2"/>
        </w:numPr>
        <w:tabs>
          <w:tab w:val="clear" w:pos="420"/>
          <w:tab w:val="left" w:pos="540" w:leader="none"/>
          <w:tab w:val="left" w:pos="5760" w:leader="none"/>
        </w:tabs>
        <w:spacing w:lineRule="auto" w:line="360"/>
        <w:ind w:left="709" w:hanging="709"/>
        <w:jc w:val="left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责任</w:t>
      </w:r>
    </w:p>
    <w:p>
      <w:pPr>
        <w:pStyle w:val="Normal"/>
        <w:numPr>
          <w:ilvl w:val="1"/>
          <w:numId w:val="2"/>
        </w:numPr>
        <w:tabs>
          <w:tab w:val="clear" w:pos="420"/>
          <w:tab w:val="left" w:pos="0" w:leader="none"/>
        </w:tabs>
        <w:spacing w:lineRule="auto" w:line="360"/>
        <w:ind w:left="1410" w:hanging="701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生产</w:t>
      </w:r>
      <w:r>
        <w:rPr>
          <w:rFonts w:eastAsia="宋体" w:cs="宋体" w:ascii="宋体" w:hAnsi="宋体"/>
          <w:lang w:val="en-US" w:eastAsia="zh-CN"/>
        </w:rPr>
        <w:t>/</w:t>
      </w:r>
      <w:r>
        <w:rPr>
          <w:rFonts w:ascii="宋体" w:hAnsi="宋体" w:cs="宋体" w:eastAsia="宋体"/>
          <w:lang w:val="en-US" w:eastAsia="zh-CN"/>
        </w:rPr>
        <w:t>运维</w:t>
      </w:r>
      <w:r>
        <w:rPr>
          <w:rFonts w:ascii="宋体" w:hAnsi="宋体" w:cs="宋体" w:eastAsia="宋体"/>
        </w:rPr>
        <w:t>部负责制订清场管理制度，并监督清场制度的执行，</w:t>
      </w:r>
    </w:p>
    <w:p>
      <w:pPr>
        <w:pStyle w:val="Normal"/>
        <w:numPr>
          <w:ilvl w:val="1"/>
          <w:numId w:val="2"/>
        </w:numPr>
        <w:tabs>
          <w:tab w:val="clear" w:pos="420"/>
          <w:tab w:val="left" w:pos="0" w:leader="none"/>
        </w:tabs>
        <w:spacing w:lineRule="auto" w:line="360"/>
        <w:ind w:left="1410" w:hanging="701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质量部进行审核。</w:t>
      </w:r>
    </w:p>
    <w:p>
      <w:pPr>
        <w:pStyle w:val="Normal"/>
        <w:widowControl/>
        <w:numPr>
          <w:ilvl w:val="0"/>
          <w:numId w:val="2"/>
        </w:numPr>
        <w:tabs>
          <w:tab w:val="clear" w:pos="420"/>
          <w:tab w:val="left" w:pos="540" w:leader="none"/>
          <w:tab w:val="left" w:pos="5760" w:leader="none"/>
        </w:tabs>
        <w:spacing w:lineRule="auto" w:line="360"/>
        <w:ind w:left="709" w:hanging="709"/>
        <w:jc w:val="left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内容</w:t>
      </w:r>
    </w:p>
    <w:p>
      <w:pPr>
        <w:pStyle w:val="Normal"/>
        <w:numPr>
          <w:ilvl w:val="1"/>
          <w:numId w:val="2"/>
        </w:numPr>
        <w:tabs>
          <w:tab w:val="clear" w:pos="420"/>
          <w:tab w:val="left" w:pos="0" w:leader="none"/>
        </w:tabs>
        <w:spacing w:lineRule="auto" w:line="360"/>
        <w:ind w:left="0" w:firstLine="283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在生产前应进行上次清场的检查，确认现场无上批次的遗留物料，没有与生产无关的物料。</w:t>
      </w:r>
    </w:p>
    <w:p>
      <w:pPr>
        <w:pStyle w:val="Normal"/>
        <w:numPr>
          <w:ilvl w:val="1"/>
          <w:numId w:val="2"/>
        </w:numPr>
        <w:tabs>
          <w:tab w:val="clear" w:pos="420"/>
          <w:tab w:val="left" w:pos="0" w:leader="none"/>
        </w:tabs>
        <w:spacing w:lineRule="auto" w:line="360"/>
        <w:ind w:left="0" w:firstLine="283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生产结束后，应进行清场，清场工作由生产操作人员严格按照本制度进行。具体要求如下：</w:t>
      </w:r>
    </w:p>
    <w:p>
      <w:pPr>
        <w:pStyle w:val="Normal"/>
        <w:numPr>
          <w:ilvl w:val="2"/>
          <w:numId w:val="2"/>
        </w:numPr>
        <w:tabs>
          <w:tab w:val="clear" w:pos="420"/>
          <w:tab w:val="left" w:pos="0" w:leader="none"/>
          <w:tab w:val="left" w:pos="540" w:leader="none"/>
          <w:tab w:val="left" w:pos="993" w:leader="none"/>
        </w:tabs>
        <w:spacing w:lineRule="auto" w:line="360"/>
        <w:ind w:left="0" w:firstLine="707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生产现场清理：设备内外无生产遗留物。生产现场不得存放与下次生产无关的物品（包括物料、产品、记录等），生产废弃物已处理。</w:t>
      </w:r>
    </w:p>
    <w:p>
      <w:pPr>
        <w:pStyle w:val="Normal"/>
        <w:numPr>
          <w:ilvl w:val="2"/>
          <w:numId w:val="2"/>
        </w:numPr>
        <w:tabs>
          <w:tab w:val="clear" w:pos="420"/>
          <w:tab w:val="left" w:pos="0" w:leader="none"/>
          <w:tab w:val="left" w:pos="540" w:leader="none"/>
          <w:tab w:val="left" w:pos="993" w:leader="none"/>
        </w:tabs>
        <w:spacing w:lineRule="auto" w:line="360"/>
        <w:ind w:left="0" w:firstLine="707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 xml:space="preserve"> </w:t>
      </w:r>
      <w:r>
        <w:rPr>
          <w:rFonts w:ascii="宋体" w:hAnsi="宋体" w:cs="宋体" w:eastAsia="宋体"/>
        </w:rPr>
        <w:t>调换品种、规格和版本时，多余的标签、包装材料应全部按规定处理。</w:t>
      </w:r>
    </w:p>
    <w:p>
      <w:pPr>
        <w:pStyle w:val="Normal"/>
        <w:numPr>
          <w:ilvl w:val="2"/>
          <w:numId w:val="2"/>
        </w:numPr>
        <w:tabs>
          <w:tab w:val="clear" w:pos="420"/>
          <w:tab w:val="left" w:pos="0" w:leader="none"/>
          <w:tab w:val="left" w:pos="540" w:leader="none"/>
          <w:tab w:val="left" w:pos="993" w:leader="none"/>
        </w:tabs>
        <w:spacing w:lineRule="auto" w:line="360"/>
        <w:ind w:left="0" w:firstLine="707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 xml:space="preserve"> </w:t>
      </w:r>
      <w:r>
        <w:rPr>
          <w:rFonts w:ascii="宋体" w:hAnsi="宋体" w:cs="宋体" w:eastAsia="宋体"/>
        </w:rPr>
        <w:t>生产结束后，剩余的物料应进行重新正确包装，及时合理保存或退库。</w:t>
      </w:r>
    </w:p>
    <w:p>
      <w:pPr>
        <w:pStyle w:val="Normal"/>
        <w:numPr>
          <w:ilvl w:val="1"/>
          <w:numId w:val="2"/>
        </w:numPr>
        <w:tabs>
          <w:tab w:val="clear" w:pos="420"/>
          <w:tab w:val="left" w:pos="0" w:leader="none"/>
        </w:tabs>
        <w:spacing w:lineRule="auto" w:line="360"/>
        <w:ind w:left="1410" w:hanging="1126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清场记录</w:t>
      </w:r>
    </w:p>
    <w:p>
      <w:pPr>
        <w:pStyle w:val="Normal"/>
        <w:tabs>
          <w:tab w:val="clear" w:pos="420"/>
          <w:tab w:val="left" w:pos="0" w:leader="none"/>
        </w:tabs>
        <w:spacing w:lineRule="auto" w:line="360"/>
        <w:ind w:left="2" w:firstLine="42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清场操作应有清场记录，清场记录内容应包括：</w:t>
      </w:r>
      <w:r>
        <w:rPr>
          <w:rFonts w:ascii="宋体" w:hAnsi="宋体" w:cs="宋体" w:eastAsia="宋体"/>
          <w:color w:val="000000"/>
        </w:rPr>
        <w:t>产品名称、规格</w:t>
      </w:r>
      <w:r>
        <w:rPr>
          <w:rFonts w:eastAsia="宋体" w:cs="宋体" w:ascii="宋体" w:hAnsi="宋体"/>
          <w:color w:val="000000"/>
        </w:rPr>
        <w:t>/</w:t>
      </w:r>
      <w:r>
        <w:rPr>
          <w:rFonts w:ascii="宋体" w:hAnsi="宋体" w:cs="宋体" w:eastAsia="宋体"/>
          <w:color w:val="000000"/>
        </w:rPr>
        <w:t>型号、版本号、批号、清场日期、清场项目、清场人、检查人</w:t>
      </w:r>
      <w:r>
        <w:rPr>
          <w:rFonts w:ascii="宋体" w:hAnsi="宋体" w:cs="宋体" w:eastAsia="宋体"/>
        </w:rPr>
        <w:t>等。清场记录包含在批生产记录中。</w:t>
      </w:r>
    </w:p>
    <w:p>
      <w:pPr>
        <w:pStyle w:val="Normal"/>
        <w:numPr>
          <w:ilvl w:val="1"/>
          <w:numId w:val="2"/>
        </w:numPr>
        <w:tabs>
          <w:tab w:val="clear" w:pos="420"/>
          <w:tab w:val="left" w:pos="0" w:leader="none"/>
        </w:tabs>
        <w:spacing w:lineRule="auto" w:line="360"/>
        <w:ind w:left="1410" w:hanging="1126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清场检查</w:t>
      </w:r>
    </w:p>
    <w:p>
      <w:pPr>
        <w:pStyle w:val="Normal"/>
        <w:tabs>
          <w:tab w:val="clear" w:pos="420"/>
          <w:tab w:val="left" w:pos="540" w:leader="none"/>
        </w:tabs>
        <w:spacing w:lineRule="auto" w:line="360"/>
        <w:ind w:firstLine="525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清场结束后，由质量人员进行复检，并签字确认。</w:t>
      </w:r>
    </w:p>
    <w:p>
      <w:pPr>
        <w:pStyle w:val="Normal"/>
        <w:tabs>
          <w:tab w:val="clear" w:pos="420"/>
          <w:tab w:val="left" w:pos="5760" w:leader="none"/>
        </w:tabs>
        <w:spacing w:lineRule="auto" w:line="360"/>
        <w:rPr>
          <w:rFonts w:ascii="宋体" w:hAnsi="宋体" w:eastAsia="宋体" w:cs="宋体"/>
          <w:b/>
          <w:b/>
          <w:color w:val="000000"/>
        </w:rPr>
      </w:pPr>
      <w:r>
        <w:rPr>
          <w:rFonts w:eastAsia="宋体" w:cs="宋体" w:ascii="宋体" w:hAnsi="宋体"/>
          <w:b/>
          <w:color w:val="000000"/>
        </w:rPr>
        <w:t>5</w:t>
      </w:r>
      <w:r>
        <w:rPr>
          <w:rFonts w:eastAsia="宋体" w:cs="宋体" w:ascii="宋体" w:hAnsi="宋体"/>
          <w:b/>
          <w:color w:val="000000"/>
        </w:rPr>
        <w:t xml:space="preserve">.0 </w:t>
      </w:r>
      <w:r>
        <w:rPr>
          <w:rFonts w:ascii="宋体" w:hAnsi="宋体" w:cs="宋体" w:eastAsia="宋体"/>
          <w:b/>
          <w:color w:val="000000"/>
        </w:rPr>
        <w:t>记录</w:t>
      </w:r>
    </w:p>
    <w:p>
      <w:pPr>
        <w:pStyle w:val="Normal"/>
        <w:widowControl/>
        <w:tabs>
          <w:tab w:val="clear" w:pos="420"/>
          <w:tab w:val="left" w:pos="5760" w:leader="none"/>
        </w:tabs>
        <w:spacing w:lineRule="auto" w:line="360"/>
        <w:ind w:firstLine="630"/>
        <w:jc w:val="left"/>
        <w:rPr>
          <w:rFonts w:ascii="宋体" w:hAnsi="宋体" w:eastAsia="宋体" w:cs="宋体"/>
          <w:color w:val="000000"/>
        </w:rPr>
      </w:pPr>
      <w:r>
        <w:rPr>
          <w:rFonts w:eastAsia="宋体" w:cs="宋体" w:ascii="宋体" w:hAnsi="宋体"/>
          <w:color w:val="000000"/>
        </w:rPr>
        <w:t>DHR-01</w:t>
      </w:r>
      <w:r>
        <w:rPr>
          <w:rFonts w:ascii="宋体" w:hAnsi="宋体" w:cs="宋体" w:eastAsia="宋体"/>
          <w:color w:val="000000"/>
        </w:rPr>
        <w:t>《</w:t>
      </w:r>
      <w:r>
        <w:rPr>
          <w:rFonts w:ascii="宋体" w:hAnsi="宋体" w:cs="宋体" w:eastAsia="宋体"/>
          <w:color w:val="000000"/>
        </w:rPr>
        <w:t>媒介复制和包装记录</w:t>
      </w:r>
      <w:r>
        <w:rPr>
          <w:rFonts w:ascii="宋体" w:hAnsi="宋体" w:cs="宋体" w:eastAsia="宋体"/>
          <w:color w:val="000000"/>
        </w:rPr>
        <w:t>》</w:t>
      </w:r>
    </w:p>
    <w:p>
      <w:pPr>
        <w:pStyle w:val="Normal"/>
        <w:autoSpaceDE w:val="false"/>
        <w:spacing w:lineRule="auto" w:line="360"/>
        <w:rPr>
          <w:rFonts w:ascii="宋体" w:hAnsi="宋体" w:eastAsia="宋体" w:cs="宋体"/>
          <w:b/>
          <w:b/>
          <w:szCs w:val="21"/>
        </w:rPr>
      </w:pPr>
      <w:r>
        <w:rPr>
          <w:rFonts w:eastAsia="宋体" w:cs="宋体" w:ascii="宋体" w:hAnsi="宋体"/>
          <w:b/>
          <w:szCs w:val="21"/>
        </w:rPr>
        <w:t>6</w:t>
      </w:r>
      <w:r>
        <w:rPr>
          <w:rFonts w:ascii="宋体" w:hAnsi="宋体" w:cs="宋体" w:eastAsia="宋体"/>
          <w:b/>
          <w:szCs w:val="21"/>
        </w:rPr>
        <w:t>、文件更改履历表</w:t>
      </w:r>
    </w:p>
    <w:tbl>
      <w:tblPr>
        <w:tblW w:w="98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5881"/>
        <w:gridCol w:w="2388"/>
      </w:tblGrid>
      <w:tr>
        <w:trPr>
          <w:trHeight w:val="325" w:hRule="atLeast"/>
        </w:trPr>
        <w:tc>
          <w:tcPr>
            <w:tcW w:w="1559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/>
              <w:ind w:firstLine="316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ascii="宋体" w:hAnsi="宋体" w:cs="宋体" w:eastAsia="宋体"/>
                <w:b/>
                <w:szCs w:val="21"/>
              </w:rPr>
              <w:t>版本号</w:t>
            </w:r>
          </w:p>
        </w:tc>
        <w:tc>
          <w:tcPr>
            <w:tcW w:w="588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color w:val="000000"/>
                <w:szCs w:val="21"/>
              </w:rPr>
            </w:pPr>
            <w:r>
              <w:rPr>
                <w:rFonts w:ascii="宋体" w:hAnsi="宋体" w:cs="宋体" w:eastAsia="宋体"/>
                <w:b/>
                <w:szCs w:val="21"/>
              </w:rPr>
              <w:t>更改描述</w:t>
            </w:r>
          </w:p>
        </w:tc>
        <w:tc>
          <w:tcPr>
            <w:tcW w:w="2388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color w:val="000000"/>
                <w:szCs w:val="21"/>
              </w:rPr>
            </w:pPr>
            <w:r>
              <w:rPr>
                <w:rFonts w:ascii="宋体" w:hAnsi="宋体" w:cs="宋体" w:eastAsia="宋体"/>
                <w:b/>
                <w:color w:val="000000"/>
                <w:szCs w:val="21"/>
              </w:rPr>
              <w:t>生效日期</w:t>
            </w:r>
          </w:p>
        </w:tc>
      </w:tr>
      <w:tr>
        <w:trPr/>
        <w:tc>
          <w:tcPr>
            <w:tcW w:w="1559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" w:hAnsi="宋体" w:eastAsia="宋体" w:cs="宋体"/>
                <w:sz w:val="21"/>
              </w:rPr>
            </w:pPr>
            <w:r>
              <w:rPr>
                <w:rFonts w:eastAsia="宋体" w:cs="宋体" w:ascii="宋体" w:hAnsi="宋体"/>
                <w:sz w:val="21"/>
              </w:rPr>
              <w:t>A00</w:t>
            </w:r>
          </w:p>
        </w:tc>
        <w:tc>
          <w:tcPr>
            <w:tcW w:w="588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cs="宋体" w:eastAsia="宋体"/>
                <w:sz w:val="21"/>
              </w:rPr>
              <w:t>新文件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2"/>
              <w:spacing w:lineRule="auto" w:line="360"/>
              <w:ind w:left="0" w:hanging="180"/>
              <w:jc w:val="center"/>
              <w:rPr>
                <w:rFonts w:ascii="宋体" w:hAnsi="宋体" w:eastAsia="宋体" w:cs="宋体"/>
                <w:sz w:val="21"/>
              </w:rPr>
            </w:pPr>
            <w:r>
              <w:rPr>
                <w:rFonts w:eastAsia="宋体" w:cs="宋体" w:ascii="宋体" w:hAnsi="宋体"/>
                <w:sz w:val="21"/>
              </w:rPr>
              <w:t>20</w:t>
            </w:r>
            <w:r>
              <w:rPr>
                <w:rFonts w:eastAsia="宋体" w:cs="宋体" w:ascii="宋体" w:hAnsi="宋体"/>
                <w:sz w:val="21"/>
              </w:rPr>
              <w:t>20</w:t>
            </w:r>
            <w:r>
              <w:rPr>
                <w:rFonts w:eastAsia="宋体" w:cs="宋体" w:ascii="宋体" w:hAnsi="宋体"/>
                <w:sz w:val="21"/>
              </w:rPr>
              <w:t>-0</w:t>
            </w:r>
            <w:r>
              <w:rPr>
                <w:rFonts w:eastAsia="宋体" w:cs="宋体" w:ascii="宋体" w:hAnsi="宋体"/>
                <w:sz w:val="21"/>
              </w:rPr>
              <w:t>6</w:t>
            </w:r>
            <w:r>
              <w:rPr>
                <w:rFonts w:eastAsia="宋体" w:cs="宋体" w:ascii="宋体" w:hAnsi="宋体"/>
                <w:sz w:val="21"/>
              </w:rPr>
              <w:t>-</w:t>
            </w:r>
            <w:r>
              <w:rPr>
                <w:rFonts w:eastAsia="宋体" w:cs="宋体" w:ascii="宋体" w:hAnsi="宋体"/>
                <w:sz w:val="21"/>
              </w:rPr>
              <w:t>22</w:t>
            </w:r>
          </w:p>
        </w:tc>
      </w:tr>
    </w:tbl>
    <w:p>
      <w:pPr>
        <w:pStyle w:val="Normal"/>
        <w:spacing w:lineRule="auto" w:line="360"/>
        <w:rPr>
          <w:rFonts w:ascii="宋体" w:hAnsi="宋体" w:eastAsia="宋体" w:cs="宋体"/>
          <w:szCs w:val="21"/>
        </w:rPr>
      </w:pPr>
      <w:r>
        <w:rPr>
          <w:rFonts w:eastAsia="宋体" w:cs="宋体" w:ascii="宋体" w:hAnsi="宋体"/>
          <w:szCs w:val="21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276" w:right="1418" w:gutter="0" w:header="851" w:top="1134" w:footer="924" w:bottom="1134"/>
      <w:pgNumType w:start="1" w:fmt="decimal"/>
      <w:formProt w:val="false"/>
      <w:titlePg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86"/>
    <w:family w:val="auto"/>
    <w:pitch w:val="default"/>
  </w:font>
  <w:font w:name="Arial Black"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Arial Unicode MS">
    <w:altName w:val="宋体"/>
    <w:charset w:val="86"/>
    <w:family w:val="swiss"/>
    <w:pitch w:val="default"/>
  </w:font>
  <w:font w:name="宋体">
    <w:charset w:val="86"/>
    <w:family w:val="auto"/>
    <w:pitch w:val="default"/>
  </w:font>
  <w:font w:name="Arial">
    <w:charset w:val="00"/>
    <w:family w:val="swiss"/>
    <w:pitch w:val="default"/>
  </w:font>
  <w:font w:name="ËÎÌå">
    <w:altName w:val="宋体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jc w:val="both"/>
      <w:rPr/>
    </w:pPr>
    <w:r>
      <w:rPr/>
    </w:r>
    <w:r>
      <mc:AlternateContent>
        <mc:Choice Requires="wps">
          <w:drawing>
            <wp:anchor behindDoc="0" distT="0" distB="0" distL="114300" distR="114300" simplePos="0" locked="0" layoutInCell="0" allowOverlap="1" relativeHeight="3">
              <wp:simplePos x="0" y="0"/>
              <wp:positionH relativeFrom="page">
                <wp:posOffset>993775</wp:posOffset>
              </wp:positionH>
              <wp:positionV relativeFrom="page">
                <wp:posOffset>532130</wp:posOffset>
              </wp:positionV>
              <wp:extent cx="5936615" cy="79692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36615" cy="7969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tbl>
                          <w:tblPr>
                            <w:tblW w:w="9349" w:type="dxa"/>
                            <w:jc w:val="left"/>
                            <w:tblInd w:w="108" w:type="dxa"/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1403"/>
                            <w:gridCol w:w="4621"/>
                            <w:gridCol w:w="3325"/>
                          </w:tblGrid>
                          <w:tr>
                            <w:trPr>
                              <w:trHeight w:val="327" w:hRule="atLeast"/>
                            </w:trPr>
                            <w:tc>
                              <w:tcPr>
                                <w:tcW w:w="1403" w:type="dxa"/>
                                <w:vMerge w:val="restart"/>
                                <w:tcBorders>
                                  <w:top w:val="double" w:sz="4" w:space="0" w:color="000000"/>
                                  <w:left w:val="double" w:sz="4" w:space="0" w:color="000000"/>
                                  <w:bottom w:val="single" w:sz="6" w:space="0" w:color="000000"/>
                                  <w:right w:val="single" w:sz="4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Normal"/>
                                  <w:jc w:val="center"/>
                                  <w:rPr>
                                    <w:rFonts w:ascii="宋体" w:hAnsi="宋体" w:eastAsia="宋体" w:cs="宋体"/>
                                  </w:rPr>
                                </w:pPr>
                                <w:r>
                                  <w:rPr>
                                    <w:rFonts w:ascii="宋体" w:hAnsi="宋体" w:cs="宋体" w:eastAsia="宋体"/>
                                  </w:rPr>
                                  <w:t xml:space="preserve">文件名称 </w:t>
                                </w:r>
                              </w:p>
                            </w:tc>
                            <w:tc>
                              <w:tcPr>
                                <w:tcW w:w="4621" w:type="dxa"/>
                                <w:vMerge w:val="restart"/>
                                <w:tcBorders>
                                  <w:top w:val="double" w:sz="4" w:space="0" w:color="000000"/>
                                  <w:left w:val="single" w:sz="4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Normal"/>
                                  <w:jc w:val="center"/>
                                  <w:rPr>
                                    <w:rFonts w:ascii="宋体" w:hAnsi="宋体" w:eastAsia="宋体" w:cs="宋体"/>
                                  </w:rPr>
                                </w:pPr>
                                <w:r>
                                  <w:rPr>
                                    <w:rFonts w:ascii="宋体" w:hAnsi="宋体" w:cs="宋体" w:eastAsia="宋体"/>
                                  </w:rPr>
                                  <w:t>清场管理制度</w:t>
                                </w:r>
                              </w:p>
                            </w:tc>
                            <w:tc>
                              <w:tcPr>
                                <w:tcW w:w="3325" w:type="dxa"/>
                                <w:tcBorders>
                                  <w:top w:val="double" w:sz="4" w:space="0" w:color="000000"/>
                                  <w:left w:val="single" w:sz="6" w:space="0" w:color="000000"/>
                                  <w:bottom w:val="single" w:sz="6" w:space="0" w:color="000000"/>
                                  <w:right w:val="double" w:sz="4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Header"/>
                                  <w:jc w:val="both"/>
                                  <w:rPr>
                                    <w:rFonts w:ascii="宋体" w:hAnsi="宋体" w:eastAsia="宋体" w:cs="宋体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宋体" w:hAnsi="宋体" w:cs="宋体" w:eastAsia="宋体"/>
                                    <w:sz w:val="24"/>
                                    <w:szCs w:val="24"/>
                                  </w:rPr>
                                  <w:t xml:space="preserve">文件编号：    </w:t>
                                </w:r>
                                <w:r>
                                  <w:rPr>
                                    <w:rFonts w:eastAsia="宋体" w:cs="宋体" w:ascii="宋体" w:hAnsi="宋体"/>
                                    <w:sz w:val="24"/>
                                    <w:szCs w:val="24"/>
                                  </w:rPr>
                                  <w:t>QMS-R02</w:t>
                                </w:r>
                              </w:p>
                            </w:tc>
                          </w:tr>
                          <w:tr>
                            <w:trPr>
                              <w:trHeight w:val="331" w:hRule="atLeast"/>
                            </w:trPr>
                            <w:tc>
                              <w:tcPr>
                                <w:tcW w:w="1403" w:type="dxa"/>
                                <w:vMerge w:val="continue"/>
                                <w:tcBorders>
                                  <w:top w:val="double" w:sz="4" w:space="0" w:color="000000"/>
                                  <w:left w:val="double" w:sz="4" w:space="0" w:color="000000"/>
                                  <w:bottom w:val="single" w:sz="6" w:space="0" w:color="000000"/>
                                  <w:right w:val="single" w:sz="4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rFonts w:ascii="宋体" w:hAnsi="宋体" w:eastAsia="宋体" w:cs="宋体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eastAsia="宋体" w:cs="宋体" w:ascii="宋体" w:hAnsi="宋体"/>
                                    <w:sz w:val="24"/>
                                    <w:szCs w:val="24"/>
                                  </w:rPr>
                                </w:r>
                              </w:p>
                            </w:tc>
                            <w:tc>
                              <w:tcPr>
                                <w:tcW w:w="4621" w:type="dxa"/>
                                <w:vMerge w:val="continue"/>
                                <w:tcBorders>
                                  <w:top w:val="double" w:sz="4" w:space="0" w:color="000000"/>
                                  <w:left w:val="single" w:sz="4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rFonts w:ascii="宋体" w:hAnsi="宋体" w:eastAsia="宋体" w:cs="宋体"/>
                                  </w:rPr>
                                </w:pPr>
                                <w:r>
                                  <w:rPr>
                                    <w:rFonts w:eastAsia="宋体" w:cs="宋体" w:ascii="宋体" w:hAnsi="宋体"/>
                                  </w:rPr>
                                </w:r>
                              </w:p>
                            </w:tc>
                            <w:tc>
                              <w:tcPr>
                                <w:tcW w:w="332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double" w:sz="4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Header"/>
                                  <w:jc w:val="both"/>
                                  <w:rPr>
                                    <w:rFonts w:ascii="宋体" w:hAnsi="宋体" w:eastAsia="宋体" w:cs="宋体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宋体" w:hAnsi="宋体" w:cs="宋体" w:eastAsia="宋体"/>
                                    <w:sz w:val="24"/>
                                    <w:szCs w:val="24"/>
                                  </w:rPr>
                                  <w:t xml:space="preserve">版本修订号：   </w:t>
                                </w:r>
                                <w:r>
                                  <w:rPr>
                                    <w:rFonts w:eastAsia="宋体" w:cs="宋体" w:ascii="宋体" w:hAnsi="宋体"/>
                                    <w:sz w:val="24"/>
                                    <w:szCs w:val="24"/>
                                    <w:lang w:val="en-US" w:eastAsia="zh-CN"/>
                                  </w:rPr>
                                  <w:t>A</w:t>
                                </w:r>
                                <w:r>
                                  <w:rPr>
                                    <w:rFonts w:eastAsia="宋体" w:cs="宋体" w:ascii="宋体" w:hAnsi="宋体"/>
                                    <w:sz w:val="24"/>
                                    <w:szCs w:val="24"/>
                                  </w:rPr>
                                  <w:t>00</w:t>
                                </w:r>
                              </w:p>
                            </w:tc>
                          </w:tr>
                          <w:tr>
                            <w:trPr>
                              <w:trHeight w:val="399" w:hRule="atLeast"/>
                            </w:trPr>
                            <w:tc>
                              <w:tcPr>
                                <w:tcW w:w="6024" w:type="dxa"/>
                                <w:gridSpan w:val="2"/>
                                <w:tcBorders>
                                  <w:top w:val="single" w:sz="4" w:space="0" w:color="000000"/>
                                  <w:left w:val="double" w:sz="4" w:space="0" w:color="000000"/>
                                  <w:bottom w:val="doub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jc w:val="center"/>
                                  <w:rPr>
                                    <w:rFonts w:ascii="宋体" w:hAnsi="宋体" w:eastAsia="宋体" w:cs="宋体"/>
                                  </w:rPr>
                                </w:pPr>
                                <w:r>
                                  <w:rPr>
                                    <w:rFonts w:ascii="宋体" w:hAnsi="宋体" w:cs="宋体" w:eastAsia="宋体"/>
                                    <w:lang w:val="en-US" w:eastAsia="zh-CN"/>
                                  </w:rPr>
                                  <w:t>上海深至信息科技</w:t>
                                </w:r>
                                <w:r>
                                  <w:rPr>
                                    <w:rFonts w:ascii="宋体" w:hAnsi="宋体" w:cs="宋体" w:eastAsia="宋体"/>
                                  </w:rPr>
                                  <w:t>有限公司质量管理体系文件</w:t>
                                </w:r>
                              </w:p>
                            </w:tc>
                            <w:tc>
                              <w:tcPr>
                                <w:tcW w:w="332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double" w:sz="4" w:space="0" w:color="000000"/>
                                  <w:right w:val="double" w:sz="4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both"/>
                                  <w:rPr>
                                    <w:rFonts w:ascii="宋体" w:hAnsi="宋体" w:eastAsia="宋体" w:cs="宋体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eastAsia="宋体" w:cs="宋体" w:ascii="宋体" w:hAnsi="宋体"/>
                                    <w:sz w:val="24"/>
                                    <w:szCs w:val="24"/>
                                  </w:rPr>
                                </w:r>
                              </w:p>
                            </w:tc>
                          </w:tr>
                        </w:tbl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67.45pt;height:62.75pt;mso-wrap-distance-left:9pt;mso-wrap-distance-right:9pt;mso-wrap-distance-top:0pt;mso-wrap-distance-bottom:0pt;margin-top:41.9pt;mso-position-vertical-relative:page;margin-left:78.25pt;mso-position-horizontal-relative:page">
              <v:fill opacity="0f"/>
              <v:textbox inset="0in,0in,0in,0in">
                <w:txbxContent>
                  <w:tbl>
                    <w:tblPr>
                      <w:tblW w:w="9349" w:type="dxa"/>
                      <w:jc w:val="left"/>
                      <w:tblInd w:w="108" w:type="dxa"/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>
                    <w:tblGrid>
                      <w:gridCol w:w="1403"/>
                      <w:gridCol w:w="4621"/>
                      <w:gridCol w:w="3325"/>
                    </w:tblGrid>
                    <w:tr>
                      <w:trPr>
                        <w:trHeight w:val="327" w:hRule="atLeast"/>
                      </w:trPr>
                      <w:tc>
                        <w:tcPr>
                          <w:tcW w:w="1403" w:type="dxa"/>
                          <w:vMerge w:val="restart"/>
                          <w:tcBorders>
                            <w:top w:val="double" w:sz="4" w:space="0" w:color="000000"/>
                            <w:left w:val="double" w:sz="4" w:space="0" w:color="000000"/>
                            <w:bottom w:val="single" w:sz="6" w:space="0" w:color="000000"/>
                            <w:right w:val="single" w:sz="4" w:space="0" w:color="000000"/>
                          </w:tcBorders>
                          <w:vAlign w:val="center"/>
                        </w:tcPr>
                        <w:p>
                          <w:pPr>
                            <w:pStyle w:val="Normal"/>
                            <w:jc w:val="center"/>
                            <w:rPr>
                              <w:rFonts w:ascii="宋体" w:hAnsi="宋体" w:eastAsia="宋体" w:cs="宋体"/>
                            </w:rPr>
                          </w:pPr>
                          <w:r>
                            <w:rPr>
                              <w:rFonts w:ascii="宋体" w:hAnsi="宋体" w:cs="宋体" w:eastAsia="宋体"/>
                            </w:rPr>
                            <w:t xml:space="preserve">文件名称 </w:t>
                          </w:r>
                        </w:p>
                      </w:tc>
                      <w:tc>
                        <w:tcPr>
                          <w:tcW w:w="4621" w:type="dxa"/>
                          <w:vMerge w:val="restart"/>
                          <w:tcBorders>
                            <w:top w:val="double" w:sz="4" w:space="0" w:color="000000"/>
                            <w:left w:val="single" w:sz="4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  <w:vAlign w:val="center"/>
                        </w:tcPr>
                        <w:p>
                          <w:pPr>
                            <w:pStyle w:val="Normal"/>
                            <w:jc w:val="center"/>
                            <w:rPr>
                              <w:rFonts w:ascii="宋体" w:hAnsi="宋体" w:eastAsia="宋体" w:cs="宋体"/>
                            </w:rPr>
                          </w:pPr>
                          <w:r>
                            <w:rPr>
                              <w:rFonts w:ascii="宋体" w:hAnsi="宋体" w:cs="宋体" w:eastAsia="宋体"/>
                            </w:rPr>
                            <w:t>清场管理制度</w:t>
                          </w:r>
                        </w:p>
                      </w:tc>
                      <w:tc>
                        <w:tcPr>
                          <w:tcW w:w="3325" w:type="dxa"/>
                          <w:tcBorders>
                            <w:top w:val="double" w:sz="4" w:space="0" w:color="000000"/>
                            <w:left w:val="single" w:sz="6" w:space="0" w:color="000000"/>
                            <w:bottom w:val="single" w:sz="6" w:space="0" w:color="000000"/>
                            <w:right w:val="double" w:sz="4" w:space="0" w:color="000000"/>
                          </w:tcBorders>
                          <w:vAlign w:val="center"/>
                        </w:tcPr>
                        <w:p>
                          <w:pPr>
                            <w:pStyle w:val="Header"/>
                            <w:jc w:val="both"/>
                            <w:rPr>
                              <w:rFonts w:ascii="宋体" w:hAnsi="宋体" w:eastAsia="宋体" w:cs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宋体" w:hAnsi="宋体" w:cs="宋体" w:eastAsia="宋体"/>
                              <w:sz w:val="24"/>
                              <w:szCs w:val="24"/>
                            </w:rPr>
                            <w:t xml:space="preserve">文件编号：    </w:t>
                          </w:r>
                          <w:r>
                            <w:rPr>
                              <w:rFonts w:eastAsia="宋体" w:cs="宋体" w:ascii="宋体" w:hAnsi="宋体"/>
                              <w:sz w:val="24"/>
                              <w:szCs w:val="24"/>
                            </w:rPr>
                            <w:t>QMS-R02</w:t>
                          </w:r>
                        </w:p>
                      </w:tc>
                    </w:tr>
                    <w:tr>
                      <w:trPr>
                        <w:trHeight w:val="331" w:hRule="atLeast"/>
                      </w:trPr>
                      <w:tc>
                        <w:tcPr>
                          <w:tcW w:w="1403" w:type="dxa"/>
                          <w:vMerge w:val="continue"/>
                          <w:tcBorders>
                            <w:top w:val="double" w:sz="4" w:space="0" w:color="000000"/>
                            <w:left w:val="double" w:sz="4" w:space="0" w:color="000000"/>
                            <w:bottom w:val="single" w:sz="6" w:space="0" w:color="000000"/>
                            <w:right w:val="single" w:sz="4" w:space="0" w:color="000000"/>
                          </w:tcBorders>
                          <w:vAlign w:val="center"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rFonts w:ascii="宋体" w:hAnsi="宋体" w:eastAsia="宋体" w:cs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eastAsia="宋体" w:cs="宋体" w:ascii="宋体" w:hAnsi="宋体"/>
                              <w:sz w:val="24"/>
                              <w:szCs w:val="24"/>
                            </w:rPr>
                          </w:r>
                        </w:p>
                      </w:tc>
                      <w:tc>
                        <w:tcPr>
                          <w:tcW w:w="4621" w:type="dxa"/>
                          <w:vMerge w:val="continue"/>
                          <w:tcBorders>
                            <w:top w:val="double" w:sz="4" w:space="0" w:color="000000"/>
                            <w:left w:val="single" w:sz="4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  <w:vAlign w:val="center"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rFonts w:ascii="宋体" w:hAnsi="宋体" w:eastAsia="宋体" w:cs="宋体"/>
                            </w:rPr>
                          </w:pPr>
                          <w:r>
                            <w:rPr>
                              <w:rFonts w:eastAsia="宋体" w:cs="宋体" w:ascii="宋体" w:hAnsi="宋体"/>
                            </w:rPr>
                          </w:r>
                        </w:p>
                      </w:tc>
                      <w:tc>
                        <w:tcPr>
                          <w:tcW w:w="3325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double" w:sz="4" w:space="0" w:color="000000"/>
                          </w:tcBorders>
                          <w:vAlign w:val="center"/>
                        </w:tcPr>
                        <w:p>
                          <w:pPr>
                            <w:pStyle w:val="Header"/>
                            <w:jc w:val="both"/>
                            <w:rPr>
                              <w:rFonts w:ascii="宋体" w:hAnsi="宋体" w:eastAsia="宋体" w:cs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宋体" w:hAnsi="宋体" w:cs="宋体" w:eastAsia="宋体"/>
                              <w:sz w:val="24"/>
                              <w:szCs w:val="24"/>
                            </w:rPr>
                            <w:t xml:space="preserve">版本修订号：   </w:t>
                          </w:r>
                          <w:r>
                            <w:rPr>
                              <w:rFonts w:eastAsia="宋体" w:cs="宋体" w:ascii="宋体" w:hAnsi="宋体"/>
                              <w:sz w:val="24"/>
                              <w:szCs w:val="24"/>
                              <w:lang w:val="en-US" w:eastAsia="zh-CN"/>
                            </w:rPr>
                            <w:t>A</w:t>
                          </w:r>
                          <w:r>
                            <w:rPr>
                              <w:rFonts w:eastAsia="宋体" w:cs="宋体" w:ascii="宋体" w:hAnsi="宋体"/>
                              <w:sz w:val="24"/>
                              <w:szCs w:val="24"/>
                            </w:rPr>
                            <w:t>00</w:t>
                          </w:r>
                        </w:p>
                      </w:tc>
                    </w:tr>
                    <w:tr>
                      <w:trPr>
                        <w:trHeight w:val="399" w:hRule="atLeast"/>
                      </w:trPr>
                      <w:tc>
                        <w:tcPr>
                          <w:tcW w:w="6024" w:type="dxa"/>
                          <w:gridSpan w:val="2"/>
                          <w:tcBorders>
                            <w:top w:val="single" w:sz="4" w:space="0" w:color="000000"/>
                            <w:left w:val="double" w:sz="4" w:space="0" w:color="000000"/>
                            <w:bottom w:val="doub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Normal"/>
                            <w:jc w:val="center"/>
                            <w:rPr>
                              <w:rFonts w:ascii="宋体" w:hAnsi="宋体" w:eastAsia="宋体" w:cs="宋体"/>
                            </w:rPr>
                          </w:pPr>
                          <w:r>
                            <w:rPr>
                              <w:rFonts w:ascii="宋体" w:hAnsi="宋体" w:cs="宋体" w:eastAsia="宋体"/>
                              <w:lang w:val="en-US" w:eastAsia="zh-CN"/>
                            </w:rPr>
                            <w:t>上海深至信息科技</w:t>
                          </w:r>
                          <w:r>
                            <w:rPr>
                              <w:rFonts w:ascii="宋体" w:hAnsi="宋体" w:cs="宋体" w:eastAsia="宋体"/>
                            </w:rPr>
                            <w:t>有限公司质量管理体系文件</w:t>
                          </w:r>
                        </w:p>
                      </w:tc>
                      <w:tc>
                        <w:tcPr>
                          <w:tcW w:w="3325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double" w:sz="4" w:space="0" w:color="000000"/>
                            <w:right w:val="double" w:sz="4" w:space="0" w:color="000000"/>
                          </w:tcBorders>
                          <w:vAlign w:val="center"/>
                        </w:tcPr>
                        <w:p>
                          <w:pPr>
                            <w:pStyle w:val="Header"/>
                            <w:snapToGrid w:val="false"/>
                            <w:jc w:val="both"/>
                            <w:rPr>
                              <w:rFonts w:ascii="宋体" w:hAnsi="宋体" w:eastAsia="宋体" w:cs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eastAsia="宋体" w:cs="宋体" w:ascii="宋体" w:hAnsi="宋体"/>
                              <w:sz w:val="24"/>
                              <w:szCs w:val="24"/>
                            </w:rPr>
                          </w:r>
                        </w:p>
                      </w:tc>
                    </w:tr>
                  </w:tbl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0" distR="114935" simplePos="0" locked="0" layoutInCell="1" allowOverlap="1" relativeHeight="5">
              <wp:simplePos x="0" y="0"/>
              <wp:positionH relativeFrom="margin">
                <wp:align>left</wp:align>
              </wp:positionH>
              <wp:positionV relativeFrom="paragraph">
                <wp:posOffset>635</wp:posOffset>
              </wp:positionV>
              <wp:extent cx="1012825" cy="244475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2825" cy="24447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jc w:val="both"/>
                            <w:rPr/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页      码：   </w:t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9.75pt;height:19.25pt;mso-wrap-distance-left:0pt;mso-wrap-distance-right:9.05pt;mso-wrap-distance-top:0pt;mso-wrap-distance-bottom:0pt;margin-top:0pt;mso-position-vertical-relative:text;margin-left:0pt;mso-position-horizontal:left;mso-position-horizontal-relative:margin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Header"/>
                      <w:jc w:val="both"/>
                      <w:rPr/>
                    </w:pPr>
                    <w:r>
                      <w:rPr>
                        <w:sz w:val="24"/>
                        <w:szCs w:val="24"/>
                      </w:rPr>
                      <w:t xml:space="preserve">页      码：   </w:t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t>/</w:t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0"/>
      <w:lvlJc w:val="left"/>
      <w:pPr>
        <w:tabs>
          <w:tab w:val="num" w:pos="0"/>
        </w:tabs>
        <w:ind w:left="690" w:hanging="690"/>
      </w:pPr>
      <w:rPr/>
    </w:lvl>
    <w:lvl w:ilvl="1">
      <w:start w:val="1"/>
      <w:numFmt w:val="decimal"/>
      <w:lvlText w:val="%1.%2"/>
      <w:lvlJc w:val="left"/>
      <w:pPr>
        <w:tabs>
          <w:tab w:val="num" w:pos="420"/>
        </w:tabs>
        <w:ind w:left="1410" w:hanging="690"/>
      </w:pPr>
      <w:rPr>
        <w:b w:val="false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4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0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84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等线" w:hAnsi="等线" w:eastAsia="等线" w:cs="等线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jc w:val="center"/>
      <w:outlineLvl w:val="0"/>
    </w:pPr>
    <w:rPr>
      <w:rFonts w:ascii="Arial Black" w:hAnsi="Arial Black" w:cs="Arial Black"/>
      <w:b/>
      <w:bCs/>
    </w:rPr>
  </w:style>
  <w:style w:type="character" w:styleId="WW8Num1z0">
    <w:name w:val="WW8Num1z0"/>
    <w:qFormat/>
    <w:rPr/>
  </w:style>
  <w:style w:type="character" w:styleId="WW8Num1z1">
    <w:name w:val="WW8Num1z1"/>
    <w:qFormat/>
    <w:rPr>
      <w:b w:val="false"/>
    </w:rPr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Style14">
    <w:name w:val="页眉 字符"/>
    <w:qFormat/>
    <w:rPr>
      <w:kern w:val="2"/>
      <w:sz w:val="18"/>
      <w:szCs w:val="18"/>
    </w:rPr>
  </w:style>
  <w:style w:type="character" w:styleId="St1">
    <w:name w:val="st1"/>
    <w:basedOn w:val="Style13"/>
    <w:qFormat/>
    <w:rPr/>
  </w:style>
  <w:style w:type="character" w:styleId="Style15">
    <w:name w:val="日期 字符"/>
    <w:qFormat/>
    <w:rPr>
      <w:kern w:val="2"/>
      <w:sz w:val="21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6">
    <w:name w:val="普通(网站)"/>
    <w:basedOn w:val="Normal"/>
    <w:qFormat/>
    <w:pPr>
      <w:widowControl/>
      <w:spacing w:before="280" w:after="280"/>
      <w:jc w:val="left"/>
    </w:pPr>
    <w:rPr>
      <w:rFonts w:ascii="Arial Unicode MS;宋体" w:hAnsi="Arial Unicode MS;宋体" w:eastAsia="Times New Roman" w:cs="Arial Unicode MS;宋体"/>
      <w:color w:val="000066"/>
      <w:kern w:val="0"/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3">
    <w:name w:val="正文文本缩进 3"/>
    <w:basedOn w:val="Normal"/>
    <w:qFormat/>
    <w:pPr>
      <w:widowControl/>
      <w:spacing w:before="0" w:after="120"/>
      <w:ind w:left="420" w:hanging="0"/>
      <w:jc w:val="left"/>
    </w:pPr>
    <w:rPr>
      <w:rFonts w:ascii="宋体" w:hAnsi="宋体" w:cs="宋体"/>
      <w:kern w:val="0"/>
      <w:sz w:val="16"/>
      <w:szCs w:val="16"/>
    </w:rPr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Arial" w:hAnsi="Arial" w:cs="Arial"/>
      <w:kern w:val="0"/>
      <w:sz w:val="24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"/>
      <w:kern w:val="0"/>
      <w:sz w:val="24"/>
      <w:szCs w:val="21"/>
    </w:rPr>
  </w:style>
  <w:style w:type="paragraph" w:styleId="Style17">
    <w:name w:val="日期"/>
    <w:basedOn w:val="Normal"/>
    <w:next w:val="Normal"/>
    <w:qFormat/>
    <w:pPr/>
    <w:rPr>
      <w:szCs w:val="20"/>
    </w:rPr>
  </w:style>
  <w:style w:type="paragraph" w:styleId="TextBodyIndent">
    <w:name w:val="Body Text Indent"/>
    <w:basedOn w:val="Normal"/>
    <w:pPr>
      <w:spacing w:before="0" w:after="120"/>
      <w:ind w:left="420" w:hanging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HeaderLeft">
    <w:name w:val="Header Left"/>
    <w:basedOn w:val="Header"/>
    <w:qFormat/>
    <w:pPr>
      <w:suppressLineNumbers/>
      <w:tabs>
        <w:tab w:val="clear" w:pos="4153"/>
        <w:tab w:val="clear" w:pos="8306"/>
        <w:tab w:val="center" w:pos="4606" w:leader="none"/>
        <w:tab w:val="right" w:pos="9212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2020-06-08T15:24:00Z</dcterms:created>
  <dc:creator>Hu</dc:creator>
  <dc:description/>
  <dc:language>en-US</dc:language>
  <cp:lastModifiedBy>湖洋</cp:lastModifiedBy>
  <dcterms:modified xsi:type="dcterms:W3CDTF">2021-05-31T14:51:38Z</dcterms:modified>
  <cp:revision>16</cp:revision>
  <dc:subject/>
  <dc:title>文件控制程序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