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3">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生产过程控制程序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br/>
      </w:r>
      <w:r>
        <mc:AlternateContent>
          <mc:Choice Requires="wps">
            <w:drawing>
              <wp:anchor behindDoc="0" distT="0" distB="0" distL="114300" distR="114300" simplePos="0" locked="0" layoutInCell="0" allowOverlap="1" relativeHeight="2">
                <wp:simplePos x="0" y="0"/>
                <wp:positionH relativeFrom="column">
                  <wp:align>center</wp:align>
                </wp:positionH>
                <wp:positionV relativeFrom="paragraph">
                  <wp:posOffset>635</wp:posOffset>
                </wp:positionV>
                <wp:extent cx="2514600" cy="1203325"/>
                <wp:effectExtent l="0" t="0" r="0" b="0"/>
                <wp:wrapSquare wrapText="bothSides"/>
                <wp:docPr id="2" name="Frame1"/>
                <a:graphic xmlns:a="http://schemas.openxmlformats.org/drawingml/2006/main">
                  <a:graphicData uri="http://schemas.microsoft.com/office/word/2010/wordprocessingShape">
                    <wps:wsp>
                      <wps:cNvSpPr txBox="1"/>
                      <wps:spPr>
                        <a:xfrm>
                          <a:off x="0" y="0"/>
                          <a:ext cx="2514600" cy="1203325"/>
                        </a:xfrm>
                        <a:prstGeom prst="rect"/>
                        <a:solidFill>
                          <a:srgbClr val="FFFFFF">
                            <a:alpha val="0"/>
                          </a:srgbClr>
                        </a:solidFill>
                      </wps:spPr>
                      <wps:txbx>
                        <w:txbxContent>
                          <w:tbl>
                            <w:tblPr>
                              <w:tblW w:w="3960" w:type="dxa"/>
                              <w:jc w:val="left"/>
                              <w:tblInd w:w="10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QMS-P12</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生产</w:t>
                                  </w:r>
                                  <w:r>
                                    <w:rPr>
                                      <w:rFonts w:eastAsia="宋体;SimSun" w:cs="宋体;SimSun" w:ascii="宋体;SimSun" w:hAnsi="宋体;SimSun"/>
                                      <w:sz w:val="30"/>
                                      <w:szCs w:val="30"/>
                                    </w:rPr>
                                    <w:t>/</w:t>
                                  </w:r>
                                  <w:r>
                                    <w:rPr>
                                      <w:rFonts w:ascii="宋体;SimSun" w:hAnsi="宋体;SimSun" w:cs="宋体;SimSun" w:eastAsia="宋体;SimSun"/>
                                      <w:sz w:val="30"/>
                                      <w:szCs w:val="30"/>
                                    </w:rPr>
                                    <w:t>运维部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txbxContent>
                      </wps:txbx>
                      <wps:bodyPr anchor="t" lIns="0" tIns="0" rIns="0" bIns="0">
                        <a:noAutofit/>
                      </wps:bodyPr>
                    </wps:wsp>
                  </a:graphicData>
                </a:graphic>
              </wp:anchor>
            </w:drawing>
          </mc:Choice>
          <mc:Fallback>
            <w:pict>
              <v:rect fillcolor="#FFFFFF" style="position:absolute;rotation:-0;width:198pt;height:94.75pt;mso-wrap-distance-left:9pt;mso-wrap-distance-right:9pt;mso-wrap-distance-top:0pt;mso-wrap-distance-bottom:0pt;margin-top:0.05pt;mso-position-vertical-relative:text;margin-left:127.75pt;mso-position-horizontal:center;mso-position-horizontal-relative:text">
                <v:fill opacity="0f"/>
                <v:textbox inset="0in,0in,0in,0in">
                  <w:txbxContent>
                    <w:tbl>
                      <w:tblPr>
                        <w:tblW w:w="3960" w:type="dxa"/>
                        <w:jc w:val="left"/>
                        <w:tblInd w:w="10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QMS-P12</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生产</w:t>
                            </w:r>
                            <w:r>
                              <w:rPr>
                                <w:rFonts w:eastAsia="宋体;SimSun" w:cs="宋体;SimSun" w:ascii="宋体;SimSun" w:hAnsi="宋体;SimSun"/>
                                <w:sz w:val="30"/>
                                <w:szCs w:val="30"/>
                              </w:rPr>
                              <w:t>/</w:t>
                            </w:r>
                            <w:r>
                              <w:rPr>
                                <w:rFonts w:ascii="宋体;SimSun" w:hAnsi="宋体;SimSun" w:cs="宋体;SimSun" w:eastAsia="宋体;SimSun"/>
                                <w:sz w:val="30"/>
                                <w:szCs w:val="30"/>
                              </w:rPr>
                              <w:t>运维部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txbxContent>
                </v:textbox>
                <w10:wrap type="square"/>
              </v:rect>
            </w:pict>
          </mc:Fallback>
        </mc:AlternateConten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259"/>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2"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p>
    <w:p>
      <w:pPr>
        <w:pStyle w:val="Normal"/>
        <w:tabs>
          <w:tab w:val="clear" w:pos="420"/>
          <w:tab w:val="left" w:pos="7513" w:leader="none"/>
          <w:tab w:val="left" w:pos="9240" w:leader="none"/>
        </w:tabs>
        <w:ind w:right="30" w:firstLine="482"/>
        <w:rPr>
          <w:rFonts w:ascii="宋体;SimSun" w:hAnsi="宋体;SimSun" w:eastAsia="宋体;SimSun" w:cs="宋体;SimSun"/>
          <w:b/>
          <w:b/>
          <w:color w:val="FF0000"/>
          <w:sz w:val="24"/>
        </w:rPr>
      </w:pPr>
      <w:r>
        <w:rPr>
          <w:rFonts w:ascii="宋体;SimSun" w:hAnsi="宋体;SimSun" w:cs="宋体;SimSun" w:eastAsia="宋体;SimSun"/>
          <w:b/>
          <w:sz w:val="24"/>
        </w:rPr>
        <w:t>分发部门：</w:t>
      </w:r>
      <w:r>
        <w:rPr>
          <w:rFonts w:ascii="宋体;SimSun" w:hAnsi="宋体;SimSun" w:cs="宋体;SimSun" w:eastAsia="宋体;SimSun"/>
          <w:bCs/>
          <w:sz w:val="24"/>
        </w:rPr>
        <w:t>生产</w:t>
      </w:r>
      <w:r>
        <w:rPr>
          <w:rFonts w:eastAsia="宋体;SimSun" w:cs="宋体;SimSun" w:ascii="宋体;SimSun" w:hAnsi="宋体;SimSun"/>
          <w:bCs/>
          <w:sz w:val="24"/>
        </w:rPr>
        <w:t>/</w:t>
      </w:r>
      <w:r>
        <w:rPr>
          <w:rFonts w:ascii="宋体;SimSun" w:hAnsi="宋体;SimSun" w:cs="宋体;SimSun" w:eastAsia="宋体;SimSun"/>
          <w:bCs/>
          <w:sz w:val="24"/>
        </w:rPr>
        <w:t>运维部、质量部、研发部、行政部</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b/>
          <w:color w:val="FF0000"/>
          <w:sz w:val="24"/>
        </w:rPr>
        <w:t>2</w:t>
      </w:r>
      <w:r>
        <w:rPr>
          <w:rFonts w:eastAsia="宋体;SimSun" w:cs="宋体;SimSun" w:ascii="宋体;SimSun" w:hAnsi="宋体;SimSun"/>
          <w:b/>
          <w:color w:val="FF0000"/>
          <w:sz w:val="24"/>
        </w:rPr>
        <w:t>020</w:t>
      </w:r>
      <w:r>
        <w:rPr>
          <w:rFonts w:eastAsia="宋体;SimSun" w:cs="宋体;SimSun" w:ascii="宋体;SimSun" w:hAnsi="宋体;SimSun"/>
          <w:b/>
          <w:color w:val="FF0000"/>
          <w:sz w:val="24"/>
        </w:rPr>
        <w:t>-</w:t>
      </w:r>
      <w:r>
        <w:rPr>
          <w:rFonts w:eastAsia="宋体;SimSun" w:cs="宋体;SimSun" w:ascii="宋体;SimSun" w:hAnsi="宋体;SimSun"/>
          <w:b/>
          <w:color w:val="FF0000"/>
          <w:sz w:val="24"/>
        </w:rPr>
        <w:t>06</w:t>
      </w:r>
      <w:r>
        <w:rPr>
          <w:rFonts w:eastAsia="宋体;SimSun" w:cs="宋体;SimSun" w:ascii="宋体;SimSun" w:hAnsi="宋体;SimSun"/>
          <w:b/>
          <w:color w:val="FF0000"/>
          <w:sz w:val="24"/>
        </w:rPr>
        <w:t>-</w:t>
      </w:r>
      <w:r>
        <w:rPr>
          <w:rFonts w:eastAsia="宋体;SimSun" w:cs="宋体;SimSun" w:ascii="宋体;SimSun" w:hAnsi="宋体;SimSun"/>
          <w:b/>
          <w:color w:val="FF0000"/>
          <w:sz w:val="24"/>
        </w:rPr>
        <w:t>22</w:t>
      </w:r>
    </w:p>
    <w:p>
      <w:pPr>
        <w:sectPr>
          <w:headerReference w:type="default" r:id="rId2"/>
          <w:headerReference w:type="first" r:id="rId3"/>
          <w:footerReference w:type="default" r:id="rId4"/>
          <w:footerReference w:type="first" r:id="rId5"/>
          <w:type w:val="nextPage"/>
          <w:pgSz w:w="11906" w:h="16838"/>
          <w:pgMar w:left="1418" w:right="1418" w:gutter="0" w:header="851" w:top="1134" w:footer="992" w:bottom="1134"/>
          <w:pgNumType w:fmt="decimal"/>
          <w:formProt w:val="false"/>
          <w:titlePg/>
          <w:textDirection w:val="lrTb"/>
          <w:docGrid w:type="lines" w:linePitch="312" w:charSpace="0"/>
        </w:sectPr>
      </w:pP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1. </w:t>
      </w:r>
      <w:r>
        <w:rPr>
          <w:rFonts w:ascii="宋体;SimSun" w:hAnsi="宋体;SimSun" w:cs="宋体;SimSun" w:eastAsia="宋体;SimSun"/>
          <w:b/>
          <w:bCs/>
        </w:rPr>
        <w:t>目的：</w:t>
      </w:r>
      <w:r>
        <w:rPr>
          <w:rFonts w:ascii="宋体;SimSun" w:hAnsi="宋体;SimSun" w:cs="宋体;SimSun" w:eastAsia="宋体;SimSun"/>
        </w:rPr>
        <w:t>本程序规定对生产过程进行控制</w:t>
      </w:r>
      <w:r>
        <w:rPr>
          <w:rFonts w:eastAsia="宋体;SimSun" w:cs="宋体;SimSun" w:ascii="宋体;SimSun" w:hAnsi="宋体;SimSun"/>
        </w:rPr>
        <w:t>,</w:t>
      </w:r>
      <w:r>
        <w:rPr>
          <w:rFonts w:ascii="宋体;SimSun" w:hAnsi="宋体;SimSun" w:cs="宋体;SimSun" w:eastAsia="宋体;SimSun"/>
        </w:rPr>
        <w:t>保证这些过程处于受控状态，使产品的质量符合规定要求。</w:t>
      </w:r>
    </w:p>
    <w:p>
      <w:pPr>
        <w:pStyle w:val="Normal"/>
        <w:tabs>
          <w:tab w:val="clear" w:pos="420"/>
          <w:tab w:val="right" w:pos="9638" w:leader="none"/>
        </w:tabs>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2. </w:t>
      </w:r>
      <w:r>
        <w:rPr>
          <w:rFonts w:ascii="宋体;SimSun" w:hAnsi="宋体;SimSun" w:cs="宋体;SimSun" w:eastAsia="宋体;SimSun"/>
          <w:b/>
          <w:bCs/>
        </w:rPr>
        <w:t>适用范围：</w:t>
      </w:r>
      <w:r>
        <w:rPr>
          <w:rFonts w:ascii="宋体;SimSun" w:hAnsi="宋体;SimSun" w:cs="宋体;SimSun" w:eastAsia="宋体;SimSun"/>
        </w:rPr>
        <w:t>本程序适用于软件的发布、媒介复制、光盘标记和包装等过程的控制。</w:t>
      </w:r>
      <w:r>
        <w:rPr>
          <w:rFonts w:eastAsia="宋体;SimSun" w:cs="宋体;SimSun" w:ascii="宋体;SimSun" w:hAnsi="宋体;SimSun"/>
        </w:rPr>
        <w:tab/>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3. </w:t>
      </w:r>
      <w:r>
        <w:rPr>
          <w:rFonts w:ascii="宋体;SimSun" w:hAnsi="宋体;SimSun" w:cs="宋体;SimSun" w:eastAsia="宋体;SimSun"/>
          <w:b/>
          <w:bCs/>
        </w:rPr>
        <w:t>职责</w:t>
      </w:r>
    </w:p>
    <w:p>
      <w:pPr>
        <w:pStyle w:val="Normal"/>
        <w:autoSpaceDE w:val="false"/>
        <w:spacing w:lineRule="auto" w:line="360"/>
        <w:rPr>
          <w:rFonts w:ascii="宋体;SimSun" w:hAnsi="宋体;SimSun" w:eastAsia="宋体;SimSun" w:cs="宋体;SimSun"/>
        </w:rPr>
      </w:pPr>
      <w:r>
        <w:rPr>
          <w:rFonts w:eastAsia="宋体;SimSun" w:cs="宋体;SimSun" w:ascii="宋体;SimSun" w:hAnsi="宋体;SimSun"/>
        </w:rPr>
        <w:t xml:space="preserve">3.1. </w:t>
      </w:r>
      <w:r>
        <w:rPr>
          <w:rFonts w:ascii="宋体;SimSun" w:hAnsi="宋体;SimSun" w:cs="宋体;SimSun" w:eastAsia="宋体;SimSun"/>
        </w:rPr>
        <w:t>生产部：</w:t>
      </w:r>
    </w:p>
    <w:p>
      <w:pPr>
        <w:pStyle w:val="Normal"/>
        <w:numPr>
          <w:ilvl w:val="0"/>
          <w:numId w:val="2"/>
        </w:numPr>
        <w:autoSpaceDE w:val="false"/>
        <w:spacing w:lineRule="auto" w:line="360"/>
        <w:jc w:val="left"/>
        <w:rPr>
          <w:rFonts w:ascii="宋体;SimSun" w:hAnsi="宋体;SimSun" w:eastAsia="宋体;SimSun" w:cs="宋体;SimSun"/>
        </w:rPr>
      </w:pPr>
      <w:r>
        <w:rPr>
          <w:rFonts w:ascii="宋体;SimSun" w:hAnsi="宋体;SimSun" w:cs="宋体;SimSun" w:eastAsia="宋体;SimSun"/>
        </w:rPr>
        <w:t>负责组织生产并作好生产过程的监控，负责制定、实施工艺文件，遵守工艺规则，生产合格产品；</w:t>
      </w:r>
    </w:p>
    <w:p>
      <w:pPr>
        <w:pStyle w:val="Normal"/>
        <w:numPr>
          <w:ilvl w:val="0"/>
          <w:numId w:val="2"/>
        </w:numPr>
        <w:autoSpaceDE w:val="false"/>
        <w:spacing w:lineRule="auto" w:line="360"/>
        <w:jc w:val="left"/>
        <w:rPr>
          <w:rFonts w:ascii="宋体;SimSun" w:hAnsi="宋体;SimSun" w:eastAsia="宋体;SimSun" w:cs="宋体;SimSun"/>
        </w:rPr>
      </w:pPr>
      <w:r>
        <w:rPr>
          <w:rFonts w:ascii="宋体;SimSun" w:hAnsi="宋体;SimSun" w:cs="宋体;SimSun" w:eastAsia="宋体;SimSun"/>
        </w:rPr>
        <w:t>负责生产设备与检测仪器、设备的维护与管理</w:t>
      </w:r>
    </w:p>
    <w:p>
      <w:pPr>
        <w:pStyle w:val="Normal"/>
        <w:autoSpaceDE w:val="false"/>
        <w:spacing w:lineRule="auto" w:line="360"/>
        <w:rPr>
          <w:rFonts w:ascii="宋体;SimSun" w:hAnsi="宋体;SimSun" w:eastAsia="宋体;SimSun" w:cs="宋体;SimSun"/>
        </w:rPr>
      </w:pPr>
      <w:r>
        <w:rPr>
          <w:rFonts w:eastAsia="宋体;SimSun" w:cs="宋体;SimSun" w:ascii="宋体;SimSun" w:hAnsi="宋体;SimSun"/>
        </w:rPr>
        <w:t xml:space="preserve">3.2. </w:t>
      </w:r>
      <w:r>
        <w:rPr>
          <w:rFonts w:ascii="宋体;SimSun" w:hAnsi="宋体;SimSun" w:cs="宋体;SimSun" w:eastAsia="宋体;SimSun"/>
        </w:rPr>
        <w:t>研发部：负责提供产品质量标准等技术文件；负责发布“</w:t>
      </w:r>
      <w:r>
        <w:rPr>
          <w:rFonts w:eastAsia="宋体;SimSun" w:cs="宋体;SimSun" w:ascii="宋体;SimSun" w:hAnsi="宋体;SimSun"/>
        </w:rPr>
        <w:t>Release</w:t>
      </w:r>
      <w:r>
        <w:rPr>
          <w:rFonts w:eastAsia="宋体;SimSun" w:cs="宋体;SimSun" w:ascii="宋体;SimSun" w:hAnsi="宋体;SimSun"/>
        </w:rPr>
        <w:t xml:space="preserve"> N</w:t>
      </w:r>
      <w:r>
        <w:rPr>
          <w:rFonts w:eastAsia="宋体;SimSun" w:cs="宋体;SimSun" w:ascii="宋体;SimSun" w:hAnsi="宋体;SimSun"/>
        </w:rPr>
        <w:t>ote”</w:t>
      </w:r>
      <w:r>
        <w:rPr>
          <w:rFonts w:ascii="宋体;SimSun" w:hAnsi="宋体;SimSun" w:cs="宋体;SimSun" w:eastAsia="宋体;SimSun"/>
        </w:rPr>
        <w:t>。</w:t>
      </w:r>
    </w:p>
    <w:p>
      <w:pPr>
        <w:pStyle w:val="Normal"/>
        <w:autoSpaceDE w:val="false"/>
        <w:spacing w:lineRule="auto" w:line="360"/>
        <w:rPr>
          <w:rFonts w:ascii="宋体;SimSun" w:hAnsi="宋体;SimSun" w:eastAsia="宋体;SimSun" w:cs="宋体;SimSun"/>
        </w:rPr>
      </w:pPr>
      <w:r>
        <w:rPr>
          <w:rFonts w:eastAsia="宋体;SimSun" w:cs="宋体;SimSun" w:ascii="宋体;SimSun" w:hAnsi="宋体;SimSun"/>
        </w:rPr>
        <w:t xml:space="preserve">3.3. </w:t>
      </w:r>
      <w:r>
        <w:rPr>
          <w:rFonts w:ascii="宋体;SimSun" w:hAnsi="宋体;SimSun" w:cs="宋体;SimSun" w:eastAsia="宋体;SimSun"/>
        </w:rPr>
        <w:t>质量部：负责生产过程质量控制和检验；</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4. </w:t>
      </w:r>
      <w:r>
        <w:rPr>
          <w:rFonts w:ascii="宋体;SimSun" w:hAnsi="宋体;SimSun" w:cs="宋体;SimSun" w:eastAsia="宋体;SimSun"/>
          <w:b/>
          <w:bCs/>
        </w:rPr>
        <w:t>工作程序</w:t>
      </w:r>
    </w:p>
    <w:p>
      <w:pPr>
        <w:pStyle w:val="Normal"/>
        <w:spacing w:lineRule="auto" w:line="360"/>
        <w:textAlignment w:val="baseline"/>
        <w:rPr>
          <w:rFonts w:ascii="宋体;SimSun" w:hAnsi="宋体;SimSun" w:eastAsia="宋体;SimSun" w:cs="宋体;SimSun"/>
          <w:b/>
          <w:b/>
          <w:kern w:val="0"/>
          <w:szCs w:val="21"/>
        </w:rPr>
      </w:pPr>
      <w:r>
        <w:rPr>
          <w:rFonts w:eastAsia="宋体;SimSun" w:cs="宋体;SimSun" w:ascii="宋体;SimSun" w:hAnsi="宋体;SimSun"/>
          <w:b/>
          <w:kern w:val="0"/>
          <w:szCs w:val="21"/>
        </w:rPr>
        <w:t xml:space="preserve">4.1 </w:t>
      </w:r>
      <w:r>
        <w:rPr>
          <w:rFonts w:ascii="宋体;SimSun" w:hAnsi="宋体;SimSun" w:cs="宋体;SimSun" w:eastAsia="宋体;SimSun"/>
          <w:b/>
          <w:kern w:val="0"/>
          <w:szCs w:val="21"/>
        </w:rPr>
        <w:t>生产工艺文件的编制</w:t>
      </w:r>
    </w:p>
    <w:p>
      <w:pPr>
        <w:pStyle w:val="Normal"/>
        <w:spacing w:lineRule="auto" w:line="360"/>
        <w:ind w:firstLine="430"/>
        <w:textAlignment w:val="baseline"/>
        <w:rPr>
          <w:rFonts w:ascii="宋体;SimSun" w:hAnsi="宋体;SimSun" w:eastAsia="宋体;SimSun" w:cs="宋体;SimSun"/>
          <w:kern w:val="0"/>
          <w:szCs w:val="21"/>
        </w:rPr>
      </w:pPr>
      <w:r>
        <w:rPr>
          <w:rFonts w:ascii="宋体;SimSun" w:hAnsi="宋体;SimSun" w:cs="宋体;SimSun" w:eastAsia="宋体;SimSun"/>
          <w:kern w:val="0"/>
          <w:szCs w:val="21"/>
        </w:rPr>
        <w:t>针对每种产品建立“医疗器械文档”，并编制具体“生产工艺规程”及配套的“标准操作规程”、产品质量要求等，用于指导生产作业的活动。岗位操作人员应严格按标准操作规程进行生产 。</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4.2 </w:t>
      </w:r>
      <w:r>
        <w:rPr>
          <w:rFonts w:ascii="宋体;SimSun" w:hAnsi="宋体;SimSun" w:cs="宋体;SimSun" w:eastAsia="宋体;SimSun"/>
          <w:b/>
        </w:rPr>
        <w:t>生产环境和设备的管理</w:t>
      </w:r>
    </w:p>
    <w:p>
      <w:pPr>
        <w:pStyle w:val="Normal"/>
        <w:autoSpaceDE w:val="false"/>
        <w:spacing w:lineRule="auto" w:line="360"/>
        <w:ind w:left="420" w:hanging="0"/>
        <w:rPr>
          <w:rFonts w:ascii="宋体;SimSun" w:hAnsi="宋体;SimSun" w:eastAsia="宋体;SimSun" w:cs="宋体;SimSun"/>
        </w:rPr>
      </w:pPr>
      <w:r>
        <w:rPr>
          <w:rFonts w:eastAsia="宋体;SimSun" w:cs="宋体;SimSun" w:ascii="宋体;SimSun" w:hAnsi="宋体;SimSun"/>
        </w:rPr>
        <w:t>4.2.1</w:t>
      </w:r>
      <w:r>
        <w:rPr>
          <w:rFonts w:ascii="宋体;SimSun" w:hAnsi="宋体;SimSun" w:cs="宋体;SimSun" w:eastAsia="宋体;SimSun"/>
        </w:rPr>
        <w:t>根据《医疗器械生产质量管理规范》的规定并结合产品工艺等要求，本公司的原材料储存、</w:t>
      </w:r>
      <w:r>
        <w:rPr>
          <w:rFonts w:ascii="宋体;SimSun" w:hAnsi="宋体;SimSun" w:cs="宋体;SimSun" w:eastAsia="宋体;SimSun"/>
          <w:kern w:val="0"/>
        </w:rPr>
        <w:t>软件拷贝、标记、包装的生产环境没有任何特殊要求，为普通办公环境。</w:t>
      </w:r>
      <w:r>
        <w:rPr>
          <w:rFonts w:ascii="宋体;SimSun" w:hAnsi="宋体;SimSun" w:cs="宋体;SimSun" w:eastAsia="宋体;SimSun"/>
        </w:rPr>
        <w:t>按照普通办公环境要求对生产区的温度、相对湿度进行控制，具体实施按照《工作环境控制程序》进行。</w:t>
      </w:r>
    </w:p>
    <w:p>
      <w:pPr>
        <w:pStyle w:val="Style17"/>
        <w:numPr>
          <w:ilvl w:val="2"/>
          <w:numId w:val="4"/>
        </w:numPr>
        <w:spacing w:lineRule="auto" w:line="360"/>
        <w:ind w:left="993" w:hanging="573"/>
        <w:textAlignment w:val="baseline"/>
        <w:rPr>
          <w:rFonts w:ascii="宋体;SimSun" w:hAnsi="宋体;SimSun" w:cs="宋体;SimSun"/>
          <w:kern w:val="0"/>
        </w:rPr>
      </w:pPr>
      <w:r>
        <w:rPr>
          <w:rFonts w:ascii="宋体;SimSun" w:hAnsi="宋体;SimSun" w:cs="宋体;SimSun"/>
          <w:kern w:val="0"/>
        </w:rPr>
        <w:t>生产设备的控制和管理</w:t>
      </w:r>
    </w:p>
    <w:p>
      <w:pPr>
        <w:pStyle w:val="Style17"/>
        <w:numPr>
          <w:ilvl w:val="0"/>
          <w:numId w:val="3"/>
        </w:numPr>
        <w:spacing w:lineRule="auto" w:line="360"/>
        <w:ind w:left="851" w:hanging="284"/>
        <w:textAlignment w:val="baseline"/>
        <w:rPr>
          <w:rFonts w:ascii="宋体;SimSun" w:hAnsi="宋体;SimSun" w:cs="宋体;SimSun"/>
          <w:kern w:val="0"/>
        </w:rPr>
      </w:pPr>
      <w:r>
        <w:rPr>
          <w:rFonts w:ascii="宋体;SimSun" w:hAnsi="宋体;SimSun" w:cs="宋体;SimSun"/>
        </w:rPr>
        <w:t>生产过程中使用的设备和测量器具，应按相关的设备操作规程进行操作和管理；</w:t>
      </w:r>
    </w:p>
    <w:p>
      <w:pPr>
        <w:pStyle w:val="Normal"/>
        <w:numPr>
          <w:ilvl w:val="0"/>
          <w:numId w:val="3"/>
        </w:numPr>
        <w:autoSpaceDE w:val="false"/>
        <w:spacing w:lineRule="auto" w:line="360"/>
        <w:ind w:left="851" w:hanging="284"/>
        <w:rPr>
          <w:rFonts w:ascii="宋体;SimSun" w:hAnsi="宋体;SimSun" w:eastAsia="宋体;SimSun" w:cs="宋体;SimSun"/>
        </w:rPr>
      </w:pPr>
      <w:r>
        <w:rPr>
          <w:rFonts w:ascii="宋体;SimSun" w:hAnsi="宋体;SimSun" w:cs="宋体;SimSun" w:eastAsia="宋体;SimSun"/>
        </w:rPr>
        <w:t>必要时，应根据制定的仪器、设备操作规程对操作者进行的培训，培训合格后，才可独立操作仪器、设备；</w:t>
      </w:r>
    </w:p>
    <w:p>
      <w:pPr>
        <w:pStyle w:val="Normal"/>
        <w:numPr>
          <w:ilvl w:val="0"/>
          <w:numId w:val="3"/>
        </w:numPr>
        <w:autoSpaceDE w:val="false"/>
        <w:spacing w:lineRule="auto" w:line="360"/>
        <w:ind w:left="851" w:hanging="284"/>
        <w:rPr>
          <w:rFonts w:ascii="宋体;SimSun" w:hAnsi="宋体;SimSun" w:eastAsia="宋体;SimSun" w:cs="宋体;SimSun"/>
        </w:rPr>
      </w:pPr>
      <w:r>
        <w:rPr>
          <w:rFonts w:ascii="宋体;SimSun" w:hAnsi="宋体;SimSun" w:cs="宋体;SimSun" w:eastAsia="宋体;SimSun"/>
        </w:rPr>
        <w:t>设备发生故障时，应进行维修，并作好维修记录。适用时，应制订设备的维护保养计划，并组织实施；</w:t>
      </w:r>
    </w:p>
    <w:p>
      <w:pPr>
        <w:pStyle w:val="Normal"/>
        <w:numPr>
          <w:ilvl w:val="0"/>
          <w:numId w:val="3"/>
        </w:numPr>
        <w:autoSpaceDE w:val="false"/>
        <w:spacing w:lineRule="auto" w:line="360"/>
        <w:rPr>
          <w:rFonts w:ascii="宋体;SimSun" w:hAnsi="宋体;SimSun" w:eastAsia="宋体;SimSun" w:cs="宋体;SimSun"/>
        </w:rPr>
      </w:pPr>
      <w:r>
        <w:rPr>
          <w:rFonts w:ascii="宋体;SimSun" w:hAnsi="宋体;SimSun" w:cs="宋体;SimSun" w:eastAsia="宋体;SimSun"/>
        </w:rPr>
        <w:t xml:space="preserve">关键设备投入使用前应进行验证；设备大修后或者使用一定时间后，也应进行验证。 </w:t>
      </w:r>
    </w:p>
    <w:p>
      <w:pPr>
        <w:pStyle w:val="Normal"/>
        <w:numPr>
          <w:ilvl w:val="0"/>
          <w:numId w:val="3"/>
        </w:numPr>
        <w:autoSpaceDE w:val="false"/>
        <w:spacing w:lineRule="auto" w:line="360"/>
        <w:rPr>
          <w:rFonts w:ascii="宋体;SimSun" w:hAnsi="宋体;SimSun" w:eastAsia="宋体;SimSun" w:cs="宋体;SimSun"/>
        </w:rPr>
      </w:pPr>
      <w:r>
        <w:rPr>
          <w:rFonts w:ascii="宋体;SimSun" w:hAnsi="宋体;SimSun" w:cs="宋体;SimSun" w:eastAsia="宋体;SimSun"/>
        </w:rPr>
        <w:t>使用的仪器、设备应有正确的状态标志；需要校准的检测设备、仪器应按规定的期限进行校准；</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4.3 </w:t>
      </w:r>
      <w:r>
        <w:rPr>
          <w:rFonts w:ascii="宋体;SimSun" w:hAnsi="宋体;SimSun" w:cs="宋体;SimSun" w:eastAsia="宋体;SimSun"/>
          <w:b/>
        </w:rPr>
        <w:t>生产过程的管理和控制</w:t>
      </w:r>
    </w:p>
    <w:p>
      <w:pPr>
        <w:pStyle w:val="Normal"/>
        <w:autoSpaceDE w:val="false"/>
        <w:spacing w:lineRule="auto" w:line="360"/>
        <w:ind w:firstLine="525"/>
        <w:rPr>
          <w:rFonts w:ascii="宋体;SimSun" w:hAnsi="宋体;SimSun" w:eastAsia="宋体;SimSun" w:cs="宋体;SimSun"/>
        </w:rPr>
      </w:pPr>
      <w:r>
        <w:rPr>
          <w:rFonts w:eastAsia="宋体;SimSun" w:cs="宋体;SimSun" w:ascii="宋体;SimSun" w:hAnsi="宋体;SimSun"/>
        </w:rPr>
        <w:t xml:space="preserve">4.3.1 </w:t>
      </w:r>
      <w:r>
        <w:rPr>
          <w:rFonts w:ascii="宋体;SimSun" w:hAnsi="宋体;SimSun" w:cs="宋体;SimSun" w:eastAsia="宋体;SimSun"/>
        </w:rPr>
        <w:t>在完成设计确认后，由研发部进行</w:t>
      </w:r>
      <w:r>
        <w:rPr>
          <w:rFonts w:ascii="宋体;SimSun" w:hAnsi="宋体;SimSun" w:cs="宋体;SimSun" w:eastAsia="宋体;SimSun"/>
        </w:rPr>
        <w:t>软件发布</w:t>
      </w:r>
      <w:r>
        <w:rPr>
          <w:rFonts w:ascii="宋体;SimSun" w:hAnsi="宋体;SimSun" w:cs="宋体;SimSun" w:eastAsia="宋体;SimSun"/>
        </w:rPr>
        <w:t>，输出“</w:t>
      </w:r>
      <w:r>
        <w:rPr>
          <w:rFonts w:eastAsia="宋体;SimSun" w:cs="宋体;SimSun" w:ascii="宋体;SimSun" w:hAnsi="宋体;SimSun"/>
        </w:rPr>
        <w:t>Release</w:t>
      </w:r>
      <w:r>
        <w:rPr>
          <w:rFonts w:eastAsia="宋体;SimSun" w:cs="宋体;SimSun" w:ascii="宋体;SimSun" w:hAnsi="宋体;SimSun"/>
        </w:rPr>
        <w:t xml:space="preserve"> N</w:t>
      </w:r>
      <w:r>
        <w:rPr>
          <w:rFonts w:eastAsia="宋体;SimSun" w:cs="宋体;SimSun" w:ascii="宋体;SimSun" w:hAnsi="宋体;SimSun"/>
        </w:rPr>
        <w:t>ote”</w:t>
      </w:r>
      <w:r>
        <w:rPr>
          <w:rFonts w:ascii="宋体;SimSun" w:hAnsi="宋体;SimSun" w:cs="宋体;SimSun" w:eastAsia="宋体;SimSun"/>
        </w:rPr>
        <w:t>，</w:t>
      </w:r>
      <w:r>
        <w:rPr>
          <w:rFonts w:eastAsia="宋体;SimSun" w:cs="宋体;SimSun" w:ascii="宋体;SimSun" w:hAnsi="宋体;SimSun"/>
        </w:rPr>
        <w:t>Release</w:t>
      </w:r>
      <w:r>
        <w:rPr>
          <w:rFonts w:eastAsia="宋体;SimSun" w:cs="宋体;SimSun" w:ascii="宋体;SimSun" w:hAnsi="宋体;SimSun"/>
        </w:rPr>
        <w:t xml:space="preserve"> N</w:t>
      </w:r>
      <w:r>
        <w:rPr>
          <w:rFonts w:eastAsia="宋体;SimSun" w:cs="宋体;SimSun" w:ascii="宋体;SimSun" w:hAnsi="宋体;SimSun"/>
        </w:rPr>
        <w:t>ote</w:t>
      </w:r>
      <w:r>
        <w:rPr>
          <w:rFonts w:ascii="宋体;SimSun" w:hAnsi="宋体;SimSun" w:cs="宋体;SimSun" w:eastAsia="宋体;SimSun"/>
        </w:rPr>
        <w:t>应</w:t>
      </w:r>
      <w:r>
        <w:rPr>
          <w:rFonts w:ascii="宋体;SimSun" w:hAnsi="宋体;SimSun" w:cs="宋体;SimSun" w:eastAsia="宋体;SimSun"/>
        </w:rPr>
        <w:t>至少包括：</w:t>
      </w:r>
      <w:r>
        <w:rPr>
          <w:rFonts w:ascii="宋体;SimSun" w:hAnsi="宋体;SimSun" w:cs="宋体;SimSun" w:eastAsia="宋体;SimSun"/>
        </w:rPr>
        <w:t>软件</w:t>
      </w:r>
      <w:r>
        <w:rPr>
          <w:rFonts w:ascii="宋体;SimSun" w:hAnsi="宋体;SimSun" w:cs="宋体;SimSun" w:eastAsia="宋体;SimSun"/>
        </w:rPr>
        <w:t>名称</w:t>
      </w:r>
      <w:r>
        <w:rPr>
          <w:rFonts w:ascii="宋体;SimSun" w:hAnsi="宋体;SimSun" w:cs="宋体;SimSun" w:eastAsia="宋体;SimSun"/>
        </w:rPr>
        <w:t>、</w:t>
      </w:r>
      <w:r>
        <w:rPr>
          <w:rFonts w:ascii="宋体;SimSun" w:hAnsi="宋体;SimSun" w:cs="宋体;SimSun" w:eastAsia="宋体;SimSun"/>
        </w:rPr>
        <w:t>软件完整版本、软件包的下载路径、校验码、</w:t>
      </w:r>
      <w:r>
        <w:rPr>
          <w:rFonts w:ascii="宋体;SimSun" w:hAnsi="宋体;SimSun" w:cs="宋体;SimSun" w:eastAsia="宋体;SimSun"/>
        </w:rPr>
        <w:t>验证</w:t>
      </w:r>
      <w:r>
        <w:rPr>
          <w:rFonts w:ascii="宋体;SimSun" w:hAnsi="宋体;SimSun" w:cs="宋体;SimSun" w:eastAsia="宋体;SimSun"/>
        </w:rPr>
        <w:t>信息</w:t>
      </w:r>
      <w:r>
        <w:rPr>
          <w:rFonts w:ascii="宋体;SimSun" w:hAnsi="宋体;SimSun" w:cs="宋体;SimSun" w:eastAsia="宋体;SimSun"/>
        </w:rPr>
        <w:t>、</w:t>
      </w:r>
      <w:r>
        <w:rPr>
          <w:rFonts w:ascii="宋体;SimSun" w:hAnsi="宋体;SimSun" w:cs="宋体;SimSun" w:eastAsia="宋体;SimSun"/>
        </w:rPr>
        <w:t>其它说明</w:t>
      </w:r>
      <w:r>
        <w:rPr>
          <w:rFonts w:ascii="宋体;SimSun" w:hAnsi="宋体;SimSun" w:cs="宋体;SimSun" w:eastAsia="宋体;SimSun"/>
        </w:rPr>
        <w:t>等</w:t>
      </w:r>
      <w:r>
        <w:rPr>
          <w:rFonts w:ascii="宋体;SimSun" w:hAnsi="宋体;SimSun" w:cs="宋体;SimSun" w:eastAsia="宋体;SimSun"/>
        </w:rPr>
        <w:t>信息。</w:t>
      </w:r>
      <w:r>
        <w:rPr>
          <w:rFonts w:ascii="宋体;SimSun" w:hAnsi="宋体;SimSun" w:cs="宋体;SimSun" w:eastAsia="宋体;SimSun"/>
        </w:rPr>
        <w:t>保证软件发布的可重复性。软件产品复制</w:t>
      </w:r>
      <w:r>
        <w:rPr>
          <w:rFonts w:ascii="宋体;SimSun" w:hAnsi="宋体;SimSun" w:cs="宋体;SimSun" w:eastAsia="宋体;SimSun"/>
        </w:rPr>
        <w:t>方式采用“光盘刻录”，并基于光盘进行</w:t>
      </w:r>
      <w:r>
        <w:rPr>
          <w:rFonts w:ascii="宋体;SimSun" w:hAnsi="宋体;SimSun" w:cs="宋体;SimSun" w:eastAsia="宋体;SimSun"/>
        </w:rPr>
        <w:t>标记、防护等</w:t>
      </w:r>
      <w:r>
        <w:rPr>
          <w:rFonts w:ascii="宋体;SimSun" w:hAnsi="宋体;SimSun" w:cs="宋体;SimSun" w:eastAsia="宋体;SimSun"/>
        </w:rPr>
        <w:t>生产活动。</w:t>
      </w:r>
      <w:r>
        <w:rPr>
          <w:color w:val="000000"/>
          <w:sz w:val="32"/>
          <w:szCs w:val="32"/>
        </w:rPr>
        <w:t xml:space="preserve"> </w:t>
      </w:r>
    </w:p>
    <w:p>
      <w:pPr>
        <w:pStyle w:val="Normal"/>
        <w:autoSpaceDE w:val="false"/>
        <w:spacing w:lineRule="auto" w:line="360"/>
        <w:ind w:firstLine="525"/>
        <w:rPr>
          <w:rFonts w:ascii="宋体;SimSun" w:hAnsi="宋体;SimSun" w:eastAsia="宋体;SimSun" w:cs="宋体;SimSun"/>
        </w:rPr>
      </w:pPr>
      <w:r>
        <w:rPr>
          <w:rFonts w:eastAsia="宋体;SimSun" w:cs="宋体;SimSun" w:ascii="宋体;SimSun" w:hAnsi="宋体;SimSun"/>
        </w:rPr>
        <w:t>4.3.</w:t>
      </w:r>
      <w:r>
        <w:rPr>
          <w:rFonts w:eastAsia="宋体;SimSun" w:cs="宋体;SimSun" w:ascii="宋体;SimSun" w:hAnsi="宋体;SimSun"/>
        </w:rPr>
        <w:t xml:space="preserve">2 </w:t>
      </w:r>
      <w:r>
        <w:rPr>
          <w:rFonts w:ascii="宋体;SimSun" w:hAnsi="宋体;SimSun" w:cs="宋体;SimSun" w:eastAsia="宋体;SimSun"/>
        </w:rPr>
        <w:t>媒介复制的作业必须严格按照相应的工艺规程、技术标准、标准操作程序进行作业生产；每道作业过程完成后应由操作者进行自检，重要过程安排专人进行复核检查，合格品转入下道过程，不良品应有明确、清晰的标识。</w:t>
      </w:r>
    </w:p>
    <w:p>
      <w:pPr>
        <w:pStyle w:val="Normal"/>
        <w:autoSpaceDE w:val="false"/>
        <w:spacing w:lineRule="auto" w:line="360"/>
        <w:ind w:firstLine="525"/>
        <w:rPr>
          <w:rFonts w:ascii="宋体;SimSun" w:hAnsi="宋体;SimSun" w:eastAsia="宋体;SimSun" w:cs="宋体;SimSun"/>
        </w:rPr>
      </w:pPr>
      <w:r>
        <w:rPr>
          <w:rFonts w:eastAsia="宋体;SimSun" w:cs="宋体;SimSun" w:ascii="宋体;SimSun" w:hAnsi="宋体;SimSun"/>
        </w:rPr>
        <w:t>4.3.</w:t>
      </w:r>
      <w:r>
        <w:rPr>
          <w:rFonts w:eastAsia="宋体;SimSun" w:cs="宋体;SimSun" w:ascii="宋体;SimSun" w:hAnsi="宋体;SimSun"/>
        </w:rPr>
        <w:t>3</w:t>
      </w:r>
      <w:r>
        <w:rPr>
          <w:rFonts w:eastAsia="宋体;SimSun" w:cs="宋体;SimSun" w:ascii="宋体;SimSun" w:hAnsi="宋体;SimSun"/>
        </w:rPr>
        <w:t xml:space="preserve"> </w:t>
      </w:r>
      <w:r>
        <w:rPr>
          <w:rFonts w:ascii="宋体;SimSun" w:hAnsi="宋体;SimSun" w:cs="宋体;SimSun" w:eastAsia="宋体;SimSun"/>
        </w:rPr>
        <w:t>对特殊过程，生产车间应对影响产品特性的参数进行监控，并采取双人复核，对相关的操作者进行资格确认，必要时对特殊过程的过程能力进行验证，以保证产品质量；</w:t>
      </w:r>
    </w:p>
    <w:p>
      <w:pPr>
        <w:pStyle w:val="Normal"/>
        <w:autoSpaceDE w:val="false"/>
        <w:spacing w:lineRule="auto" w:line="360"/>
        <w:ind w:firstLine="525"/>
        <w:rPr>
          <w:rFonts w:ascii="宋体;SimSun" w:hAnsi="宋体;SimSun" w:eastAsia="宋体;SimSun" w:cs="宋体;SimSun"/>
        </w:rPr>
      </w:pPr>
      <w:r>
        <w:rPr>
          <w:rFonts w:eastAsia="宋体;SimSun" w:cs="宋体;SimSun" w:ascii="宋体;SimSun" w:hAnsi="宋体;SimSun"/>
        </w:rPr>
        <w:t>4.3.</w:t>
      </w:r>
      <w:r>
        <w:rPr>
          <w:rFonts w:eastAsia="宋体;SimSun" w:cs="宋体;SimSun" w:ascii="宋体;SimSun" w:hAnsi="宋体;SimSun"/>
        </w:rPr>
        <w:t>4</w:t>
      </w:r>
      <w:r>
        <w:rPr>
          <w:rFonts w:eastAsia="宋体;SimSun" w:cs="宋体;SimSun" w:ascii="宋体;SimSun" w:hAnsi="宋体;SimSun"/>
        </w:rPr>
        <w:t xml:space="preserve"> </w:t>
      </w:r>
      <w:r>
        <w:rPr>
          <w:rFonts w:ascii="宋体;SimSun" w:hAnsi="宋体;SimSun" w:cs="宋体;SimSun" w:eastAsia="宋体;SimSun"/>
        </w:rPr>
        <w:t>按照《产品的监视和测量控制程序》，对原材料、成品进行检测；检测结果如为不合格，应并按《不合格品控制程序》规定要求进行标识、隔离、冻结、处理，杜绝不合格品非预期使用。</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4.4 </w:t>
      </w:r>
      <w:r>
        <w:rPr>
          <w:rFonts w:ascii="宋体;SimSun" w:hAnsi="宋体;SimSun" w:cs="宋体;SimSun" w:eastAsia="宋体;SimSun"/>
          <w:b/>
        </w:rPr>
        <w:t>标记和包装的实施</w:t>
      </w:r>
    </w:p>
    <w:p>
      <w:pPr>
        <w:pStyle w:val="Normal"/>
        <w:autoSpaceDE w:val="false"/>
        <w:spacing w:lineRule="auto" w:line="360"/>
        <w:ind w:left="315" w:firstLine="210"/>
        <w:rPr>
          <w:rFonts w:ascii="宋体;SimSun" w:hAnsi="宋体;SimSun" w:eastAsia="宋体;SimSun" w:cs="宋体;SimSun"/>
        </w:rPr>
      </w:pPr>
      <w:r>
        <w:rPr>
          <w:rFonts w:eastAsia="宋体;SimSun" w:cs="宋体;SimSun" w:ascii="宋体;SimSun" w:hAnsi="宋体;SimSun"/>
        </w:rPr>
        <w:t xml:space="preserve">4.4.1 </w:t>
      </w:r>
      <w:r>
        <w:rPr>
          <w:rFonts w:ascii="宋体;SimSun" w:hAnsi="宋体;SimSun" w:cs="宋体;SimSun" w:eastAsia="宋体;SimSun"/>
        </w:rPr>
        <w:t>在生产的各过程中产生过程产品、成品应按照《标识和可追溯性程序》规定进行标识和管理，明确相应的状态，进行有效的保护；</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4.4.2 </w:t>
      </w:r>
      <w:r>
        <w:rPr>
          <w:rFonts w:ascii="宋体;SimSun" w:hAnsi="宋体;SimSun" w:cs="宋体;SimSun" w:eastAsia="宋体;SimSun"/>
        </w:rPr>
        <w:t>每批（次）产品生产结束，生产车间应按照《清场制度》的规定对作业场地进行严格的清场，清洁作业场地，防止混料的发生；对标签、说明书的使用状况进行统计、分析、记录，核算物料平衡，确保</w:t>
      </w:r>
      <w:r>
        <w:rPr>
          <w:rFonts w:eastAsia="宋体;SimSun" w:cs="宋体;SimSun" w:ascii="宋体;SimSun" w:hAnsi="宋体;SimSun"/>
        </w:rPr>
        <w:t>100%</w:t>
      </w:r>
      <w:r>
        <w:rPr>
          <w:rFonts w:ascii="宋体;SimSun" w:hAnsi="宋体;SimSun" w:cs="宋体;SimSun" w:eastAsia="宋体;SimSun"/>
        </w:rPr>
        <w:t>平衡，防止混料的发生，如有异常，必须查明原因。</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4.4.3 </w:t>
      </w:r>
      <w:r>
        <w:rPr>
          <w:rFonts w:ascii="宋体;SimSun" w:hAnsi="宋体;SimSun" w:cs="宋体;SimSun" w:eastAsia="宋体;SimSun"/>
        </w:rPr>
        <w:t>产品包装应严格按照《产品防护控制程序》和对应的生产工艺规程进行，确保产品在搬运、存放、运输中得到防护。</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rPr>
        <w:t xml:space="preserve"> </w:t>
      </w:r>
      <w:r>
        <w:rPr>
          <w:rFonts w:eastAsia="宋体;SimSun" w:cs="宋体;SimSun" w:ascii="宋体;SimSun" w:hAnsi="宋体;SimSun"/>
          <w:b/>
        </w:rPr>
        <w:t xml:space="preserve">4.5 </w:t>
      </w:r>
      <w:r>
        <w:rPr>
          <w:rFonts w:ascii="宋体;SimSun" w:hAnsi="宋体;SimSun" w:cs="宋体;SimSun" w:eastAsia="宋体;SimSun"/>
          <w:b/>
        </w:rPr>
        <w:t>产品的放行</w:t>
      </w:r>
    </w:p>
    <w:p>
      <w:pPr>
        <w:pStyle w:val="Normal"/>
        <w:autoSpaceDE w:val="false"/>
        <w:spacing w:lineRule="auto" w:line="360"/>
        <w:ind w:left="315" w:hanging="0"/>
        <w:rPr>
          <w:rFonts w:ascii="宋体;SimSun" w:hAnsi="宋体;SimSun" w:eastAsia="宋体;SimSun" w:cs="宋体;SimSun"/>
        </w:rPr>
      </w:pPr>
      <w:r>
        <w:rPr>
          <w:rFonts w:eastAsia="宋体;SimSun" w:cs="宋体;SimSun" w:ascii="宋体;SimSun" w:hAnsi="宋体;SimSun"/>
        </w:rPr>
        <w:t xml:space="preserve">  </w:t>
      </w:r>
      <w:r>
        <w:rPr>
          <w:rFonts w:eastAsia="宋体;SimSun" w:cs="宋体;SimSun" w:ascii="宋体;SimSun" w:hAnsi="宋体;SimSun"/>
        </w:rPr>
        <w:t xml:space="preserve">4.5.1 </w:t>
      </w:r>
      <w:r>
        <w:rPr>
          <w:rFonts w:ascii="宋体;SimSun" w:hAnsi="宋体;SimSun" w:cs="宋体;SimSun" w:eastAsia="宋体;SimSun"/>
        </w:rPr>
        <w:t>生产结束后，生产车间应及时完成“生产记录”的填写、整理并转移至质量部。</w:t>
      </w:r>
    </w:p>
    <w:p>
      <w:pPr>
        <w:pStyle w:val="Normal"/>
        <w:spacing w:lineRule="auto" w:line="360"/>
        <w:ind w:firstLine="567"/>
        <w:rPr>
          <w:rFonts w:ascii="宋体;SimSun" w:hAnsi="宋体;SimSun" w:eastAsia="宋体;SimSun" w:cs="宋体;SimSun"/>
        </w:rPr>
      </w:pPr>
      <w:r>
        <w:rPr>
          <w:rFonts w:eastAsia="宋体;SimSun" w:cs="宋体;SimSun" w:ascii="宋体;SimSun" w:hAnsi="宋体;SimSun"/>
        </w:rPr>
        <w:t xml:space="preserve">4.5.2 </w:t>
      </w:r>
      <w:r>
        <w:rPr>
          <w:rFonts w:ascii="宋体;SimSun" w:hAnsi="宋体;SimSun" w:cs="宋体;SimSun" w:eastAsia="宋体;SimSun"/>
        </w:rPr>
        <w:t>质量部依据相关法规和标准、产品技术要求等，对</w:t>
      </w:r>
      <w:r>
        <w:rPr>
          <w:rFonts w:eastAsia="宋体;SimSun" w:cs="宋体;SimSun" w:ascii="宋体;SimSun" w:hAnsi="宋体;SimSun"/>
        </w:rPr>
        <w:t>Release</w:t>
      </w:r>
      <w:r>
        <w:rPr>
          <w:rFonts w:eastAsia="宋体;SimSun" w:cs="宋体;SimSun" w:ascii="宋体;SimSun" w:hAnsi="宋体;SimSun"/>
        </w:rPr>
        <w:t xml:space="preserve"> N</w:t>
      </w:r>
      <w:r>
        <w:rPr>
          <w:rFonts w:eastAsia="宋体;SimSun" w:cs="宋体;SimSun" w:ascii="宋体;SimSun" w:hAnsi="宋体;SimSun"/>
        </w:rPr>
        <w:t>ote</w:t>
      </w:r>
      <w:r>
        <w:rPr>
          <w:rFonts w:ascii="宋体;SimSun" w:hAnsi="宋体;SimSun" w:cs="宋体;SimSun" w:eastAsia="宋体;SimSun"/>
        </w:rPr>
        <w:t>、生产记录、检验和测试记录等进行审核，</w:t>
      </w:r>
      <w:r>
        <w:rPr>
          <w:rFonts w:ascii="宋体;SimSun" w:hAnsi="宋体;SimSun" w:cs="宋体;SimSun" w:eastAsia="宋体;SimSun"/>
        </w:rPr>
        <w:t>确定软件版本、安装卸载测试、产品完整性等活动</w:t>
      </w:r>
      <w:r>
        <w:rPr>
          <w:rFonts w:ascii="宋体;SimSun" w:hAnsi="宋体;SimSun" w:cs="宋体;SimSun" w:eastAsia="宋体;SimSun"/>
        </w:rPr>
        <w:t>符合要求后，方可放行产品</w:t>
      </w:r>
      <w:r>
        <w:rPr>
          <w:rFonts w:ascii="宋体;SimSun" w:hAnsi="宋体;SimSun" w:cs="宋体;SimSun" w:eastAsia="宋体;SimSun"/>
        </w:rPr>
        <w:t>。</w:t>
      </w:r>
      <w:r>
        <w:rPr>
          <w:rFonts w:ascii="宋体;SimSun" w:hAnsi="宋体;SimSun" w:cs="宋体;SimSun" w:eastAsia="宋体;SimSun"/>
        </w:rPr>
        <w:t>具体操作按照《产品放行管理制度》进行。</w:t>
      </w:r>
    </w:p>
    <w:p>
      <w:pPr>
        <w:pStyle w:val="Normal"/>
        <w:autoSpaceDE w:val="false"/>
        <w:spacing w:lineRule="auto" w:line="360"/>
        <w:ind w:left="315" w:firstLine="210"/>
        <w:rPr>
          <w:rFonts w:ascii="宋体;SimSun" w:hAnsi="宋体;SimSun" w:eastAsia="宋体;SimSun" w:cs="宋体;SimSun"/>
        </w:rPr>
      </w:pPr>
      <w:r>
        <w:rPr>
          <w:rFonts w:eastAsia="宋体;SimSun" w:cs="宋体;SimSun" w:ascii="宋体;SimSun" w:hAnsi="宋体;SimSun"/>
        </w:rPr>
        <w:t xml:space="preserve">4.5.3 </w:t>
      </w:r>
      <w:r>
        <w:rPr>
          <w:rFonts w:ascii="宋体;SimSun" w:hAnsi="宋体;SimSun" w:cs="宋体;SimSun" w:eastAsia="宋体;SimSun"/>
        </w:rPr>
        <w:t>储运部依据质量部出具的“产品放行单”，方可进行产品的出库、发货。</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4.6  </w:t>
      </w:r>
      <w:r>
        <w:rPr>
          <w:rFonts w:ascii="宋体;SimSun" w:hAnsi="宋体;SimSun" w:cs="宋体;SimSun" w:eastAsia="宋体;SimSun"/>
          <w:b/>
        </w:rPr>
        <w:t>产品交付和交付后管理：</w:t>
      </w:r>
    </w:p>
    <w:p>
      <w:pPr>
        <w:pStyle w:val="Normal"/>
        <w:autoSpaceDE w:val="false"/>
        <w:spacing w:lineRule="auto" w:line="360"/>
        <w:ind w:left="420" w:firstLine="210"/>
        <w:rPr>
          <w:rFonts w:ascii="宋体;SimSun" w:hAnsi="宋体;SimSun" w:eastAsia="宋体;SimSun" w:cs="宋体;SimSun"/>
        </w:rPr>
      </w:pPr>
      <w:r>
        <w:rPr>
          <w:rFonts w:ascii="宋体;SimSun" w:hAnsi="宋体;SimSun" w:cs="宋体;SimSun" w:eastAsia="宋体;SimSun"/>
        </w:rPr>
        <w:t>本公司的产品为“医疗软件”，产品交付后由售后工程师提供安装、操作培训等服务，确保客户可以熟练操作软件；并提供软件维护，针对“软件问题”进行改正性维护和适应性、完善性、预防性等主动维护。具体操作见《产品售后安装和服务管理制度》和《软件维护管理制度》。</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4.7 </w:t>
      </w:r>
      <w:r>
        <w:rPr>
          <w:rFonts w:ascii="宋体;SimSun" w:hAnsi="宋体;SimSun" w:cs="宋体;SimSun" w:eastAsia="宋体;SimSun"/>
          <w:b/>
        </w:rPr>
        <w:t>生产人员的管理：</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4.7.1 </w:t>
      </w:r>
      <w:r>
        <w:rPr>
          <w:rFonts w:ascii="宋体;SimSun" w:hAnsi="宋体;SimSun" w:cs="宋体;SimSun" w:eastAsia="宋体;SimSun"/>
        </w:rPr>
        <w:t>普通生产操作人员应具有高中以上文化程度，从事技术岗位操作人员须具有大专以上文化程度或相当的工作经验及技术能力。</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4.7.2 </w:t>
      </w:r>
      <w:r>
        <w:rPr>
          <w:rFonts w:ascii="宋体;SimSun" w:hAnsi="宋体;SimSun" w:cs="宋体;SimSun" w:eastAsia="宋体;SimSun"/>
        </w:rPr>
        <w:t>对新员工进行生产管理规章和实际操作的培训，通过培训考试合格方可正式上岗。</w:t>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t xml:space="preserve">4.8. </w:t>
      </w:r>
      <w:r>
        <w:rPr>
          <w:rFonts w:ascii="宋体;SimSun" w:hAnsi="宋体;SimSun" w:cs="宋体;SimSun" w:eastAsia="宋体;SimSun"/>
          <w:b/>
        </w:rPr>
        <w:t>特殊过程的确认与控制：</w:t>
      </w:r>
    </w:p>
    <w:p>
      <w:pPr>
        <w:pStyle w:val="Normal"/>
        <w:autoSpaceDE w:val="false"/>
        <w:spacing w:lineRule="auto" w:line="360"/>
        <w:rPr>
          <w:rFonts w:ascii="宋体;SimSun" w:hAnsi="宋体;SimSun" w:eastAsia="宋体;SimSun" w:cs="宋体;SimSun"/>
        </w:rPr>
      </w:pPr>
      <w:r>
        <w:rPr>
          <w:rFonts w:eastAsia="宋体;SimSun" w:cs="宋体;SimSun" w:ascii="宋体;SimSun" w:hAnsi="宋体;SimSun"/>
          <w:b/>
        </w:rPr>
        <w:t xml:space="preserve">     </w:t>
      </w:r>
      <w:r>
        <w:rPr>
          <w:rFonts w:eastAsia="宋体;SimSun" w:cs="宋体;SimSun" w:ascii="宋体;SimSun" w:hAnsi="宋体;SimSun"/>
        </w:rPr>
        <w:t xml:space="preserve">5.8.1 </w:t>
      </w:r>
      <w:r>
        <w:rPr>
          <w:rFonts w:ascii="宋体;SimSun" w:hAnsi="宋体;SimSun" w:cs="宋体;SimSun" w:eastAsia="宋体;SimSun"/>
        </w:rPr>
        <w:t>特殊过程： 过程的输出不能或者不是由后续的监视或测量加以验证视为“特殊过程”。特殊过程控制措施一般有：人员上岗培训、双人复核、工艺参数的控制和记录、物料平衡等。</w:t>
      </w:r>
    </w:p>
    <w:p>
      <w:pPr>
        <w:pStyle w:val="Normal"/>
        <w:autoSpaceDE w:val="false"/>
        <w:spacing w:lineRule="auto" w:line="360"/>
        <w:ind w:firstLine="525"/>
        <w:rPr>
          <w:rFonts w:ascii="宋体;SimSun" w:hAnsi="宋体;SimSun" w:eastAsia="宋体;SimSun" w:cs="宋体;SimSun"/>
        </w:rPr>
      </w:pPr>
      <w:r>
        <w:rPr>
          <w:rFonts w:eastAsia="宋体;SimSun" w:cs="宋体;SimSun" w:ascii="宋体;SimSun" w:hAnsi="宋体;SimSun"/>
        </w:rPr>
        <w:t xml:space="preserve">5.8.2 </w:t>
      </w:r>
      <w:r>
        <w:rPr>
          <w:rFonts w:ascii="宋体;SimSun" w:hAnsi="宋体;SimSun" w:cs="宋体;SimSun" w:eastAsia="宋体;SimSun"/>
        </w:rPr>
        <w:t>关键过程：公司按照《验证管理制度》实施对关键过程进行过程确认。</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5. </w:t>
      </w:r>
      <w:r>
        <w:rPr>
          <w:rFonts w:ascii="宋体;SimSun" w:hAnsi="宋体;SimSun" w:cs="宋体;SimSun" w:eastAsia="宋体;SimSun"/>
          <w:b/>
          <w:bCs/>
        </w:rPr>
        <w:t>相关文件</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bCs/>
          <w:color w:val="000000"/>
          <w:szCs w:val="21"/>
        </w:rPr>
        <w:t>QMS-P05</w:t>
      </w:r>
      <w:r>
        <w:rPr>
          <w:rFonts w:ascii="宋体;SimSun" w:hAnsi="宋体;SimSun" w:cs="宋体;SimSun" w:eastAsia="宋体;SimSun"/>
        </w:rPr>
        <w:t>《设施、设备控制程序》</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bCs/>
          <w:color w:val="000000"/>
          <w:szCs w:val="21"/>
        </w:rPr>
        <w:t>QMS-P06</w:t>
      </w:r>
      <w:r>
        <w:rPr>
          <w:rFonts w:ascii="宋体;SimSun" w:hAnsi="宋体;SimSun" w:cs="宋体;SimSun" w:eastAsia="宋体;SimSun"/>
        </w:rPr>
        <w:t>《工作环境控制程序》</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bCs/>
          <w:color w:val="000000"/>
          <w:szCs w:val="21"/>
        </w:rPr>
        <w:t>QMS-P13</w:t>
      </w:r>
      <w:r>
        <w:rPr>
          <w:rFonts w:ascii="宋体;SimSun" w:hAnsi="宋体;SimSun" w:cs="宋体;SimSun" w:eastAsia="宋体;SimSun"/>
        </w:rPr>
        <w:t>《标识和可追溯性控制程序》</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bCs/>
          <w:color w:val="000000"/>
          <w:szCs w:val="21"/>
        </w:rPr>
        <w:t>QMS-P14</w:t>
      </w:r>
      <w:r>
        <w:rPr>
          <w:rFonts w:ascii="宋体;SimSun" w:hAnsi="宋体;SimSun" w:cs="宋体;SimSun" w:eastAsia="宋体;SimSun"/>
          <w:bCs/>
          <w:color w:val="000000"/>
          <w:szCs w:val="21"/>
        </w:rPr>
        <w:t>《产品防护控制程序》</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bCs/>
          <w:color w:val="000000"/>
          <w:szCs w:val="21"/>
        </w:rPr>
        <w:t>QMS-P22</w:t>
      </w:r>
      <w:r>
        <w:rPr>
          <w:rFonts w:ascii="宋体;SimSun" w:hAnsi="宋体;SimSun" w:cs="宋体;SimSun" w:eastAsia="宋体;SimSun"/>
        </w:rPr>
        <w:t>《不合格品控制程序》</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QMS-R02</w:t>
      </w:r>
      <w:r>
        <w:rPr>
          <w:rFonts w:ascii="宋体;SimSun" w:hAnsi="宋体;SimSun" w:cs="宋体;SimSun" w:eastAsia="宋体;SimSun"/>
        </w:rPr>
        <w:t>《清场管理制度》</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QMS-R06</w:t>
      </w:r>
      <w:r>
        <w:rPr>
          <w:rFonts w:ascii="宋体;SimSun" w:hAnsi="宋体;SimSun" w:cs="宋体;SimSun" w:eastAsia="宋体;SimSun"/>
        </w:rPr>
        <w:t>《产品放行管理制度》</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QMS-R07</w:t>
      </w:r>
      <w:r>
        <w:rPr>
          <w:rFonts w:ascii="宋体;SimSun" w:hAnsi="宋体;SimSun" w:cs="宋体;SimSun" w:eastAsia="宋体;SimSun"/>
        </w:rPr>
        <w:t>《验证管理制度》</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6. </w:t>
      </w:r>
      <w:r>
        <w:rPr>
          <w:rFonts w:ascii="宋体;SimSun" w:hAnsi="宋体;SimSun" w:cs="宋体;SimSun" w:eastAsia="宋体;SimSun"/>
          <w:b/>
          <w:bCs/>
        </w:rPr>
        <w:t>记录</w:t>
      </w:r>
    </w:p>
    <w:p>
      <w:pPr>
        <w:pStyle w:val="Normal"/>
        <w:spacing w:lineRule="auto" w:line="360"/>
        <w:ind w:firstLine="699"/>
        <w:rPr>
          <w:rFonts w:ascii="宋体;SimSun" w:hAnsi="宋体;SimSun" w:eastAsia="宋体;SimSun" w:cs="宋体;SimSun"/>
          <w:szCs w:val="21"/>
        </w:rPr>
      </w:pPr>
      <w:r>
        <w:rPr>
          <w:rFonts w:ascii="宋体;SimSun" w:hAnsi="宋体;SimSun" w:cs="宋体;SimSun" w:eastAsia="宋体;SimSun"/>
          <w:szCs w:val="21"/>
        </w:rPr>
        <w:t>无</w:t>
      </w:r>
    </w:p>
    <w:p>
      <w:pPr>
        <w:pStyle w:val="Normal"/>
        <w:spacing w:lineRule="auto" w:line="360"/>
        <w:rPr>
          <w:rFonts w:ascii="宋体;SimSun" w:hAnsi="宋体;SimSun" w:eastAsia="宋体;SimSun" w:cs="宋体;SimSun"/>
          <w:b/>
          <w:b/>
          <w:bCs/>
          <w:color w:val="000000"/>
          <w:szCs w:val="21"/>
        </w:rPr>
      </w:pPr>
      <w:r>
        <w:rPr>
          <w:rFonts w:eastAsia="宋体;SimSun" w:cs="宋体;SimSun" w:ascii="宋体;SimSun" w:hAnsi="宋体;SimSun"/>
          <w:b/>
          <w:bCs/>
          <w:color w:val="000000"/>
          <w:szCs w:val="21"/>
        </w:rPr>
        <w:t xml:space="preserve">7. </w:t>
      </w:r>
      <w:r>
        <w:rPr>
          <w:rFonts w:ascii="宋体;SimSun" w:hAnsi="宋体;SimSun" w:cs="宋体;SimSun" w:eastAsia="宋体;SimSun"/>
          <w:b/>
          <w:bCs/>
          <w:color w:val="000000"/>
          <w:szCs w:val="21"/>
        </w:rPr>
        <w:t>文件更改履历表</w:t>
      </w:r>
    </w:p>
    <w:tbl>
      <w:tblPr>
        <w:tblW w:w="9214" w:type="dxa"/>
        <w:jc w:val="left"/>
        <w:tblInd w:w="392" w:type="dxa"/>
        <w:tblLayout w:type="fixed"/>
        <w:tblCellMar>
          <w:top w:w="0" w:type="dxa"/>
          <w:left w:w="108" w:type="dxa"/>
          <w:bottom w:w="0" w:type="dxa"/>
          <w:right w:w="108" w:type="dxa"/>
        </w:tblCellMar>
      </w:tblPr>
      <w:tblGrid>
        <w:gridCol w:w="1167"/>
        <w:gridCol w:w="5920"/>
        <w:gridCol w:w="2127"/>
      </w:tblGrid>
      <w:tr>
        <w:trPr>
          <w:trHeight w:val="486" w:hRule="atLeast"/>
        </w:trPr>
        <w:tc>
          <w:tcPr>
            <w:tcW w:w="1167"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2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127"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167"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20"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127"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exact" w:line="460"/>
        <w:rPr>
          <w:rFonts w:ascii="宋体;SimSun" w:hAnsi="宋体;SimSun" w:eastAsia="宋体;SimSun" w:cs="宋体;SimSun"/>
        </w:rPr>
      </w:pPr>
      <w:r>
        <w:rPr>
          <w:rFonts w:eastAsia="宋体;SimSun" w:cs="宋体;SimSun" w:ascii="宋体;SimSun" w:hAnsi="宋体;SimSun"/>
        </w:rPr>
      </w:r>
    </w:p>
    <w:sectPr>
      <w:headerReference w:type="default" r:id="rId6"/>
      <w:footerReference w:type="default" r:id="rId7"/>
      <w:type w:val="nextPage"/>
      <w:pgSz w:w="11906" w:h="16838"/>
      <w:pgMar w:left="1134" w:right="1134" w:gutter="0" w:header="851" w:top="1134" w:footer="0"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pPr>
          <w:r>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 xml:space="preserve">生产过程控制程序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文件编号：    </w:t>
          </w:r>
          <w:r>
            <w:rPr>
              <w:sz w:val="24"/>
              <w:szCs w:val="24"/>
            </w:rPr>
            <w:t>QMS-P12</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sz w:val="24"/>
              <w:szCs w:val="24"/>
            </w:rPr>
          </w:pPr>
          <w:r>
            <w:rPr>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pPr>
          <w:r>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版本修订号：   </w:t>
          </w:r>
          <w:r>
            <w:rPr>
              <w:sz w:val="24"/>
              <w:szCs w:val="24"/>
            </w:rPr>
            <w:t>A0</w:t>
          </w:r>
          <w:r>
            <w:rPr>
              <w:sz w:val="24"/>
              <w:szCs w:val="24"/>
            </w:rPr>
            <w:t>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pPr>
          <w:r>
            <w:rPr/>
            <w:t>杭州依图医疗技术有限公司程序文件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sz w:val="24"/>
              <w:szCs w:val="24"/>
            </w:rPr>
          </w:pPr>
          <w:r>
            <w:rPr>
              <w:sz w:val="24"/>
              <w:szCs w:val="24"/>
            </w:rPr>
            <w:t xml:space="preserve">页      码：   </w:t>
          </w: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r>
            <w:rPr>
              <w:sz w:val="24"/>
              <w:szCs w:val="24"/>
            </w:rPr>
            <w:t>/</w:t>
          </w:r>
          <w:r>
            <w:rPr>
              <w:sz w:val="24"/>
              <w:szCs w:val="24"/>
            </w:rPr>
            <w:t>3</w:t>
          </w:r>
        </w:p>
      </w:tc>
    </w:tr>
  </w:tbl>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生产过程控制程序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QMS-P12</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3</w:t>
          </w:r>
          <w:r>
            <w:rPr>
              <w:sz w:val="24"/>
              <w:szCs w:val="24"/>
              <w:rFonts w:ascii="宋体;SimSun" w:hAnsi="宋体;SimSun" w:cs="宋体;SimSun" w:eastAsia="宋体;SimSun"/>
            </w:rPr>
            <w:fldChar w:fldCharType="end"/>
          </w:r>
          <w:r>
            <w:rPr>
              <w:rFonts w:eastAsia="宋体;SimSun" w:cs="宋体;SimSun" w:ascii="宋体;SimSun" w:hAnsi="宋体;SimSun"/>
              <w:sz w:val="24"/>
              <w:szCs w:val="24"/>
            </w:rPr>
            <w:t>/</w:t>
          </w:r>
          <w:r>
            <w:rPr>
              <w:rFonts w:eastAsia="宋体;SimSun" w:cs="宋体;SimSun" w:ascii="宋体;SimSun" w:hAnsi="宋体;SimSun"/>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840"/>
        </w:tabs>
        <w:ind w:left="840" w:hanging="420"/>
      </w:pPr>
      <w:rPr>
        <w:rFonts w:ascii="Wingdings" w:hAnsi="Wingdings" w:cs="Wingdings" w:hint="default"/>
      </w:rPr>
    </w:lvl>
    <w:lvl w:ilvl="1">
      <w:start w:val="1"/>
      <w:numFmt w:val="bullet"/>
      <w:lvlText w:val=""/>
      <w:lvlJc w:val="left"/>
      <w:pPr>
        <w:tabs>
          <w:tab w:val="num" w:pos="1260"/>
        </w:tabs>
        <w:ind w:left="1260" w:hanging="420"/>
      </w:pPr>
      <w:rPr>
        <w:rFonts w:ascii="Wingdings" w:hAnsi="Wingdings" w:cs="Wingdings" w:hint="default"/>
      </w:rPr>
    </w:lvl>
    <w:lvl w:ilvl="2">
      <w:start w:val="1"/>
      <w:numFmt w:val="bullet"/>
      <w:lvlText w:val=""/>
      <w:lvlJc w:val="left"/>
      <w:pPr>
        <w:tabs>
          <w:tab w:val="num" w:pos="1680"/>
        </w:tabs>
        <w:ind w:left="1680" w:hanging="420"/>
      </w:pPr>
      <w:rPr>
        <w:rFonts w:ascii="Wingdings" w:hAnsi="Wingdings" w:cs="Wingdings" w:hint="default"/>
      </w:rPr>
    </w:lvl>
    <w:lvl w:ilvl="3">
      <w:start w:val="1"/>
      <w:numFmt w:val="bullet"/>
      <w:lvlText w:val=""/>
      <w:lvlJc w:val="left"/>
      <w:pPr>
        <w:tabs>
          <w:tab w:val="num" w:pos="2100"/>
        </w:tabs>
        <w:ind w:left="2100" w:hanging="420"/>
      </w:pPr>
      <w:rPr>
        <w:rFonts w:ascii="Wingdings" w:hAnsi="Wingdings" w:cs="Wingdings" w:hint="default"/>
      </w:rPr>
    </w:lvl>
    <w:lvl w:ilvl="4">
      <w:start w:val="1"/>
      <w:numFmt w:val="bullet"/>
      <w:lvlText w:val=""/>
      <w:lvlJc w:val="left"/>
      <w:pPr>
        <w:tabs>
          <w:tab w:val="num" w:pos="2520"/>
        </w:tabs>
        <w:ind w:left="2520" w:hanging="420"/>
      </w:pPr>
      <w:rPr>
        <w:rFonts w:ascii="Wingdings" w:hAnsi="Wingdings" w:cs="Wingdings" w:hint="default"/>
      </w:rPr>
    </w:lvl>
    <w:lvl w:ilvl="5">
      <w:start w:val="1"/>
      <w:numFmt w:val="bullet"/>
      <w:lvlText w:val=""/>
      <w:lvlJc w:val="left"/>
      <w:pPr>
        <w:tabs>
          <w:tab w:val="num" w:pos="2940"/>
        </w:tabs>
        <w:ind w:left="2940" w:hanging="420"/>
      </w:pPr>
      <w:rPr>
        <w:rFonts w:ascii="Wingdings" w:hAnsi="Wingdings" w:cs="Wingdings" w:hint="default"/>
      </w:rPr>
    </w:lvl>
    <w:lvl w:ilvl="6">
      <w:start w:val="1"/>
      <w:numFmt w:val="bullet"/>
      <w:lvlText w:val=""/>
      <w:lvlJc w:val="left"/>
      <w:pPr>
        <w:tabs>
          <w:tab w:val="num" w:pos="3360"/>
        </w:tabs>
        <w:ind w:left="3360" w:hanging="420"/>
      </w:pPr>
      <w:rPr>
        <w:rFonts w:ascii="Wingdings" w:hAnsi="Wingdings" w:cs="Wingdings" w:hint="default"/>
      </w:rPr>
    </w:lvl>
    <w:lvl w:ilvl="7">
      <w:start w:val="1"/>
      <w:numFmt w:val="bullet"/>
      <w:lvlText w:val=""/>
      <w:lvlJc w:val="left"/>
      <w:pPr>
        <w:tabs>
          <w:tab w:val="num" w:pos="3780"/>
        </w:tabs>
        <w:ind w:left="3780" w:hanging="420"/>
      </w:pPr>
      <w:rPr>
        <w:rFonts w:ascii="Wingdings" w:hAnsi="Wingdings" w:cs="Wingdings" w:hint="default"/>
      </w:rPr>
    </w:lvl>
    <w:lvl w:ilvl="8">
      <w:start w:val="1"/>
      <w:numFmt w:val="bullet"/>
      <w:lvlText w:val=""/>
      <w:lvlJc w:val="left"/>
      <w:pPr>
        <w:tabs>
          <w:tab w:val="num" w:pos="4200"/>
        </w:tabs>
        <w:ind w:left="4200" w:hanging="420"/>
      </w:pPr>
      <w:rPr>
        <w:rFonts w:ascii="Wingdings" w:hAnsi="Wingdings" w:cs="Wingdings" w:hint="default"/>
      </w:rPr>
    </w:lvl>
  </w:abstractNum>
  <w:abstractNum w:abstractNumId="3">
    <w:lvl w:ilvl="0">
      <w:start w:val="1"/>
      <w:numFmt w:val="bullet"/>
      <w:lvlText w:val=""/>
      <w:lvlJc w:val="left"/>
      <w:pPr>
        <w:tabs>
          <w:tab w:val="num" w:pos="0"/>
        </w:tabs>
        <w:ind w:left="1020" w:hanging="420"/>
      </w:pPr>
      <w:rPr>
        <w:rFonts w:ascii="Wingdings" w:hAnsi="Wingdings" w:cs="Wingdings" w:hint="default"/>
      </w:rPr>
    </w:lvl>
    <w:lvl w:ilvl="1">
      <w:start w:val="1"/>
      <w:numFmt w:val="bullet"/>
      <w:lvlText w:val=""/>
      <w:lvlJc w:val="left"/>
      <w:pPr>
        <w:tabs>
          <w:tab w:val="num" w:pos="0"/>
        </w:tabs>
        <w:ind w:left="1440" w:hanging="420"/>
      </w:pPr>
      <w:rPr>
        <w:rFonts w:ascii="Wingdings" w:hAnsi="Wingdings" w:cs="Wingdings" w:hint="default"/>
      </w:rPr>
    </w:lvl>
    <w:lvl w:ilvl="2">
      <w:start w:val="1"/>
      <w:numFmt w:val="bullet"/>
      <w:lvlText w:val=""/>
      <w:lvlJc w:val="left"/>
      <w:pPr>
        <w:tabs>
          <w:tab w:val="num" w:pos="0"/>
        </w:tabs>
        <w:ind w:left="1860" w:hanging="420"/>
      </w:pPr>
      <w:rPr>
        <w:rFonts w:ascii="Wingdings" w:hAnsi="Wingdings" w:cs="Wingdings" w:hint="default"/>
      </w:rPr>
    </w:lvl>
    <w:lvl w:ilvl="3">
      <w:start w:val="1"/>
      <w:numFmt w:val="bullet"/>
      <w:lvlText w:val=""/>
      <w:lvlJc w:val="left"/>
      <w:pPr>
        <w:tabs>
          <w:tab w:val="num" w:pos="0"/>
        </w:tabs>
        <w:ind w:left="2280" w:hanging="420"/>
      </w:pPr>
      <w:rPr>
        <w:rFonts w:ascii="Wingdings" w:hAnsi="Wingdings" w:cs="Wingdings" w:hint="default"/>
      </w:rPr>
    </w:lvl>
    <w:lvl w:ilvl="4">
      <w:start w:val="1"/>
      <w:numFmt w:val="bullet"/>
      <w:lvlText w:val=""/>
      <w:lvlJc w:val="left"/>
      <w:pPr>
        <w:tabs>
          <w:tab w:val="num" w:pos="0"/>
        </w:tabs>
        <w:ind w:left="2700" w:hanging="420"/>
      </w:pPr>
      <w:rPr>
        <w:rFonts w:ascii="Wingdings" w:hAnsi="Wingdings" w:cs="Wingdings" w:hint="default"/>
      </w:rPr>
    </w:lvl>
    <w:lvl w:ilvl="5">
      <w:start w:val="1"/>
      <w:numFmt w:val="bullet"/>
      <w:lvlText w:val=""/>
      <w:lvlJc w:val="left"/>
      <w:pPr>
        <w:tabs>
          <w:tab w:val="num" w:pos="0"/>
        </w:tabs>
        <w:ind w:left="3120" w:hanging="420"/>
      </w:pPr>
      <w:rPr>
        <w:rFonts w:ascii="Wingdings" w:hAnsi="Wingdings" w:cs="Wingdings" w:hint="default"/>
      </w:rPr>
    </w:lvl>
    <w:lvl w:ilvl="6">
      <w:start w:val="1"/>
      <w:numFmt w:val="bullet"/>
      <w:lvlText w:val=""/>
      <w:lvlJc w:val="left"/>
      <w:pPr>
        <w:tabs>
          <w:tab w:val="num" w:pos="0"/>
        </w:tabs>
        <w:ind w:left="3540" w:hanging="420"/>
      </w:pPr>
      <w:rPr>
        <w:rFonts w:ascii="Wingdings" w:hAnsi="Wingdings" w:cs="Wingdings" w:hint="default"/>
      </w:rPr>
    </w:lvl>
    <w:lvl w:ilvl="7">
      <w:start w:val="1"/>
      <w:numFmt w:val="bullet"/>
      <w:lvlText w:val=""/>
      <w:lvlJc w:val="left"/>
      <w:pPr>
        <w:tabs>
          <w:tab w:val="num" w:pos="0"/>
        </w:tabs>
        <w:ind w:left="3960" w:hanging="420"/>
      </w:pPr>
      <w:rPr>
        <w:rFonts w:ascii="Wingdings" w:hAnsi="Wingdings" w:cs="Wingdings" w:hint="default"/>
      </w:rPr>
    </w:lvl>
    <w:lvl w:ilvl="8">
      <w:start w:val="1"/>
      <w:numFmt w:val="bullet"/>
      <w:lvlText w:val=""/>
      <w:lvlJc w:val="left"/>
      <w:pPr>
        <w:tabs>
          <w:tab w:val="num" w:pos="0"/>
        </w:tabs>
        <w:ind w:left="4380" w:hanging="420"/>
      </w:pPr>
      <w:rPr>
        <w:rFonts w:ascii="Wingdings" w:hAnsi="Wingdings" w:cs="Wingdings" w:hint="default"/>
      </w:rPr>
    </w:lvl>
  </w:abstractNum>
  <w:abstractNum w:abstractNumId="4">
    <w:lvl w:ilvl="0">
      <w:start w:val="4"/>
      <w:numFmt w:val="decimal"/>
      <w:lvlText w:val="%1"/>
      <w:lvlJc w:val="left"/>
      <w:pPr>
        <w:tabs>
          <w:tab w:val="num" w:pos="0"/>
        </w:tabs>
        <w:ind w:left="435" w:hanging="435"/>
      </w:pPr>
      <w:rPr/>
    </w:lvl>
    <w:lvl w:ilvl="1">
      <w:start w:val="2"/>
      <w:numFmt w:val="decimal"/>
      <w:lvlText w:val="%1.%2"/>
      <w:lvlJc w:val="left"/>
      <w:pPr>
        <w:tabs>
          <w:tab w:val="num" w:pos="0"/>
        </w:tabs>
        <w:ind w:left="645" w:hanging="435"/>
      </w:pPr>
      <w:rPr/>
    </w:lvl>
    <w:lvl w:ilvl="2">
      <w:start w:val="1"/>
      <w:numFmt w:val="decimal"/>
      <w:lvlText w:val="%1.%2.%3"/>
      <w:lvlJc w:val="left"/>
      <w:pPr>
        <w:tabs>
          <w:tab w:val="num" w:pos="0"/>
        </w:tabs>
        <w:ind w:left="1140" w:hanging="720"/>
      </w:pPr>
      <w:rPr/>
    </w:lvl>
    <w:lvl w:ilvl="3">
      <w:start w:val="1"/>
      <w:numFmt w:val="decimal"/>
      <w:lvlText w:val="%1.%2.%3.%4"/>
      <w:lvlJc w:val="left"/>
      <w:pPr>
        <w:tabs>
          <w:tab w:val="num" w:pos="0"/>
        </w:tabs>
        <w:ind w:left="1350" w:hanging="720"/>
      </w:pPr>
      <w:rPr/>
    </w:lvl>
    <w:lvl w:ilvl="4">
      <w:start w:val="1"/>
      <w:numFmt w:val="decimal"/>
      <w:lvlText w:val="%1.%2.%3.%4.%5"/>
      <w:lvlJc w:val="left"/>
      <w:pPr>
        <w:tabs>
          <w:tab w:val="num" w:pos="0"/>
        </w:tabs>
        <w:ind w:left="1920" w:hanging="1080"/>
      </w:pPr>
      <w:rPr/>
    </w:lvl>
    <w:lvl w:ilvl="5">
      <w:start w:val="1"/>
      <w:numFmt w:val="decimal"/>
      <w:lvlText w:val="%1.%2.%3.%4.%5.%6"/>
      <w:lvlJc w:val="left"/>
      <w:pPr>
        <w:tabs>
          <w:tab w:val="num" w:pos="0"/>
        </w:tabs>
        <w:ind w:left="2130" w:hanging="1080"/>
      </w:pPr>
      <w:rPr/>
    </w:lvl>
    <w:lvl w:ilvl="6">
      <w:start w:val="1"/>
      <w:numFmt w:val="decimal"/>
      <w:lvlText w:val="%1.%2.%3.%4.%5.%6.%7"/>
      <w:lvlJc w:val="left"/>
      <w:pPr>
        <w:tabs>
          <w:tab w:val="num" w:pos="0"/>
        </w:tabs>
        <w:ind w:left="2340" w:hanging="1080"/>
      </w:pPr>
      <w:rPr/>
    </w:lvl>
    <w:lvl w:ilvl="7">
      <w:start w:val="1"/>
      <w:numFmt w:val="decimal"/>
      <w:lvlText w:val="%1.%2.%3.%4.%5.%6.%7.%8"/>
      <w:lvlJc w:val="left"/>
      <w:pPr>
        <w:tabs>
          <w:tab w:val="num" w:pos="0"/>
        </w:tabs>
        <w:ind w:left="2910" w:hanging="1440"/>
      </w:pPr>
      <w:rPr/>
    </w:lvl>
    <w:lvl w:ilvl="8">
      <w:start w:val="1"/>
      <w:numFmt w:val="decimal"/>
      <w:lvlText w:val="%1.%2.%3.%4.%5.%6.%7.%8.%9"/>
      <w:lvlJc w:val="left"/>
      <w:pPr>
        <w:tabs>
          <w:tab w:val="num" w:pos="0"/>
        </w:tabs>
        <w:ind w:left="31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style>
  <w:style w:type="character" w:styleId="Style13">
    <w:name w:val="默认段落字体"/>
    <w:qFormat/>
    <w:rPr/>
  </w:style>
  <w:style w:type="character" w:styleId="PageNumber">
    <w:name w:val="Page Number"/>
    <w:basedOn w:val="Style13"/>
    <w:rPr/>
  </w:style>
  <w:style w:type="character" w:styleId="Style14">
    <w:name w:val="日期 字符"/>
    <w:qFormat/>
    <w:rPr>
      <w:kern w:val="2"/>
      <w:sz w:val="21"/>
    </w:rPr>
  </w:style>
  <w:style w:type="character" w:styleId="Style15">
    <w:name w:val="页眉 字符"/>
    <w:qFormat/>
    <w:rPr>
      <w:kern w:val="2"/>
      <w:sz w:val="18"/>
      <w:szCs w:val="18"/>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6">
    <w:name w:val="日期"/>
    <w:basedOn w:val="Normal"/>
    <w:next w:val="Normal"/>
    <w:qFormat/>
    <w:pPr/>
    <w:rPr>
      <w:kern w:val="2"/>
      <w:sz w:val="21"/>
    </w:rPr>
  </w:style>
  <w:style w:type="paragraph" w:styleId="Style17">
    <w:name w:val="列表段落"/>
    <w:basedOn w:val="Normal"/>
    <w:qFormat/>
    <w:pPr>
      <w:ind w:firstLine="420"/>
    </w:pPr>
    <w:rPr>
      <w:rFonts w:ascii="Calibri" w:hAnsi="Calibri" w:eastAsia="宋体;SimSun" w:cs="Times New Roman"/>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153"/>
        <w:tab w:val="clear" w:pos="8306"/>
        <w:tab w:val="center" w:pos="4535" w:leader="none"/>
        <w:tab w:val="right" w:pos="9070"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2020-05-30T12:34:00Z</dcterms:created>
  <dc:creator>Hu</dc:creator>
  <dc:description/>
  <cp:keywords/>
  <dc:language>en-US</dc:language>
  <cp:lastModifiedBy>husmi</cp:lastModifiedBy>
  <cp:lastPrinted>2013-01-17T14:41:00Z</cp:lastPrinted>
  <dcterms:modified xsi:type="dcterms:W3CDTF">2021-07-07T19:16:00Z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