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jc w:val="center"/>
        <w:rPr>
          <w:rFonts w:ascii="Arial" w:hAnsi="Arial" w:cs="宋体,Bold;方正舒体"/>
          <w:b/>
          <w:b/>
          <w:bCs/>
          <w:kern w:val="0"/>
          <w:sz w:val="24"/>
          <w:szCs w:val="24"/>
        </w:rPr>
      </w:pPr>
      <w:r>
        <w:rPr>
          <w:rFonts w:cs="宋体,Bold;方正舒体" w:ascii="Arial" w:hAnsi="Arial"/>
          <w:b/>
          <w:bCs/>
          <w:kern w:val="0"/>
          <w:sz w:val="24"/>
          <w:szCs w:val="24"/>
        </w:rPr>
      </w:r>
    </w:p>
    <w:p>
      <w:pPr>
        <w:pStyle w:val="Normal"/>
        <w:autoSpaceDE w:val="false"/>
        <w:jc w:val="center"/>
        <w:rPr>
          <w:rFonts w:ascii="Arial" w:hAnsi="Arial" w:cs="宋体,Bold;方正舒体"/>
          <w:b/>
          <w:b/>
          <w:bCs/>
          <w:kern w:val="0"/>
          <w:sz w:val="24"/>
          <w:szCs w:val="24"/>
          <w:lang w:val="en-US" w:eastAsia="zh-CN"/>
        </w:rPr>
      </w:pPr>
      <w:r>
        <w:rPr>
          <w:rFonts w:ascii="Arial" w:hAnsi="Arial" w:cs="宋体,Bold;方正舒体"/>
          <w:b/>
          <w:bCs/>
          <w:kern w:val="0"/>
          <w:sz w:val="24"/>
          <w:szCs w:val="24"/>
          <w:lang w:val="en-US" w:eastAsia="zh-CN"/>
        </w:rPr>
        <w:t>风险和机遇识别评价表</w:t>
      </w:r>
    </w:p>
    <w:p>
      <w:pPr>
        <w:pStyle w:val="Normal"/>
        <w:autoSpaceDE w:val="false"/>
        <w:jc w:val="center"/>
        <w:rPr>
          <w:rFonts w:ascii="Arial" w:hAnsi="Arial" w:cs="宋体,Bold;方正舒体"/>
          <w:b w:val="false"/>
          <w:b w:val="false"/>
          <w:bCs w:val="false"/>
          <w:kern w:val="0"/>
          <w:sz w:val="24"/>
          <w:szCs w:val="24"/>
          <w:lang w:val="en-US" w:eastAsia="zh-CN"/>
        </w:rPr>
      </w:pPr>
      <w:r>
        <w:rPr>
          <w:rFonts w:eastAsia="Arial" w:cs="宋体,Bold;方正舒体" w:ascii="Arial" w:hAnsi="Arial"/>
          <w:b w:val="false"/>
          <w:bCs w:val="false"/>
          <w:kern w:val="0"/>
          <w:sz w:val="24"/>
          <w:szCs w:val="24"/>
          <w:lang w:val="en-US" w:eastAsia="zh-CN"/>
        </w:rPr>
        <w:t xml:space="preserve">                                                     </w:t>
      </w:r>
      <w:r>
        <w:rPr>
          <w:rFonts w:ascii="Arial" w:hAnsi="Arial" w:cs="宋体,Bold;方正舒体"/>
          <w:b w:val="false"/>
          <w:bCs w:val="false"/>
          <w:kern w:val="0"/>
          <w:sz w:val="24"/>
          <w:szCs w:val="24"/>
          <w:lang w:val="en-US" w:eastAsia="zh-CN"/>
        </w:rPr>
        <w:t>编号：</w:t>
      </w:r>
    </w:p>
    <w:tbl>
      <w:tblPr>
        <w:tblW w:w="1030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"/>
        <w:gridCol w:w="457"/>
        <w:gridCol w:w="721"/>
        <w:gridCol w:w="1183"/>
        <w:gridCol w:w="1381"/>
        <w:gridCol w:w="900"/>
        <w:gridCol w:w="900"/>
        <w:gridCol w:w="752"/>
        <w:gridCol w:w="853"/>
        <w:gridCol w:w="1266"/>
        <w:gridCol w:w="1437"/>
      </w:tblGrid>
      <w:tr>
        <w:trPr>
          <w:trHeight w:val="270" w:hRule="atLeast"/>
        </w:trPr>
        <w:tc>
          <w:tcPr>
            <w:tcW w:w="1030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类别：■过程■质量</w:t>
            </w:r>
          </w:p>
        </w:tc>
      </w:tr>
      <w:tr>
        <w:trPr>
          <w:trHeight w:val="570" w:hRule="atLeast"/>
        </w:trPr>
        <w:tc>
          <w:tcPr>
            <w:tcW w:w="887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外部风险和机遇识别评价表</w:t>
            </w:r>
          </w:p>
        </w:tc>
        <w:tc>
          <w:tcPr>
            <w:tcW w:w="143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措施有效性评价</w:t>
            </w:r>
          </w:p>
        </w:tc>
      </w:tr>
      <w:tr>
        <w:trPr>
          <w:trHeight w:val="570" w:hRule="atLeast"/>
        </w:trPr>
        <w:tc>
          <w:tcPr>
            <w:tcW w:w="45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45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类别一</w:t>
            </w:r>
          </w:p>
        </w:tc>
        <w:tc>
          <w:tcPr>
            <w:tcW w:w="72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分类二</w:t>
            </w:r>
          </w:p>
        </w:tc>
        <w:tc>
          <w:tcPr>
            <w:tcW w:w="118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现状</w:t>
            </w:r>
          </w:p>
        </w:tc>
        <w:tc>
          <w:tcPr>
            <w:tcW w:w="138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产生的风险或机遇</w:t>
            </w:r>
          </w:p>
        </w:tc>
        <w:tc>
          <w:tcPr>
            <w:tcW w:w="34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风险分析</w:t>
            </w:r>
          </w:p>
        </w:tc>
        <w:tc>
          <w:tcPr>
            <w:tcW w:w="1266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管理措施</w:t>
            </w:r>
          </w:p>
        </w:tc>
        <w:tc>
          <w:tcPr>
            <w:tcW w:w="143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b/>
                <w:bCs/>
                <w:color w:val="000000"/>
                <w:kern w:val="0"/>
                <w:sz w:val="24"/>
                <w:szCs w:val="24"/>
              </w:rPr>
            </w:r>
          </w:p>
        </w:tc>
      </w:tr>
      <w:tr>
        <w:trPr>
          <w:trHeight w:val="540" w:hRule="atLeast"/>
        </w:trPr>
        <w:tc>
          <w:tcPr>
            <w:tcW w:w="45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b/>
                <w:bCs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45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b/>
                <w:bCs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72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b/>
                <w:bCs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1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b/>
                <w:bCs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38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b/>
                <w:bCs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严重程度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发生频度</w:t>
            </w:r>
          </w:p>
        </w:tc>
        <w:tc>
          <w:tcPr>
            <w:tcW w:w="75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风险值</w:t>
            </w:r>
          </w:p>
        </w:tc>
        <w:tc>
          <w:tcPr>
            <w:tcW w:w="8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风险级别</w:t>
            </w:r>
          </w:p>
        </w:tc>
        <w:tc>
          <w:tcPr>
            <w:tcW w:w="126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b/>
                <w:bCs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43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b/>
                <w:bCs/>
                <w:color w:val="000000"/>
                <w:kern w:val="0"/>
                <w:sz w:val="24"/>
                <w:szCs w:val="24"/>
              </w:rPr>
            </w:r>
          </w:p>
        </w:tc>
      </w:tr>
      <w:tr>
        <w:trPr>
          <w:trHeight w:val="735" w:hRule="atLeast"/>
        </w:trPr>
        <w:tc>
          <w:tcPr>
            <w:tcW w:w="4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外部环境</w:t>
            </w:r>
          </w:p>
        </w:tc>
        <w:tc>
          <w:tcPr>
            <w:tcW w:w="72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18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38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b/>
                <w:bCs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b/>
                <w:bCs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75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b/>
                <w:bCs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8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b/>
                <w:bCs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26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b/>
                <w:bCs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4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</w:tr>
      <w:tr>
        <w:trPr>
          <w:trHeight w:val="735" w:hRule="atLeast"/>
        </w:trPr>
        <w:tc>
          <w:tcPr>
            <w:tcW w:w="4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18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38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75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8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26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4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</w:tr>
      <w:tr>
        <w:trPr>
          <w:trHeight w:val="735" w:hRule="atLeast"/>
        </w:trPr>
        <w:tc>
          <w:tcPr>
            <w:tcW w:w="4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18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38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75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8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26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4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</w:tr>
      <w:tr>
        <w:trPr>
          <w:trHeight w:val="915" w:hRule="atLeast"/>
        </w:trPr>
        <w:tc>
          <w:tcPr>
            <w:tcW w:w="4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45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外部相关方</w:t>
            </w: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18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38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75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8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26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4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</w:tr>
      <w:tr>
        <w:trPr>
          <w:trHeight w:val="705" w:hRule="atLeast"/>
        </w:trPr>
        <w:tc>
          <w:tcPr>
            <w:tcW w:w="4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45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18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38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75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8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26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4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</w:tr>
      <w:tr>
        <w:trPr>
          <w:trHeight w:val="840" w:hRule="atLeast"/>
        </w:trPr>
        <w:tc>
          <w:tcPr>
            <w:tcW w:w="4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  <w:t>18</w:t>
            </w:r>
          </w:p>
        </w:tc>
        <w:tc>
          <w:tcPr>
            <w:tcW w:w="45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72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18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38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75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8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126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14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</w:tr>
      <w:tr>
        <w:trPr>
          <w:trHeight w:val="675" w:hRule="atLeast"/>
        </w:trPr>
        <w:tc>
          <w:tcPr>
            <w:tcW w:w="1030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内部风险和机遇识别评价表</w:t>
            </w:r>
          </w:p>
        </w:tc>
      </w:tr>
      <w:tr>
        <w:trPr>
          <w:trHeight w:val="570" w:hRule="atLeast"/>
        </w:trPr>
        <w:tc>
          <w:tcPr>
            <w:tcW w:w="45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45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类别一</w:t>
            </w:r>
          </w:p>
        </w:tc>
        <w:tc>
          <w:tcPr>
            <w:tcW w:w="72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分类二</w:t>
            </w:r>
          </w:p>
        </w:tc>
        <w:tc>
          <w:tcPr>
            <w:tcW w:w="118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现状</w:t>
            </w:r>
          </w:p>
        </w:tc>
        <w:tc>
          <w:tcPr>
            <w:tcW w:w="138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产生的风险或机遇</w:t>
            </w:r>
          </w:p>
        </w:tc>
        <w:tc>
          <w:tcPr>
            <w:tcW w:w="34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风险分析</w:t>
            </w:r>
          </w:p>
        </w:tc>
        <w:tc>
          <w:tcPr>
            <w:tcW w:w="1266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管理措施</w:t>
            </w:r>
          </w:p>
        </w:tc>
        <w:tc>
          <w:tcPr>
            <w:tcW w:w="143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措施有效性评价</w:t>
            </w:r>
          </w:p>
        </w:tc>
      </w:tr>
      <w:tr>
        <w:trPr>
          <w:trHeight w:val="540" w:hRule="atLeast"/>
        </w:trPr>
        <w:tc>
          <w:tcPr>
            <w:tcW w:w="45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b/>
                <w:bCs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45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b/>
                <w:bCs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72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b/>
                <w:bCs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1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b/>
                <w:bCs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38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b/>
                <w:bCs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严重程度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发生频度</w:t>
            </w:r>
          </w:p>
        </w:tc>
        <w:tc>
          <w:tcPr>
            <w:tcW w:w="75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风险值</w:t>
            </w:r>
          </w:p>
        </w:tc>
        <w:tc>
          <w:tcPr>
            <w:tcW w:w="8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风险级别</w:t>
            </w:r>
          </w:p>
        </w:tc>
        <w:tc>
          <w:tcPr>
            <w:tcW w:w="126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b/>
                <w:bCs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43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b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b/>
                <w:bCs/>
                <w:color w:val="000000"/>
                <w:kern w:val="0"/>
                <w:sz w:val="24"/>
                <w:szCs w:val="24"/>
              </w:rPr>
            </w:r>
          </w:p>
        </w:tc>
      </w:tr>
      <w:tr>
        <w:trPr>
          <w:trHeight w:val="855" w:hRule="atLeast"/>
        </w:trPr>
        <w:tc>
          <w:tcPr>
            <w:tcW w:w="4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5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内部环境</w:t>
            </w:r>
          </w:p>
        </w:tc>
        <w:tc>
          <w:tcPr>
            <w:tcW w:w="72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18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38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75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8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26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4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</w:tr>
      <w:tr>
        <w:trPr>
          <w:trHeight w:val="945" w:hRule="atLeast"/>
        </w:trPr>
        <w:tc>
          <w:tcPr>
            <w:tcW w:w="4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5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72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18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38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75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8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26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4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</w:tr>
      <w:tr>
        <w:trPr>
          <w:trHeight w:val="1050" w:hRule="atLeast"/>
        </w:trPr>
        <w:tc>
          <w:tcPr>
            <w:tcW w:w="4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45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72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18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38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75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8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126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14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</w:tr>
      <w:tr>
        <w:trPr>
          <w:trHeight w:val="990" w:hRule="atLeast"/>
        </w:trPr>
        <w:tc>
          <w:tcPr>
            <w:tcW w:w="4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45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内部相关方</w:t>
            </w:r>
          </w:p>
        </w:tc>
        <w:tc>
          <w:tcPr>
            <w:tcW w:w="72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18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38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b/>
                <w:b/>
                <w:bCs/>
                <w:color w:val="FF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b/>
                <w:bCs/>
                <w:color w:val="FF0000"/>
                <w:kern w:val="0"/>
                <w:sz w:val="24"/>
                <w:szCs w:val="24"/>
              </w:rPr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b/>
                <w:b/>
                <w:bCs/>
                <w:color w:val="FF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b/>
                <w:bCs/>
                <w:color w:val="FF0000"/>
                <w:kern w:val="0"/>
                <w:sz w:val="24"/>
                <w:szCs w:val="24"/>
              </w:rPr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75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8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126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4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</w:tr>
      <w:tr>
        <w:trPr>
          <w:trHeight w:val="1155" w:hRule="atLeast"/>
        </w:trPr>
        <w:tc>
          <w:tcPr>
            <w:tcW w:w="4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5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72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18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38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75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kern w:val="0"/>
                <w:sz w:val="24"/>
                <w:szCs w:val="24"/>
              </w:rPr>
            </w:r>
          </w:p>
        </w:tc>
        <w:tc>
          <w:tcPr>
            <w:tcW w:w="8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26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4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</w:tr>
      <w:tr>
        <w:trPr>
          <w:trHeight w:val="1275" w:hRule="atLeast"/>
        </w:trPr>
        <w:tc>
          <w:tcPr>
            <w:tcW w:w="1030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  <w:p>
            <w:pPr>
              <w:pStyle w:val="Normal"/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编制：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      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日</w:t>
            </w:r>
          </w:p>
          <w:p>
            <w:pPr>
              <w:pStyle w:val="Normal"/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  <w:p>
            <w:pPr>
              <w:pStyle w:val="Normal"/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审核：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      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日</w:t>
            </w:r>
          </w:p>
          <w:p>
            <w:pPr>
              <w:pStyle w:val="Normal"/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  <w:p>
            <w:pPr>
              <w:pStyle w:val="Normal"/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批准：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      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日</w:t>
            </w:r>
          </w:p>
          <w:p>
            <w:pPr>
              <w:pStyle w:val="Normal"/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</w:rPr>
            </w:r>
          </w:p>
        </w:tc>
      </w:tr>
    </w:tbl>
    <w:p>
      <w:pPr>
        <w:pStyle w:val="Normal"/>
        <w:autoSpaceDE w:val="false"/>
        <w:jc w:val="center"/>
        <w:rPr>
          <w:rFonts w:ascii="Arial" w:hAnsi="Arial" w:cs="宋体,Bold;方正舒体"/>
          <w:b w:val="false"/>
          <w:b w:val="false"/>
          <w:bCs w:val="false"/>
          <w:kern w:val="0"/>
          <w:sz w:val="24"/>
          <w:szCs w:val="24"/>
          <w:lang w:val="en-US" w:eastAsia="zh-CN"/>
        </w:rPr>
      </w:pPr>
      <w:r>
        <w:rPr>
          <w:rFonts w:cs="宋体,Bold;方正舒体" w:ascii="Arial" w:hAnsi="Arial"/>
          <w:b w:val="false"/>
          <w:bCs w:val="false"/>
          <w:kern w:val="0"/>
          <w:sz w:val="24"/>
          <w:szCs w:val="24"/>
          <w:lang w:val="en-US" w:eastAsia="zh-CN"/>
        </w:rPr>
      </w:r>
    </w:p>
    <w:p>
      <w:pPr>
        <w:pStyle w:val="Normal"/>
        <w:autoSpaceDE w:val="false"/>
        <w:jc w:val="center"/>
        <w:rPr>
          <w:rFonts w:ascii="Arial" w:hAnsi="Arial" w:cs="宋体,Bold;方正舒体"/>
          <w:b w:val="false"/>
          <w:b w:val="false"/>
          <w:bCs w:val="false"/>
          <w:kern w:val="0"/>
          <w:sz w:val="24"/>
          <w:szCs w:val="24"/>
          <w:lang w:val="en-US" w:eastAsia="zh-CN"/>
        </w:rPr>
      </w:pPr>
      <w:r>
        <w:rPr>
          <w:rFonts w:cs="宋体,Bold;方正舒体" w:ascii="Arial" w:hAnsi="Arial"/>
          <w:b w:val="false"/>
          <w:bCs w:val="false"/>
          <w:kern w:val="0"/>
          <w:sz w:val="24"/>
          <w:szCs w:val="24"/>
          <w:lang w:val="en-US" w:eastAsia="zh-CN"/>
        </w:rPr>
      </w:r>
    </w:p>
    <w:p>
      <w:pPr>
        <w:pStyle w:val="Normal"/>
        <w:autoSpaceDE w:val="false"/>
        <w:ind w:firstLine="7389"/>
        <w:jc w:val="left"/>
        <w:rPr>
          <w:rFonts w:ascii="Arial" w:hAnsi="Arial" w:cs="Arial"/>
          <w:b w:val="false"/>
          <w:b w:val="false"/>
          <w:bCs w:val="false"/>
          <w:kern w:val="0"/>
          <w:sz w:val="24"/>
          <w:szCs w:val="21"/>
          <w:lang w:val="en-US" w:eastAsia="zh-CN"/>
        </w:rPr>
      </w:pPr>
      <w:r>
        <w:rPr>
          <w:rFonts w:cs="Arial" w:ascii="Arial" w:hAnsi="Arial"/>
          <w:b w:val="false"/>
          <w:bCs w:val="false"/>
          <w:kern w:val="0"/>
          <w:sz w:val="24"/>
          <w:szCs w:val="21"/>
          <w:lang w:val="en-US" w:eastAsia="zh-CN"/>
        </w:rPr>
      </w:r>
    </w:p>
    <w:sectPr>
      <w:headerReference w:type="default" r:id="rId2"/>
      <w:footerReference w:type="default" r:id="rId3"/>
      <w:type w:val="nextPage"/>
      <w:pgSz w:w="11906" w:h="16838"/>
      <w:pgMar w:left="737" w:right="624" w:gutter="454" w:header="737" w:top="793" w:footer="737" w:bottom="793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Arial">
    <w:charset w:val="00"/>
    <w:family w:val="swiss"/>
    <w:pitch w:val="default"/>
  </w:font>
  <w:font w:name="宋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7455"/>
      <w:rPr>
        <w:rFonts w:eastAsia="宋体"/>
        <w:color w:val="FF0000"/>
        <w:lang w:val="en-US" w:eastAsia="zh-CN"/>
      </w:rPr>
    </w:pPr>
    <w:r>
      <w:rPr>
        <w:color w:val="FF0000"/>
        <w:lang w:val="en-US" w:eastAsia="zh-CN"/>
      </w:rPr>
      <w:t>生效日期：</w:t>
    </w:r>
    <w:r>
      <w:rPr>
        <w:rFonts w:eastAsia="宋体"/>
        <w:color w:val="FF0000"/>
        <w:lang w:val="en-US" w:eastAsia="zh-CN"/>
      </w:rPr>
      <w:t>2022-07-15</w:t>
    </w:r>
  </w:p>
  <w:tbl>
    <w:tblPr>
      <w:tblW w:w="10099" w:type="dxa"/>
      <w:jc w:val="left"/>
      <w:tblInd w:w="-34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810"/>
      <w:gridCol w:w="4995"/>
      <w:gridCol w:w="1477"/>
      <w:gridCol w:w="1817"/>
    </w:tblGrid>
    <w:tr>
      <w:trPr/>
      <w:tc>
        <w:tcPr>
          <w:tcW w:w="1810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995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风险和机遇识别评价表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81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>
              <w:rFonts w:eastAsia="宋体"/>
              <w:lang w:eastAsia="zh-CN"/>
            </w:rPr>
          </w:pPr>
          <w:r>
            <w:rPr/>
            <w:t>QMS-P</w:t>
          </w:r>
          <w:r>
            <w:rPr>
              <w:lang w:val="en-US" w:eastAsia="zh-CN"/>
            </w:rPr>
            <w:t>30</w:t>
          </w:r>
          <w:r>
            <w:rPr/>
            <w:t>-R</w:t>
          </w:r>
          <w:r>
            <w:rPr>
              <w:lang w:val="en-US" w:eastAsia="zh-CN"/>
            </w:rPr>
            <w:t>3</w:t>
          </w:r>
        </w:p>
      </w:tc>
    </w:tr>
    <w:tr>
      <w:trPr/>
      <w:tc>
        <w:tcPr>
          <w:tcW w:w="6805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szCs w:val="21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81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jc w:val="left"/>
      <w:rPr>
        <w:sz w:val="10"/>
        <w:szCs w:val="10"/>
      </w:rPr>
    </w:pPr>
    <w:r>
      <w:rPr>
        <w:sz w:val="10"/>
        <w:szCs w:val="10"/>
      </w:rPr>
    </w:r>
  </w:p>
</w:hdr>
</file>

<file path=word/settings.xml><?xml version="1.0" encoding="utf-8"?>
<w:settings xmlns:w="http://schemas.openxmlformats.org/wordprocessingml/2006/main">
  <w:zoom w:percent="90"/>
  <w:defaultTabStop w:val="425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val="en-US" w:eastAsia="zh-CN" w:bidi="ar-SA"/>
    </w:rPr>
  </w:style>
  <w:style w:type="character" w:styleId="Style14">
    <w:name w:val="默认段落字体"/>
    <w:qFormat/>
    <w:rPr/>
  </w:style>
  <w:style w:type="character" w:styleId="Style15">
    <w:name w:val="页脚 字符"/>
    <w:qFormat/>
    <w:rPr>
      <w:kern w:val="2"/>
      <w:sz w:val="18"/>
      <w:szCs w:val="18"/>
    </w:rPr>
  </w:style>
  <w:style w:type="character" w:styleId="Style16">
    <w:name w:val="页眉 字符"/>
    <w:qFormat/>
    <w:rPr>
      <w:kern w:val="2"/>
      <w:sz w:val="18"/>
      <w:szCs w:val="18"/>
    </w:rPr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DOCNO">
    <w:name w:val="DOCNO"/>
    <w:basedOn w:val="Normal"/>
    <w:qFormat/>
    <w:pPr>
      <w:widowControl/>
      <w:tabs>
        <w:tab w:val="clear" w:pos="425"/>
        <w:tab w:val="left" w:pos="1890" w:leader="none"/>
        <w:tab w:val="left" w:pos="2520" w:leader="none"/>
      </w:tabs>
      <w:spacing w:lineRule="atLeast" w:line="240"/>
      <w:ind w:right="-72" w:hanging="0"/>
      <w:jc w:val="left"/>
    </w:pPr>
    <w:rPr>
      <w:rFonts w:ascii="Arial" w:hAnsi="Arial" w:cs="Arial"/>
      <w:b/>
      <w:caps/>
      <w:kern w:val="0"/>
      <w:sz w:val="22"/>
      <w:szCs w:val="21"/>
      <w:lang w:eastAsia="en-US"/>
    </w:rPr>
  </w:style>
  <w:style w:type="paragraph" w:styleId="DOCTITLE">
    <w:name w:val="DOCTITLE"/>
    <w:basedOn w:val="DOCNO"/>
    <w:qFormat/>
    <w:pPr>
      <w:tabs>
        <w:tab w:val="clear" w:pos="1890"/>
        <w:tab w:val="clear" w:pos="2520"/>
      </w:tabs>
      <w:ind w:left="900" w:right="-72" w:hanging="900"/>
    </w:pPr>
    <w:rPr>
      <w:i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43200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2020-05-23T16:03:00Z</dcterms:created>
  <dc:creator>q</dc:creator>
  <dc:description/>
  <dc:language>en-US</dc:language>
  <cp:lastModifiedBy>M.Yu</cp:lastModifiedBy>
  <cp:lastPrinted>2007-07-13T10:00:00Z</cp:lastPrinted>
  <dcterms:modified xsi:type="dcterms:W3CDTF">2022-11-09T15:52:16Z</dcterms:modified>
  <cp:revision>5</cp:revision>
  <dc:subject/>
  <dc:title>文件名称：设备验收报告单          文件编号：SC-QP-06-R1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A0EF71E72ADB4FDA919AA051273BE42D</vt:lpwstr>
  </property>
  <property fmtid="{D5CDD505-2E9C-101B-9397-08002B2CF9AE}" pid="3" name="KSOProductBuildVer">
    <vt:lpwstr>2052-11.1.0.12763</vt:lpwstr>
  </property>
  <property fmtid="{D5CDD505-2E9C-101B-9397-08002B2CF9AE}" pid="4" name="commondata">
    <vt:lpwstr>commondata</vt:lpwstr>
  </property>
</Properties>
</file>