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5.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styles.xml" ContentType="application/vnd.openxmlformats-officedocument.wordprocessingml.styles+xml"/>
  <Override PartName="/word/header5.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rPr>
          <w:rFonts w:ascii="宋体" w:hAnsi="宋体" w:cs="宋体"/>
          <w:b/>
          <w:b/>
          <w:sz w:val="32"/>
          <w:szCs w:val="32"/>
          <w:lang w:val="zh-CN"/>
        </w:rPr>
      </w:pPr>
      <w:r>
        <w:rPr>
          <w:rFonts w:cs="宋体" w:ascii="宋体" w:hAnsi="宋体"/>
          <w:b/>
          <w:sz w:val="32"/>
          <w:szCs w:val="32"/>
          <w:lang w:val="zh-CN"/>
        </w:rPr>
      </w:r>
    </w:p>
    <w:p>
      <w:pPr>
        <w:pStyle w:val="Normal"/>
        <w:autoSpaceDE w:val="false"/>
        <w:spacing w:lineRule="exact" w:line="440"/>
        <w:jc w:val="center"/>
        <w:rPr>
          <w:rFonts w:ascii="宋体" w:hAnsi="宋体" w:cs="宋体"/>
          <w:b/>
          <w:b/>
          <w:sz w:val="32"/>
          <w:szCs w:val="32"/>
          <w:lang w:val="zh-CN"/>
        </w:rPr>
      </w:pPr>
      <w:r>
        <w:rPr>
          <w:rFonts w:ascii="宋体" w:hAnsi="宋体" w:cs="宋体"/>
          <w:b/>
          <w:sz w:val="32"/>
          <w:szCs w:val="32"/>
          <w:lang w:val="zh-CN"/>
        </w:rPr>
        <w:t>上海深至信息科技有限公司</w:t>
      </w:r>
    </w:p>
    <w:p>
      <w:pPr>
        <w:pStyle w:val="Normal"/>
        <w:autoSpaceDE w:val="false"/>
        <w:spacing w:lineRule="exact" w:line="440"/>
        <w:jc w:val="center"/>
        <w:rPr>
          <w:rFonts w:ascii="宋体" w:hAnsi="宋体" w:cs="宋体"/>
          <w:b/>
          <w:b/>
          <w:sz w:val="32"/>
          <w:szCs w:val="32"/>
          <w:lang w:val="zh-CN"/>
        </w:rPr>
      </w:pPr>
      <w:r>
        <w:rPr>
          <w:rFonts w:ascii="宋体" w:hAnsi="宋体" w:cs="宋体"/>
          <w:b/>
          <w:sz w:val="32"/>
          <w:szCs w:val="32"/>
          <w:lang w:val="zh-CN"/>
        </w:rPr>
        <w:t>质量管理体系文件</w:t>
      </w:r>
    </w:p>
    <w:p>
      <w:pPr>
        <w:pStyle w:val="Normal"/>
        <w:autoSpaceDE w:val="false"/>
        <w:spacing w:lineRule="exact" w:line="440"/>
        <w:jc w:val="center"/>
        <w:rPr>
          <w:rFonts w:ascii="宋体" w:hAnsi="宋体" w:cs="宋体"/>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cs="宋体" w:ascii="宋体" w:hAnsi="宋体"/>
          <w:b/>
          <w:sz w:val="32"/>
          <w:szCs w:val="32"/>
          <w:lang w:val="zh-CN"/>
        </w:rPr>
        <w:t xml:space="preserve">  </w:t>
      </w:r>
    </w:p>
    <w:p>
      <w:pPr>
        <w:pStyle w:val="Normal"/>
        <w:autoSpaceDE w:val="false"/>
        <w:spacing w:lineRule="exact" w:line="440"/>
        <w:jc w:val="center"/>
        <w:rPr>
          <w:rFonts w:ascii="宋体" w:hAnsi="宋体" w:cs="宋体"/>
          <w:b/>
          <w:b/>
          <w:sz w:val="28"/>
          <w:szCs w:val="28"/>
          <w:lang w:val="zh-CN"/>
        </w:rPr>
      </w:pPr>
      <w:r>
        <w:rPr>
          <w:rFonts w:cs="宋体" w:ascii="宋体" w:hAnsi="宋体"/>
          <w:b/>
          <w:sz w:val="28"/>
          <w:szCs w:val="28"/>
          <w:lang w:val="zh-CN"/>
        </w:rPr>
      </w:r>
    </w:p>
    <w:p>
      <w:pPr>
        <w:pStyle w:val="Normal"/>
        <w:autoSpaceDE w:val="false"/>
        <w:spacing w:lineRule="exact" w:line="440"/>
        <w:rPr>
          <w:rFonts w:ascii="宋体" w:hAnsi="宋体" w:cs="宋体"/>
          <w:b/>
          <w:b/>
          <w:sz w:val="28"/>
          <w:szCs w:val="28"/>
          <w:lang w:val="zh-CN"/>
        </w:rPr>
      </w:pPr>
      <w:r>
        <w:rPr>
          <w:rFonts w:cs="宋体" w:ascii="宋体" w:hAnsi="宋体"/>
          <w:b/>
          <w:sz w:val="28"/>
          <w:szCs w:val="28"/>
          <w:lang w:val="zh-CN"/>
        </w:rPr>
      </w:r>
    </w:p>
    <w:p>
      <w:pPr>
        <w:pStyle w:val="Normal"/>
        <w:autoSpaceDE w:val="false"/>
        <w:spacing w:lineRule="exact" w:line="440"/>
        <w:jc w:val="center"/>
        <w:rPr>
          <w:rFonts w:ascii="宋体" w:hAnsi="宋体" w:cs="宋体"/>
          <w:b/>
          <w:b/>
          <w:sz w:val="32"/>
          <w:szCs w:val="32"/>
          <w:lang w:val="zh-CN"/>
        </w:rPr>
      </w:pPr>
      <w:r>
        <w:rPr>
          <w:rFonts w:ascii="宋体" w:hAnsi="宋体" w:cs="宋体"/>
          <w:b/>
          <w:sz w:val="32"/>
          <w:szCs w:val="32"/>
          <w:lang w:val="zh-CN"/>
        </w:rPr>
        <w:t>纠正预防措施控制程序</w:t>
      </w:r>
    </w:p>
    <w:p>
      <w:pPr>
        <w:pStyle w:val="Normal"/>
        <w:tabs>
          <w:tab w:val="clear" w:pos="420"/>
          <w:tab w:val="left" w:pos="3420" w:leader="none"/>
        </w:tabs>
        <w:autoSpaceDE w:val="false"/>
        <w:spacing w:lineRule="exact" w:line="440"/>
        <w:jc w:val="center"/>
        <w:rPr>
          <w:rFonts w:ascii="宋体" w:hAnsi="宋体" w:cs="宋体"/>
          <w:b/>
          <w:b/>
          <w:sz w:val="30"/>
          <w:szCs w:val="30"/>
          <w:lang w:val="zh-CN"/>
        </w:rPr>
      </w:pPr>
      <w:r>
        <w:rPr>
          <w:rFonts w:cs="宋体" w:ascii="宋体" w:hAnsi="宋体"/>
          <w:b/>
          <w:sz w:val="30"/>
          <w:szCs w:val="30"/>
          <w:lang w:val="zh-CN"/>
        </w:rPr>
      </w:r>
    </w:p>
    <w:p>
      <w:pPr>
        <w:pStyle w:val="Normal"/>
        <w:tabs>
          <w:tab w:val="clear" w:pos="420"/>
          <w:tab w:val="left" w:pos="3420" w:leader="none"/>
        </w:tabs>
        <w:autoSpaceDE w:val="false"/>
        <w:spacing w:lineRule="exact" w:line="440"/>
        <w:jc w:val="center"/>
        <w:rPr>
          <w:rFonts w:ascii="宋体" w:hAnsi="宋体" w:cs="宋体"/>
          <w:b/>
          <w:b/>
          <w:sz w:val="30"/>
          <w:szCs w:val="30"/>
        </w:rPr>
      </w:pPr>
      <w:r>
        <w:rPr>
          <w:rFonts w:cs="宋体" w:ascii="宋体" w:hAnsi="宋体"/>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cs="宋体"/>
                <w:b/>
                <w:b/>
                <w:sz w:val="30"/>
                <w:szCs w:val="30"/>
              </w:rPr>
            </w:pPr>
            <w:r>
              <w:rPr>
                <w:rFonts w:ascii="宋体" w:hAnsi="宋体" w:cs="宋体"/>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cs="宋体"/>
                <w:sz w:val="30"/>
                <w:szCs w:val="30"/>
              </w:rPr>
            </w:pPr>
            <w:r>
              <w:rPr>
                <w:rFonts w:cs="宋体" w:ascii="宋体" w:hAnsi="宋体"/>
                <w:sz w:val="30"/>
                <w:szCs w:val="30"/>
              </w:rPr>
              <w:t>QMS-P25</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cs="宋体"/>
                <w:b/>
                <w:b/>
                <w:sz w:val="30"/>
                <w:szCs w:val="30"/>
              </w:rPr>
            </w:pPr>
            <w:r>
              <w:rPr>
                <w:rFonts w:ascii="宋体" w:hAnsi="宋体" w:cs="宋体"/>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cs="宋体"/>
                <w:sz w:val="30"/>
                <w:szCs w:val="30"/>
              </w:rPr>
            </w:pPr>
            <w:r>
              <w:rPr>
                <w:rFonts w:ascii="宋体" w:hAnsi="宋体" w:cs="宋体"/>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cs="宋体"/>
                <w:b/>
                <w:b/>
                <w:sz w:val="30"/>
                <w:szCs w:val="30"/>
              </w:rPr>
            </w:pPr>
            <w:r>
              <w:rPr>
                <w:rFonts w:ascii="宋体" w:hAnsi="宋体" w:cs="宋体"/>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cs="宋体"/>
                <w:sz w:val="30"/>
                <w:szCs w:val="30"/>
              </w:rPr>
            </w:pPr>
            <w:r>
              <w:rPr>
                <w:rFonts w:cs="宋体" w:ascii="宋体" w:hAnsi="宋体"/>
                <w:sz w:val="30"/>
                <w:szCs w:val="30"/>
              </w:rPr>
              <w:t>A00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cs="宋体"/>
                <w:b/>
                <w:b/>
                <w:sz w:val="30"/>
                <w:szCs w:val="30"/>
              </w:rPr>
            </w:pPr>
            <w:r>
              <w:rPr>
                <w:rFonts w:ascii="宋体" w:hAnsi="宋体" w:cs="宋体"/>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 w:hAnsi="宋体" w:cs="宋体"/>
                <w:b/>
                <w:b/>
                <w:sz w:val="30"/>
                <w:szCs w:val="30"/>
              </w:rPr>
            </w:pPr>
            <w:r>
              <w:rPr>
                <w:rFonts w:cs="宋体" w:ascii="宋体" w:hAnsi="宋体"/>
                <w:b/>
                <w:sz w:val="30"/>
                <w:szCs w:val="30"/>
              </w:rPr>
            </w:r>
          </w:p>
        </w:tc>
      </w:tr>
    </w:tbl>
    <w:p>
      <w:pPr>
        <w:pStyle w:val="Normal"/>
        <w:tabs>
          <w:tab w:val="clear" w:pos="420"/>
          <w:tab w:val="left" w:pos="3420" w:leader="none"/>
        </w:tabs>
        <w:autoSpaceDE w:val="false"/>
        <w:spacing w:lineRule="exact" w:line="440"/>
        <w:jc w:val="center"/>
        <w:rPr>
          <w:rFonts w:ascii="宋体" w:hAnsi="宋体" w:cs="宋体"/>
          <w:b/>
          <w:b/>
          <w:sz w:val="30"/>
          <w:szCs w:val="30"/>
        </w:rPr>
      </w:pPr>
      <w:r>
        <w:rPr>
          <w:rFonts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cs="宋体"/>
          <w:b/>
          <w:b/>
          <w:sz w:val="30"/>
          <w:szCs w:val="30"/>
        </w:rPr>
      </w:pPr>
      <w:r>
        <w:rPr>
          <w:rFonts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cs="宋体"/>
          <w:b/>
          <w:b/>
          <w:sz w:val="30"/>
          <w:szCs w:val="30"/>
        </w:rPr>
      </w:pPr>
      <w:r>
        <w:rPr>
          <w:rFonts w:cs="宋体" w:ascii="宋体" w:hAnsi="宋体"/>
          <w:b/>
          <w:sz w:val="30"/>
          <w:szCs w:val="30"/>
        </w:rPr>
      </w:r>
    </w:p>
    <w:p>
      <w:pPr>
        <w:pStyle w:val="Normal"/>
        <w:tabs>
          <w:tab w:val="clear" w:pos="420"/>
          <w:tab w:val="left" w:pos="3420" w:leader="none"/>
        </w:tabs>
        <w:autoSpaceDE w:val="false"/>
        <w:spacing w:lineRule="auto" w:line="480"/>
        <w:ind w:firstLine="1554"/>
        <w:rPr>
          <w:rFonts w:ascii="宋体" w:hAnsi="宋体" w:cs="宋体"/>
          <w:b/>
          <w:b/>
          <w:sz w:val="30"/>
          <w:szCs w:val="30"/>
        </w:rPr>
      </w:pPr>
      <w:bookmarkStart w:id="0" w:name="_Hlk72919458"/>
      <w:bookmarkEnd w:id="0"/>
      <w:r>
        <w:rPr>
          <w:rFonts w:ascii="宋体" w:hAnsi="宋体" w:cs="宋体"/>
          <w:b/>
          <w:sz w:val="30"/>
          <w:szCs w:val="30"/>
        </w:rPr>
        <w:t>起草人：</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rPr>
        <w:t>日期：</w:t>
      </w:r>
      <w:r>
        <w:rPr>
          <w:rFonts w:ascii="宋体" w:hAnsi="宋体" w:cs="宋体"/>
          <w:b/>
          <w:sz w:val="30"/>
          <w:szCs w:val="30"/>
          <w:u w:val="single"/>
        </w:rPr>
        <w:t xml:space="preserve"> </w:t>
      </w:r>
      <w:r>
        <w:rPr>
          <w:rFonts w:ascii="宋体" w:hAnsi="宋体" w:cs="宋体"/>
          <w:b/>
          <w:sz w:val="30"/>
          <w:szCs w:val="30"/>
          <w:u w:val="single"/>
        </w:rPr>
        <w:t xml:space="preserve">           </w:t>
      </w:r>
    </w:p>
    <w:p>
      <w:pPr>
        <w:pStyle w:val="Normal"/>
        <w:tabs>
          <w:tab w:val="clear" w:pos="420"/>
          <w:tab w:val="left" w:pos="3420" w:leader="none"/>
        </w:tabs>
        <w:autoSpaceDE w:val="false"/>
        <w:spacing w:lineRule="auto" w:line="480"/>
        <w:ind w:firstLine="1554"/>
        <w:rPr>
          <w:rFonts w:ascii="宋体" w:hAnsi="宋体" w:cs="宋体"/>
          <w:b/>
          <w:b/>
          <w:sz w:val="30"/>
          <w:szCs w:val="30"/>
        </w:rPr>
      </w:pPr>
      <w:r>
        <w:rPr>
          <w:rFonts w:ascii="宋体" w:hAnsi="宋体" w:cs="宋体"/>
          <w:b/>
          <w:sz w:val="30"/>
          <w:szCs w:val="30"/>
        </w:rPr>
        <w:t>审核人：</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rPr>
        <w:t>日期：</w:t>
      </w:r>
      <w:r>
        <w:rPr>
          <w:rFonts w:ascii="宋体" w:hAnsi="宋体" w:cs="宋体"/>
          <w:b/>
          <w:sz w:val="30"/>
          <w:szCs w:val="30"/>
          <w:u w:val="single"/>
        </w:rPr>
        <w:t xml:space="preserve"> </w:t>
      </w:r>
      <w:r>
        <w:rPr>
          <w:rFonts w:ascii="宋体" w:hAnsi="宋体" w:cs="宋体"/>
          <w:b/>
          <w:sz w:val="30"/>
          <w:szCs w:val="30"/>
          <w:u w:val="single"/>
        </w:rPr>
        <w:t xml:space="preserve">           </w:t>
      </w:r>
    </w:p>
    <w:p>
      <w:pPr>
        <w:pStyle w:val="Normal"/>
        <w:tabs>
          <w:tab w:val="clear" w:pos="420"/>
          <w:tab w:val="left" w:pos="3420" w:leader="none"/>
        </w:tabs>
        <w:autoSpaceDE w:val="false"/>
        <w:spacing w:lineRule="auto" w:line="480"/>
        <w:ind w:firstLine="1554"/>
        <w:rPr>
          <w:rFonts w:ascii="宋体" w:hAnsi="宋体" w:cs="宋体"/>
          <w:b/>
          <w:b/>
          <w:sz w:val="30"/>
          <w:szCs w:val="30"/>
        </w:rPr>
      </w:pPr>
      <w:r>
        <w:rPr>
          <w:rFonts w:ascii="宋体" w:hAnsi="宋体" w:cs="宋体"/>
          <w:b/>
          <w:sz w:val="30"/>
          <w:szCs w:val="30"/>
        </w:rPr>
        <w:t>批准人：</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rPr>
        <w:t>日期：</w:t>
      </w:r>
      <w:r>
        <w:rPr>
          <w:rFonts w:ascii="宋体" w:hAnsi="宋体" w:cs="宋体"/>
          <w:b/>
          <w:sz w:val="30"/>
          <w:szCs w:val="30"/>
          <w:u w:val="single"/>
        </w:rPr>
        <w:t xml:space="preserve"> </w:t>
      </w:r>
      <w:r>
        <w:rPr>
          <w:rFonts w:ascii="宋体" w:hAnsi="宋体" w:cs="宋体"/>
          <w:b/>
          <w:sz w:val="30"/>
          <w:szCs w:val="30"/>
          <w:u w:val="single"/>
        </w:rPr>
        <w:t xml:space="preserve">           </w:t>
      </w:r>
    </w:p>
    <w:p>
      <w:pPr>
        <w:pStyle w:val="Normal"/>
        <w:ind w:right="-351" w:hanging="0"/>
        <w:rPr>
          <w:rFonts w:ascii="宋体" w:hAnsi="宋体" w:cs="宋体"/>
          <w:b/>
          <w:b/>
          <w:sz w:val="24"/>
          <w:szCs w:val="30"/>
        </w:rPr>
      </w:pPr>
      <w:r>
        <w:rPr>
          <w:rFonts w:cs="宋体" w:ascii="宋体" w:hAnsi="宋体"/>
          <w:b/>
          <w:sz w:val="24"/>
          <w:szCs w:val="30"/>
        </w:rPr>
      </w:r>
      <w:bookmarkStart w:id="1" w:name="_Hlk72919458"/>
      <w:bookmarkStart w:id="2" w:name="_Hlk72919458"/>
      <w:bookmarkEnd w:id="2"/>
    </w:p>
    <w:p>
      <w:pPr>
        <w:pStyle w:val="Normal"/>
        <w:rPr>
          <w:rFonts w:ascii="宋体" w:hAnsi="宋体" w:cs="宋体"/>
          <w:b/>
          <w:b/>
          <w:sz w:val="24"/>
        </w:rPr>
      </w:pPr>
      <w:r>
        <w:rPr>
          <w:rFonts w:cs="宋体" w:ascii="宋体" w:hAnsi="宋体"/>
          <w:b/>
          <w:sz w:val="24"/>
        </w:rPr>
      </w:r>
    </w:p>
    <w:p>
      <w:pPr>
        <w:pStyle w:val="Normal"/>
        <w:ind w:right="-351" w:hanging="0"/>
        <w:rPr>
          <w:rFonts w:ascii="宋体" w:hAnsi="宋体" w:cs="宋体"/>
          <w:b/>
          <w:b/>
          <w:sz w:val="24"/>
        </w:rPr>
      </w:pPr>
      <w:r>
        <w:rPr>
          <w:rFonts w:cs="宋体" w:ascii="宋体" w:hAnsi="宋体"/>
          <w:b/>
          <w:sz w:val="24"/>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2" w:hanging="0"/>
        <w:rPr>
          <w:rFonts w:ascii="宋体" w:hAnsi="宋体" w:cs="宋体"/>
          <w:b/>
          <w:b/>
          <w:sz w:val="24"/>
          <w:u w:val="single"/>
        </w:rPr>
      </w:pPr>
      <w:r>
        <w:rPr>
          <w:rFonts w:cs="宋体" w:ascii="宋体" w:hAnsi="宋体"/>
          <w:b/>
          <w:sz w:val="24"/>
          <w:u w:val="single"/>
        </w:rPr>
        <w:t xml:space="preserve">                                                                               </w:t>
      </w:r>
    </w:p>
    <w:p>
      <w:pPr>
        <w:pStyle w:val="Normal"/>
        <w:tabs>
          <w:tab w:val="clear" w:pos="420"/>
          <w:tab w:val="left" w:pos="7513" w:leader="none"/>
        </w:tabs>
        <w:ind w:right="420" w:firstLine="420"/>
        <w:rPr>
          <w:rFonts w:ascii="宋体" w:hAnsi="宋体" w:cs="宋体"/>
          <w:b/>
          <w:b/>
          <w:szCs w:val="21"/>
        </w:rPr>
      </w:pPr>
      <w:r>
        <w:rPr>
          <w:rFonts w:ascii="宋体" w:hAnsi="宋体" w:cs="宋体"/>
          <w:b/>
          <w:szCs w:val="21"/>
        </w:rPr>
        <w:t>分发部门：质量部、研发部、生产</w:t>
      </w:r>
      <w:r>
        <w:rPr>
          <w:rFonts w:cs="宋体" w:ascii="宋体" w:hAnsi="宋体"/>
          <w:b/>
          <w:szCs w:val="21"/>
        </w:rPr>
        <w:t>/</w:t>
      </w:r>
      <w:r>
        <w:rPr>
          <w:rFonts w:ascii="宋体" w:hAnsi="宋体" w:cs="宋体"/>
          <w:b/>
          <w:szCs w:val="21"/>
        </w:rPr>
        <w:t xml:space="preserve">运维、人事部、行政部、销售部 </w:t>
      </w:r>
      <w:r>
        <w:rPr>
          <w:rFonts w:ascii="宋体" w:hAnsi="宋体" w:cs="宋体"/>
          <w:b/>
          <w:szCs w:val="21"/>
          <w:lang w:val="en-US" w:eastAsia="zh-CN"/>
        </w:rPr>
        <w:t xml:space="preserve">  </w:t>
      </w:r>
      <w:r>
        <w:rPr>
          <w:rFonts w:ascii="宋体" w:hAnsi="宋体" w:cs="宋体"/>
          <w:b/>
          <w:szCs w:val="21"/>
        </w:rPr>
        <w:t xml:space="preserve"> </w:t>
      </w:r>
      <w:r>
        <w:rPr>
          <w:rFonts w:ascii="宋体" w:hAnsi="宋体" w:cs="宋体"/>
          <w:b/>
          <w:color w:val="FF0000"/>
          <w:szCs w:val="21"/>
        </w:rPr>
        <w:t>生效日期：</w:t>
      </w:r>
      <w:r>
        <w:rPr>
          <w:rFonts w:cs="宋体" w:ascii="宋体" w:hAnsi="宋体"/>
          <w:b/>
          <w:color w:val="FF0000"/>
          <w:szCs w:val="21"/>
        </w:rPr>
        <w:t>2</w:t>
      </w:r>
      <w:r>
        <w:rPr>
          <w:rFonts w:cs="宋体" w:ascii="宋体" w:hAnsi="宋体"/>
          <w:b/>
          <w:color w:val="FF0000"/>
          <w:szCs w:val="21"/>
        </w:rPr>
        <w:t>020</w:t>
      </w:r>
      <w:r>
        <w:rPr>
          <w:rFonts w:cs="宋体" w:ascii="宋体" w:hAnsi="宋体"/>
          <w:b/>
          <w:color w:val="FF0000"/>
          <w:szCs w:val="21"/>
        </w:rPr>
        <w:t>-</w:t>
      </w:r>
      <w:r>
        <w:rPr>
          <w:rFonts w:cs="宋体" w:ascii="宋体" w:hAnsi="宋体"/>
          <w:b/>
          <w:color w:val="FF0000"/>
          <w:szCs w:val="21"/>
        </w:rPr>
        <w:t>06</w:t>
      </w:r>
      <w:r>
        <w:rPr>
          <w:rFonts w:cs="宋体" w:ascii="宋体" w:hAnsi="宋体"/>
          <w:b/>
          <w:color w:val="FF0000"/>
          <w:szCs w:val="21"/>
        </w:rPr>
        <w:t>-</w:t>
      </w:r>
      <w:r>
        <w:rPr>
          <w:rFonts w:cs="宋体" w:ascii="宋体" w:hAnsi="宋体"/>
          <w:b/>
          <w:color w:val="FF0000"/>
          <w:szCs w:val="21"/>
        </w:rPr>
        <w:t>22</w:t>
      </w:r>
    </w:p>
    <w:p>
      <w:pPr>
        <w:sectPr>
          <w:headerReference w:type="default" r:id="rId2"/>
          <w:footerReference w:type="default" r:id="rId3"/>
          <w:type w:val="nextPage"/>
          <w:pgSz w:w="11906" w:h="16838"/>
          <w:pgMar w:left="1418" w:right="1418" w:gutter="0" w:header="851" w:top="1134" w:footer="992" w:bottom="1134"/>
          <w:pgNumType w:fmt="decimal"/>
          <w:formProt w:val="false"/>
          <w:textDirection w:val="lrTb"/>
          <w:docGrid w:type="linesAndChars" w:linePitch="312" w:charSpace="0"/>
        </w:sectPr>
      </w:pPr>
    </w:p>
    <w:p>
      <w:pPr>
        <w:pStyle w:val="Normal"/>
        <w:numPr>
          <w:ilvl w:val="0"/>
          <w:numId w:val="0"/>
        </w:numPr>
        <w:rPr>
          <w:rFonts w:ascii="宋体" w:hAnsi="宋体" w:cs="宋体"/>
          <w:b/>
          <w:b/>
          <w:szCs w:val="21"/>
        </w:rPr>
      </w:pPr>
      <w:r>
        <w:rPr>
          <w:rFonts w:cs="宋体" w:ascii="宋体" w:hAnsi="宋体"/>
          <w:b/>
          <w:szCs w:val="21"/>
        </w:rPr>
      </w:r>
    </w:p>
    <w:p>
      <w:pPr>
        <w:sectPr>
          <w:headerReference w:type="default" r:id="rId4"/>
          <w:headerReference w:type="first" r:id="rId5"/>
          <w:footerReference w:type="default" r:id="rId6"/>
          <w:footerReference w:type="first" r:id="rId7"/>
          <w:type w:val="nextPage"/>
          <w:pgSz w:w="11906" w:h="16838"/>
          <w:pgMar w:left="1418" w:right="1276" w:gutter="0" w:header="851" w:top="1134" w:footer="777" w:bottom="1134"/>
          <w:pgNumType w:start="1" w:fmt="decimal"/>
          <w:formProt w:val="false"/>
          <w:titlePg/>
          <w:textDirection w:val="lrTb"/>
          <w:docGrid w:type="lines" w:linePitch="312" w:charSpace="0"/>
        </w:sectPr>
      </w:pPr>
    </w:p>
    <w:p>
      <w:pPr>
        <w:pStyle w:val="Normal"/>
        <w:autoSpaceDE w:val="false"/>
        <w:spacing w:lineRule="auto" w:line="360"/>
        <w:rPr>
          <w:rFonts w:ascii="宋体" w:hAnsi="宋体" w:cs="宋体"/>
          <w:b/>
          <w:b/>
          <w:bCs/>
        </w:rPr>
      </w:pPr>
      <w:r>
        <w:rPr>
          <w:rFonts w:cs="宋体" w:ascii="宋体" w:hAnsi="宋体"/>
          <w:b/>
          <w:bCs/>
        </w:rPr>
        <w:t xml:space="preserve">1. </w:t>
      </w:r>
      <w:r>
        <w:rPr>
          <w:rFonts w:ascii="宋体" w:hAnsi="宋体" w:cs="宋体"/>
          <w:b/>
          <w:bCs/>
        </w:rPr>
        <w:t xml:space="preserve">目的： </w:t>
      </w:r>
      <w:r>
        <w:rPr>
          <w:rFonts w:ascii="宋体" w:hAnsi="宋体" w:cs="宋体"/>
        </w:rPr>
        <w:t>规范为消除实际或潜在的不合格而采取纠正预防措施的流程，以确保类似或潜在不合格不再发生，促进质量管理体系的持续改进。</w:t>
      </w:r>
    </w:p>
    <w:p>
      <w:pPr>
        <w:pStyle w:val="Normal"/>
        <w:autoSpaceDE w:val="false"/>
        <w:spacing w:lineRule="auto" w:line="360"/>
        <w:rPr>
          <w:rFonts w:ascii="宋体" w:hAnsi="宋体" w:cs="宋体"/>
          <w:b/>
          <w:b/>
          <w:bCs/>
        </w:rPr>
      </w:pPr>
      <w:r>
        <w:rPr>
          <w:rFonts w:cs="宋体" w:ascii="宋体" w:hAnsi="宋体"/>
          <w:b/>
          <w:bCs/>
        </w:rPr>
        <w:t xml:space="preserve">2. </w:t>
      </w:r>
      <w:r>
        <w:rPr>
          <w:rFonts w:ascii="宋体" w:hAnsi="宋体" w:cs="宋体"/>
          <w:b/>
          <w:bCs/>
        </w:rPr>
        <w:t>范围</w:t>
      </w:r>
      <w:r>
        <w:rPr>
          <w:rFonts w:ascii="宋体" w:hAnsi="宋体" w:cs="宋体"/>
        </w:rPr>
        <w:t>：适用于本公司质量管理体系范围内纠正和预防措施的启动、原因分析、措施制定、实施与跟踪评估。</w:t>
      </w:r>
    </w:p>
    <w:p>
      <w:pPr>
        <w:pStyle w:val="Normal"/>
        <w:autoSpaceDE w:val="false"/>
        <w:spacing w:lineRule="auto" w:line="360"/>
        <w:rPr>
          <w:rFonts w:ascii="宋体" w:hAnsi="宋体" w:cs="宋体"/>
          <w:b/>
          <w:b/>
          <w:bCs/>
        </w:rPr>
      </w:pPr>
      <w:r>
        <w:rPr>
          <w:rFonts w:cs="宋体" w:ascii="宋体" w:hAnsi="宋体"/>
        </w:rPr>
        <w:t xml:space="preserve">3. </w:t>
      </w:r>
      <w:r>
        <w:rPr>
          <w:rFonts w:ascii="宋体" w:hAnsi="宋体" w:cs="宋体"/>
          <w:b/>
          <w:bCs/>
        </w:rPr>
        <w:t>职责</w:t>
      </w:r>
    </w:p>
    <w:p>
      <w:pPr>
        <w:pStyle w:val="Normal"/>
        <w:autoSpaceDE w:val="false"/>
        <w:spacing w:lineRule="auto" w:line="360"/>
        <w:ind w:left="525" w:hanging="105"/>
        <w:rPr>
          <w:rFonts w:ascii="宋体" w:hAnsi="宋体" w:cs="宋体"/>
        </w:rPr>
      </w:pPr>
      <w:r>
        <w:rPr>
          <w:rFonts w:cs="宋体" w:ascii="宋体" w:hAnsi="宋体"/>
        </w:rPr>
        <w:t xml:space="preserve">3.1 </w:t>
      </w:r>
      <w:r>
        <w:rPr>
          <w:rFonts w:ascii="宋体" w:hAnsi="宋体" w:cs="宋体"/>
        </w:rPr>
        <w:t>质量管理体系内各部门负责将质量管理体系持续改进的机会，包括不合格情况、潜在不合格情况、改进机会反馈至质量部</w:t>
      </w:r>
      <w:r>
        <w:rPr>
          <w:rFonts w:cs="宋体" w:ascii="宋体" w:hAnsi="宋体"/>
        </w:rPr>
        <w:t>QA</w:t>
      </w:r>
      <w:r>
        <w:rPr>
          <w:rFonts w:ascii="宋体" w:hAnsi="宋体" w:cs="宋体"/>
        </w:rPr>
        <w:t>。</w:t>
      </w:r>
    </w:p>
    <w:p>
      <w:pPr>
        <w:pStyle w:val="Normal"/>
        <w:autoSpaceDE w:val="false"/>
        <w:spacing w:lineRule="auto" w:line="360"/>
        <w:ind w:left="420" w:hanging="0"/>
        <w:rPr>
          <w:rFonts w:ascii="宋体" w:hAnsi="宋体" w:cs="宋体"/>
        </w:rPr>
      </w:pPr>
      <w:r>
        <w:rPr>
          <w:rFonts w:cs="宋体" w:ascii="宋体" w:hAnsi="宋体"/>
        </w:rPr>
        <w:t xml:space="preserve">3.2 </w:t>
      </w:r>
      <w:r>
        <w:rPr>
          <w:rFonts w:ascii="宋体" w:hAnsi="宋体" w:cs="宋体"/>
        </w:rPr>
        <w:t>质量部</w:t>
      </w:r>
      <w:r>
        <w:rPr>
          <w:rFonts w:cs="宋体" w:ascii="宋体" w:hAnsi="宋体"/>
        </w:rPr>
        <w:t>QA</w:t>
      </w:r>
      <w:r>
        <w:rPr>
          <w:rFonts w:ascii="宋体" w:hAnsi="宋体" w:cs="宋体"/>
        </w:rPr>
        <w:t>是纠正预防措施的统筹管理部门，负责对改进的机会进行分析评价，评审采取纠正预防措施的必要性，确定调查部门对改进机会进行调查，并根据调查结果确定改进部门或改进流程</w:t>
      </w:r>
      <w:r>
        <w:rPr>
          <w:rFonts w:cs="宋体" w:ascii="宋体" w:hAnsi="宋体"/>
        </w:rPr>
        <w:t>,</w:t>
      </w:r>
      <w:r>
        <w:rPr>
          <w:rFonts w:ascii="宋体" w:hAnsi="宋体" w:cs="宋体"/>
        </w:rPr>
        <w:t>评审改进部门制定的纠正预防措施，跟踪纠正预防措施的实施情况，评估纠正预防措施的有效性。并对所有纠正预防措施进行归档整理。</w:t>
      </w:r>
    </w:p>
    <w:p>
      <w:pPr>
        <w:pStyle w:val="Normal"/>
        <w:autoSpaceDE w:val="false"/>
        <w:spacing w:lineRule="auto" w:line="360"/>
        <w:ind w:firstLine="315"/>
        <w:rPr>
          <w:rFonts w:ascii="宋体" w:hAnsi="宋体" w:cs="宋体"/>
        </w:rPr>
      </w:pPr>
      <w:r>
        <w:rPr>
          <w:rFonts w:cs="宋体" w:ascii="宋体" w:hAnsi="宋体"/>
        </w:rPr>
        <w:t xml:space="preserve">3.3. </w:t>
      </w:r>
      <w:r>
        <w:rPr>
          <w:rFonts w:ascii="宋体" w:hAnsi="宋体" w:cs="宋体"/>
        </w:rPr>
        <w:t>改进部门负责制订和评审纠正预防措施，并确保纠正预防措施按要求有效的执行。</w:t>
      </w:r>
    </w:p>
    <w:p>
      <w:pPr>
        <w:pStyle w:val="Normal"/>
        <w:autoSpaceDE w:val="false"/>
        <w:spacing w:lineRule="auto" w:line="360"/>
        <w:rPr>
          <w:rFonts w:ascii="宋体" w:hAnsi="宋体" w:cs="宋体"/>
          <w:b/>
          <w:b/>
          <w:bCs/>
        </w:rPr>
      </w:pPr>
      <w:r>
        <w:rPr>
          <w:rFonts w:cs="宋体" w:ascii="宋体" w:hAnsi="宋体"/>
          <w:b/>
          <w:bCs/>
        </w:rPr>
        <w:t xml:space="preserve">4. </w:t>
      </w:r>
      <w:r>
        <w:rPr>
          <w:rFonts w:ascii="宋体" w:hAnsi="宋体" w:cs="宋体"/>
          <w:b/>
          <w:bCs/>
        </w:rPr>
        <w:t>定义</w:t>
      </w:r>
    </w:p>
    <w:p>
      <w:pPr>
        <w:pStyle w:val="Normal"/>
        <w:autoSpaceDE w:val="false"/>
        <w:spacing w:lineRule="auto" w:line="360"/>
        <w:ind w:firstLine="424"/>
        <w:rPr>
          <w:rFonts w:ascii="宋体" w:hAnsi="宋体" w:cs="宋体"/>
        </w:rPr>
      </w:pPr>
      <w:r>
        <w:rPr>
          <w:rFonts w:cs="宋体" w:ascii="宋体" w:hAnsi="宋体"/>
        </w:rPr>
        <w:t xml:space="preserve">4.1. </w:t>
      </w:r>
      <w:r>
        <w:rPr>
          <w:rFonts w:ascii="宋体" w:hAnsi="宋体" w:cs="宋体"/>
        </w:rPr>
        <w:t>纠正：为消除已发现的不合格所采取的措施。</w:t>
      </w:r>
    </w:p>
    <w:p>
      <w:pPr>
        <w:pStyle w:val="Normal"/>
        <w:autoSpaceDE w:val="false"/>
        <w:spacing w:lineRule="auto" w:line="360"/>
        <w:ind w:firstLine="424"/>
        <w:rPr>
          <w:rFonts w:ascii="宋体" w:hAnsi="宋体" w:cs="宋体"/>
        </w:rPr>
      </w:pPr>
      <w:r>
        <w:rPr>
          <w:rFonts w:cs="宋体" w:ascii="宋体" w:hAnsi="宋体"/>
        </w:rPr>
        <w:t xml:space="preserve">4.2. </w:t>
      </w:r>
      <w:r>
        <w:rPr>
          <w:rFonts w:ascii="宋体" w:hAnsi="宋体" w:cs="宋体"/>
        </w:rPr>
        <w:t>纠正措施：为了消除已经出现的不合格或其它不期望情况的原因所采取的措施。</w:t>
      </w:r>
    </w:p>
    <w:p>
      <w:pPr>
        <w:pStyle w:val="Normal"/>
        <w:autoSpaceDE w:val="false"/>
        <w:spacing w:lineRule="auto" w:line="360"/>
        <w:ind w:firstLine="424"/>
        <w:rPr>
          <w:rFonts w:ascii="宋体" w:hAnsi="宋体" w:cs="宋体"/>
        </w:rPr>
      </w:pPr>
      <w:r>
        <w:rPr>
          <w:rFonts w:cs="宋体" w:ascii="宋体" w:hAnsi="宋体"/>
        </w:rPr>
        <w:t xml:space="preserve">4.3. </w:t>
      </w:r>
      <w:r>
        <w:rPr>
          <w:rFonts w:ascii="宋体" w:hAnsi="宋体" w:cs="宋体"/>
        </w:rPr>
        <w:t>预防措施：为消除潜在不合格或其它不期望情况的原因所采取的措施。</w:t>
      </w:r>
    </w:p>
    <w:p>
      <w:pPr>
        <w:pStyle w:val="Normal"/>
        <w:autoSpaceDE w:val="false"/>
        <w:spacing w:lineRule="auto" w:line="360"/>
        <w:rPr>
          <w:rFonts w:ascii="宋体" w:hAnsi="宋体" w:cs="宋体"/>
          <w:b/>
          <w:b/>
          <w:bCs/>
        </w:rPr>
      </w:pPr>
      <w:r>
        <w:rPr>
          <w:rFonts w:cs="宋体" w:ascii="宋体" w:hAnsi="宋体"/>
          <w:b/>
          <w:bCs/>
        </w:rPr>
        <w:t xml:space="preserve">5. </w:t>
      </w:r>
      <w:r>
        <w:rPr>
          <w:rFonts w:ascii="宋体" w:hAnsi="宋体" w:cs="宋体"/>
          <w:b/>
          <w:bCs/>
        </w:rPr>
        <w:t>工作流程</w:t>
      </w:r>
    </w:p>
    <w:p>
      <w:pPr>
        <w:pStyle w:val="Normal"/>
        <w:autoSpaceDE w:val="false"/>
        <w:spacing w:lineRule="auto" w:line="360"/>
        <w:rPr>
          <w:rFonts w:ascii="宋体" w:hAnsi="宋体" w:cs="宋体"/>
          <w:b/>
          <w:b/>
        </w:rPr>
      </w:pPr>
      <w:r>
        <w:rPr>
          <w:rFonts w:cs="宋体" w:ascii="宋体" w:hAnsi="宋体"/>
          <w:b/>
        </w:rPr>
        <w:t xml:space="preserve">5.1. </w:t>
      </w:r>
      <w:r>
        <w:rPr>
          <w:rFonts w:ascii="宋体" w:hAnsi="宋体" w:cs="宋体"/>
          <w:b/>
        </w:rPr>
        <w:t>纠正和预防措施的启动</w:t>
      </w:r>
    </w:p>
    <w:p>
      <w:pPr>
        <w:pStyle w:val="Normal"/>
        <w:autoSpaceDE w:val="false"/>
        <w:spacing w:lineRule="auto" w:line="360"/>
        <w:ind w:firstLine="420"/>
        <w:rPr>
          <w:rFonts w:ascii="宋体" w:hAnsi="宋体" w:cs="宋体"/>
        </w:rPr>
      </w:pPr>
      <w:r>
        <w:rPr>
          <w:rFonts w:cs="宋体" w:ascii="宋体" w:hAnsi="宋体"/>
        </w:rPr>
        <w:t xml:space="preserve">5.1.1. </w:t>
      </w:r>
      <w:r>
        <w:rPr>
          <w:rFonts w:ascii="宋体" w:hAnsi="宋体" w:cs="宋体"/>
        </w:rPr>
        <w:t>启动纠正和预防措施的信息常源自于（但不仅限）以下方面：</w:t>
      </w:r>
    </w:p>
    <w:p>
      <w:pPr>
        <w:pStyle w:val="Normal"/>
        <w:autoSpaceDE w:val="false"/>
        <w:spacing w:lineRule="auto" w:line="360"/>
        <w:ind w:firstLine="735"/>
        <w:rPr>
          <w:rFonts w:ascii="宋体" w:hAnsi="宋体" w:cs="宋体"/>
        </w:rPr>
      </w:pPr>
      <w:r>
        <w:rPr>
          <w:rFonts w:cs="宋体" w:ascii="宋体" w:hAnsi="宋体"/>
        </w:rPr>
        <w:t xml:space="preserve">a. </w:t>
      </w:r>
      <w:r>
        <w:rPr>
          <w:rFonts w:ascii="宋体" w:hAnsi="宋体" w:cs="宋体"/>
        </w:rPr>
        <w:t>软件问题报告、不合格；</w:t>
      </w:r>
    </w:p>
    <w:p>
      <w:pPr>
        <w:pStyle w:val="Normal"/>
        <w:autoSpaceDE w:val="false"/>
        <w:spacing w:lineRule="auto" w:line="360"/>
        <w:ind w:firstLine="735"/>
        <w:rPr>
          <w:rFonts w:ascii="宋体" w:hAnsi="宋体" w:cs="宋体"/>
        </w:rPr>
      </w:pPr>
      <w:r>
        <w:rPr>
          <w:rFonts w:cs="宋体" w:ascii="宋体" w:hAnsi="宋体"/>
        </w:rPr>
        <w:t xml:space="preserve">b. </w:t>
      </w:r>
      <w:r>
        <w:rPr>
          <w:rFonts w:ascii="宋体" w:hAnsi="宋体" w:cs="宋体"/>
        </w:rPr>
        <w:t>体系审核与评审（包括管理评审、内部质量体系审核、第三方审核、顾客的第二方审核）；</w:t>
      </w:r>
    </w:p>
    <w:p>
      <w:pPr>
        <w:pStyle w:val="Normal"/>
        <w:autoSpaceDE w:val="false"/>
        <w:spacing w:lineRule="auto" w:line="360"/>
        <w:ind w:firstLine="735"/>
        <w:rPr>
          <w:rFonts w:ascii="宋体" w:hAnsi="宋体" w:cs="宋体"/>
        </w:rPr>
      </w:pPr>
      <w:r>
        <w:rPr>
          <w:rFonts w:cs="宋体" w:ascii="宋体" w:hAnsi="宋体"/>
        </w:rPr>
        <w:t xml:space="preserve">c. </w:t>
      </w:r>
      <w:r>
        <w:rPr>
          <w:rFonts w:ascii="宋体" w:hAnsi="宋体" w:cs="宋体"/>
        </w:rPr>
        <w:t>过程偏差或者异常；</w:t>
      </w:r>
    </w:p>
    <w:p>
      <w:pPr>
        <w:pStyle w:val="Normal"/>
        <w:autoSpaceDE w:val="false"/>
        <w:spacing w:lineRule="auto" w:line="360"/>
        <w:ind w:firstLine="735"/>
        <w:rPr>
          <w:rFonts w:ascii="宋体" w:hAnsi="宋体" w:cs="宋体"/>
        </w:rPr>
      </w:pPr>
      <w:r>
        <w:rPr>
          <w:rFonts w:cs="宋体" w:ascii="宋体" w:hAnsi="宋体"/>
        </w:rPr>
        <w:t xml:space="preserve">d. </w:t>
      </w:r>
      <w:r>
        <w:rPr>
          <w:rFonts w:ascii="宋体" w:hAnsi="宋体" w:cs="宋体"/>
        </w:rPr>
        <w:t>变更；</w:t>
      </w:r>
    </w:p>
    <w:p>
      <w:pPr>
        <w:pStyle w:val="Normal"/>
        <w:autoSpaceDE w:val="false"/>
        <w:spacing w:lineRule="auto" w:line="360"/>
        <w:ind w:firstLine="735"/>
        <w:rPr>
          <w:rFonts w:ascii="宋体" w:hAnsi="宋体" w:cs="宋体"/>
        </w:rPr>
      </w:pPr>
      <w:r>
        <w:rPr>
          <w:rFonts w:cs="宋体" w:ascii="宋体" w:hAnsi="宋体"/>
        </w:rPr>
        <w:t xml:space="preserve">e. </w:t>
      </w:r>
      <w:r>
        <w:rPr>
          <w:rFonts w:ascii="宋体" w:hAnsi="宋体" w:cs="宋体"/>
        </w:rPr>
        <w:t>顾客抱怨或市场反馈；</w:t>
      </w:r>
    </w:p>
    <w:p>
      <w:pPr>
        <w:pStyle w:val="Normal"/>
        <w:autoSpaceDE w:val="false"/>
        <w:spacing w:lineRule="auto" w:line="360"/>
        <w:ind w:firstLine="707"/>
        <w:rPr>
          <w:rFonts w:ascii="宋体" w:hAnsi="宋体" w:cs="宋体"/>
        </w:rPr>
      </w:pPr>
      <w:r>
        <w:rPr>
          <w:rFonts w:cs="宋体" w:ascii="宋体" w:hAnsi="宋体"/>
        </w:rPr>
        <w:t xml:space="preserve">f. </w:t>
      </w:r>
      <w:r>
        <w:rPr>
          <w:rFonts w:ascii="宋体" w:hAnsi="宋体" w:cs="宋体"/>
        </w:rPr>
        <w:t xml:space="preserve">产品退回和产品召回；； </w:t>
      </w:r>
    </w:p>
    <w:p>
      <w:pPr>
        <w:pStyle w:val="Normal"/>
        <w:autoSpaceDE w:val="false"/>
        <w:spacing w:lineRule="auto" w:line="360"/>
        <w:ind w:firstLine="735"/>
        <w:rPr>
          <w:rFonts w:ascii="宋体" w:hAnsi="宋体" w:cs="宋体"/>
        </w:rPr>
      </w:pPr>
      <w:r>
        <w:rPr>
          <w:rFonts w:cs="宋体" w:ascii="宋体" w:hAnsi="宋体"/>
        </w:rPr>
        <w:t xml:space="preserve">g. </w:t>
      </w:r>
      <w:r>
        <w:rPr>
          <w:rFonts w:ascii="宋体" w:hAnsi="宋体" w:cs="宋体"/>
        </w:rPr>
        <w:t>工艺分析和改进；</w:t>
      </w:r>
    </w:p>
    <w:p>
      <w:pPr>
        <w:pStyle w:val="Normal"/>
        <w:autoSpaceDE w:val="false"/>
        <w:spacing w:lineRule="auto" w:line="360"/>
        <w:ind w:firstLine="735"/>
        <w:rPr>
          <w:rFonts w:ascii="宋体" w:hAnsi="宋体" w:cs="宋体"/>
        </w:rPr>
      </w:pPr>
      <w:r>
        <w:rPr>
          <w:rFonts w:cs="宋体" w:ascii="宋体" w:hAnsi="宋体"/>
        </w:rPr>
        <w:t xml:space="preserve">h. </w:t>
      </w:r>
      <w:r>
        <w:rPr>
          <w:rFonts w:ascii="宋体" w:hAnsi="宋体" w:cs="宋体"/>
        </w:rPr>
        <w:t>数据分析</w:t>
      </w:r>
      <w:r>
        <w:rPr>
          <w:rFonts w:cs="宋体" w:ascii="宋体" w:hAnsi="宋体"/>
        </w:rPr>
        <w:t>/</w:t>
      </w:r>
      <w:r>
        <w:rPr>
          <w:rFonts w:ascii="宋体" w:hAnsi="宋体" w:cs="宋体"/>
        </w:rPr>
        <w:t>趋势分析；</w:t>
      </w:r>
    </w:p>
    <w:p>
      <w:pPr>
        <w:pStyle w:val="Normal"/>
        <w:autoSpaceDE w:val="false"/>
        <w:spacing w:lineRule="auto" w:line="360"/>
        <w:ind w:firstLine="735"/>
        <w:rPr>
          <w:rFonts w:ascii="宋体" w:hAnsi="宋体" w:cs="宋体"/>
        </w:rPr>
      </w:pPr>
      <w:r>
        <w:rPr>
          <w:rFonts w:cs="宋体" w:ascii="宋体" w:hAnsi="宋体"/>
        </w:rPr>
        <w:t xml:space="preserve">i. </w:t>
      </w:r>
      <w:r>
        <w:rPr>
          <w:rFonts w:ascii="宋体" w:hAnsi="宋体" w:cs="宋体"/>
        </w:rPr>
        <w:t>忠告性通知；</w:t>
      </w:r>
    </w:p>
    <w:p>
      <w:pPr>
        <w:pStyle w:val="Normal"/>
        <w:spacing w:lineRule="auto" w:line="360"/>
        <w:ind w:firstLine="420"/>
        <w:jc w:val="left"/>
        <w:textAlignment w:val="baseline"/>
        <w:rPr>
          <w:rFonts w:ascii="宋体" w:hAnsi="宋体" w:cs="宋体"/>
          <w:kern w:val="0"/>
          <w:szCs w:val="21"/>
        </w:rPr>
      </w:pPr>
      <w:r>
        <w:rPr>
          <w:rFonts w:cs="宋体" w:ascii="宋体" w:hAnsi="宋体"/>
        </w:rPr>
        <w:t xml:space="preserve">5.1.2. </w:t>
      </w:r>
      <w:r>
        <w:rPr>
          <w:rFonts w:ascii="宋体" w:hAnsi="宋体" w:cs="宋体"/>
        </w:rPr>
        <w:t>纠正和预防措施的</w:t>
      </w:r>
      <w:r>
        <w:rPr>
          <w:rFonts w:ascii="宋体" w:hAnsi="宋体" w:cs="宋体"/>
          <w:kern w:val="0"/>
          <w:szCs w:val="21"/>
        </w:rPr>
        <w:t>启动时机</w:t>
      </w:r>
    </w:p>
    <w:p>
      <w:pPr>
        <w:pStyle w:val="Normal"/>
        <w:spacing w:lineRule="auto" w:line="360"/>
        <w:ind w:firstLine="630"/>
        <w:jc w:val="left"/>
        <w:textAlignment w:val="baseline"/>
        <w:rPr>
          <w:rFonts w:ascii="宋体" w:hAnsi="宋体" w:cs="宋体"/>
          <w:kern w:val="0"/>
          <w:szCs w:val="21"/>
        </w:rPr>
      </w:pPr>
      <w:r>
        <w:rPr>
          <w:rFonts w:cs="宋体" w:ascii="宋体" w:hAnsi="宋体"/>
          <w:kern w:val="0"/>
          <w:szCs w:val="21"/>
        </w:rPr>
        <w:t>1</w:t>
      </w:r>
      <w:r>
        <w:rPr>
          <w:rFonts w:ascii="宋体" w:hAnsi="宋体" w:cs="宋体"/>
          <w:kern w:val="0"/>
          <w:szCs w:val="21"/>
        </w:rPr>
        <w:t>）纠正措施针对的是已经发生的不合格，如软件问题、不合格、审核发现、被确认的客户投诉、过程偏差等。</w:t>
      </w:r>
    </w:p>
    <w:p>
      <w:pPr>
        <w:pStyle w:val="Normal"/>
        <w:spacing w:lineRule="auto" w:line="360"/>
        <w:ind w:firstLine="630"/>
        <w:jc w:val="left"/>
        <w:textAlignment w:val="baseline"/>
        <w:rPr>
          <w:rFonts w:ascii="宋体" w:hAnsi="宋体" w:cs="宋体"/>
          <w:kern w:val="0"/>
          <w:szCs w:val="21"/>
        </w:rPr>
      </w:pPr>
      <w:r>
        <w:rPr>
          <w:rFonts w:cs="宋体" w:ascii="宋体" w:hAnsi="宋体"/>
          <w:kern w:val="0"/>
          <w:szCs w:val="21"/>
        </w:rPr>
        <w:t>2</w:t>
      </w:r>
      <w:r>
        <w:rPr>
          <w:rFonts w:ascii="宋体" w:hAnsi="宋体" w:cs="宋体"/>
          <w:kern w:val="0"/>
          <w:szCs w:val="21"/>
        </w:rPr>
        <w:t>）预防措施针对的是潜在不合格，如通过数据分析、管理评审或日常管理中发现的潜在不符合事实。</w:t>
      </w:r>
    </w:p>
    <w:p>
      <w:pPr>
        <w:pStyle w:val="Normal"/>
        <w:spacing w:lineRule="auto" w:line="360"/>
        <w:ind w:firstLine="420"/>
        <w:jc w:val="left"/>
        <w:textAlignment w:val="baseline"/>
        <w:rPr>
          <w:rFonts w:ascii="宋体" w:hAnsi="宋体" w:cs="宋体"/>
          <w:kern w:val="0"/>
          <w:szCs w:val="21"/>
        </w:rPr>
      </w:pPr>
      <w:r>
        <w:rPr>
          <w:rFonts w:cs="宋体" w:ascii="宋体" w:hAnsi="宋体"/>
        </w:rPr>
        <w:t xml:space="preserve">5.1.3 </w:t>
      </w:r>
      <w:r>
        <w:rPr>
          <w:rFonts w:ascii="宋体" w:hAnsi="宋体" w:cs="宋体"/>
        </w:rPr>
        <w:t>纠正和预防措施的</w:t>
      </w:r>
      <w:r>
        <w:rPr>
          <w:rFonts w:ascii="宋体" w:hAnsi="宋体" w:cs="宋体"/>
          <w:kern w:val="0"/>
          <w:szCs w:val="21"/>
        </w:rPr>
        <w:t>发起</w:t>
      </w:r>
    </w:p>
    <w:p>
      <w:pPr>
        <w:pStyle w:val="Normal"/>
        <w:autoSpaceDE w:val="false"/>
        <w:spacing w:lineRule="auto" w:line="360"/>
        <w:ind w:left="420" w:firstLine="420"/>
        <w:rPr>
          <w:rFonts w:ascii="宋体" w:hAnsi="宋体" w:cs="宋体"/>
        </w:rPr>
      </w:pPr>
      <w:r>
        <w:rPr>
          <w:rFonts w:ascii="宋体" w:hAnsi="宋体" w:cs="宋体"/>
        </w:rPr>
        <w:t>纠正预防措施的提出部门及时将不合格（潜在不合格）的信息反馈至质量部</w:t>
      </w:r>
      <w:r>
        <w:rPr>
          <w:rFonts w:cs="宋体" w:ascii="宋体" w:hAnsi="宋体"/>
        </w:rPr>
        <w:t>QA</w:t>
      </w:r>
      <w:r>
        <w:rPr>
          <w:rFonts w:ascii="宋体" w:hAnsi="宋体" w:cs="宋体"/>
        </w:rPr>
        <w:t>，由质量部</w:t>
      </w:r>
      <w:r>
        <w:rPr>
          <w:rFonts w:cs="宋体" w:ascii="宋体" w:hAnsi="宋体"/>
        </w:rPr>
        <w:t>QA</w:t>
      </w:r>
      <w:r>
        <w:rPr>
          <w:rFonts w:ascii="宋体" w:hAnsi="宋体" w:cs="宋体"/>
        </w:rPr>
        <w:t>协同相关部门评审采取纠正预防措施必要性。提出部门填写《纠正预防措施单》中</w:t>
      </w:r>
      <w:r>
        <w:rPr>
          <w:rFonts w:cs="宋体" w:ascii="宋体" w:hAnsi="宋体"/>
        </w:rPr>
        <w:t>Section A:</w:t>
      </w:r>
      <w:r>
        <w:rPr>
          <w:rFonts w:ascii="宋体" w:hAnsi="宋体" w:cs="宋体"/>
        </w:rPr>
        <w:t>不合格（潜在不合格）描述，描述时应针对不合格（潜在不合格）的事实进行陈述。</w:t>
      </w:r>
    </w:p>
    <w:p>
      <w:pPr>
        <w:pStyle w:val="Normal"/>
        <w:spacing w:lineRule="auto" w:line="360"/>
        <w:jc w:val="left"/>
        <w:textAlignment w:val="baseline"/>
        <w:rPr>
          <w:rFonts w:ascii="宋体" w:hAnsi="宋体" w:cs="宋体"/>
          <w:b/>
          <w:b/>
          <w:kern w:val="0"/>
          <w:szCs w:val="21"/>
        </w:rPr>
      </w:pPr>
      <w:r>
        <w:rPr>
          <w:rFonts w:cs="宋体" w:ascii="宋体" w:hAnsi="宋体"/>
          <w:b/>
          <w:kern w:val="0"/>
          <w:szCs w:val="21"/>
        </w:rPr>
        <w:t xml:space="preserve">5.2 </w:t>
      </w:r>
      <w:r>
        <w:rPr>
          <w:rFonts w:ascii="宋体" w:hAnsi="宋体" w:cs="宋体"/>
          <w:b/>
          <w:kern w:val="0"/>
          <w:szCs w:val="21"/>
        </w:rPr>
        <w:t>（潜在）不合格的评审、原因分析和措施的制定：</w:t>
      </w:r>
    </w:p>
    <w:p>
      <w:pPr>
        <w:pStyle w:val="Normal"/>
        <w:spacing w:lineRule="auto" w:line="360"/>
        <w:ind w:firstLine="420"/>
        <w:jc w:val="left"/>
        <w:textAlignment w:val="baseline"/>
        <w:rPr>
          <w:rFonts w:ascii="宋体" w:hAnsi="宋体" w:cs="宋体"/>
          <w:kern w:val="0"/>
          <w:szCs w:val="21"/>
        </w:rPr>
      </w:pPr>
      <w:r>
        <w:rPr>
          <w:rFonts w:cs="宋体" w:ascii="宋体" w:hAnsi="宋体"/>
          <w:kern w:val="0"/>
          <w:szCs w:val="21"/>
        </w:rPr>
        <w:t>5.2.1</w:t>
      </w:r>
      <w:r>
        <w:rPr>
          <w:rFonts w:cs="宋体" w:ascii="宋体" w:hAnsi="宋体"/>
          <w:kern w:val="0"/>
          <w:szCs w:val="21"/>
        </w:rPr>
        <w:t xml:space="preserve"> </w:t>
      </w:r>
      <w:r>
        <w:rPr>
          <w:rFonts w:ascii="宋体" w:hAnsi="宋体" w:cs="宋体"/>
          <w:kern w:val="0"/>
          <w:szCs w:val="21"/>
        </w:rPr>
        <w:t>不合格（或潜在不合格的评审）评审</w:t>
      </w:r>
    </w:p>
    <w:p>
      <w:pPr>
        <w:pStyle w:val="Normal"/>
        <w:spacing w:lineRule="auto" w:line="360"/>
        <w:ind w:left="63" w:firstLine="420"/>
        <w:jc w:val="left"/>
        <w:textAlignment w:val="baseline"/>
        <w:rPr>
          <w:rFonts w:ascii="宋体" w:hAnsi="宋体" w:cs="宋体"/>
        </w:rPr>
      </w:pPr>
      <w:r>
        <w:rPr>
          <w:rFonts w:ascii="宋体" w:hAnsi="宋体" w:cs="宋体"/>
        </w:rPr>
        <w:t>质量部</w:t>
      </w:r>
      <w:r>
        <w:rPr>
          <w:rFonts w:cs="宋体" w:ascii="宋体" w:hAnsi="宋体"/>
        </w:rPr>
        <w:t>QA</w:t>
      </w:r>
      <w:r>
        <w:rPr>
          <w:rFonts w:ascii="宋体" w:hAnsi="宋体" w:cs="宋体"/>
        </w:rPr>
        <w:t>针对发起的纠正预防措施的需求，首先进行初步的评价（必要时，组织相关部门评审），根据以下一些信息判定采取纠正预防措施的必要性，如：</w:t>
      </w:r>
    </w:p>
    <w:p>
      <w:pPr>
        <w:pStyle w:val="Normal"/>
        <w:numPr>
          <w:ilvl w:val="0"/>
          <w:numId w:val="2"/>
        </w:numPr>
        <w:spacing w:lineRule="auto" w:line="360"/>
        <w:ind w:left="903" w:hanging="194"/>
        <w:jc w:val="left"/>
        <w:textAlignment w:val="baseline"/>
        <w:rPr>
          <w:rFonts w:ascii="宋体" w:hAnsi="宋体" w:cs="宋体"/>
          <w:kern w:val="0"/>
          <w:szCs w:val="21"/>
        </w:rPr>
      </w:pPr>
      <w:r>
        <w:rPr>
          <w:rFonts w:ascii="宋体" w:hAnsi="宋体" w:cs="宋体"/>
        </w:rPr>
        <w:t>以往是否有类似的不合格（潜在不合格）；或者拟采取的措施等同。</w:t>
      </w:r>
    </w:p>
    <w:p>
      <w:pPr>
        <w:pStyle w:val="Normal"/>
        <w:numPr>
          <w:ilvl w:val="0"/>
          <w:numId w:val="2"/>
        </w:numPr>
        <w:spacing w:lineRule="auto" w:line="360"/>
        <w:ind w:left="903" w:hanging="194"/>
        <w:jc w:val="left"/>
        <w:textAlignment w:val="baseline"/>
        <w:rPr>
          <w:rFonts w:ascii="宋体" w:hAnsi="宋体" w:cs="宋体"/>
          <w:kern w:val="0"/>
          <w:szCs w:val="21"/>
        </w:rPr>
      </w:pPr>
      <w:r>
        <w:rPr>
          <w:rFonts w:ascii="宋体" w:hAnsi="宋体" w:cs="宋体"/>
        </w:rPr>
        <w:t>类似纠正预防措施仍未关闭。</w:t>
      </w:r>
    </w:p>
    <w:p>
      <w:pPr>
        <w:pStyle w:val="Normal"/>
        <w:spacing w:lineRule="auto" w:line="360"/>
        <w:ind w:left="63" w:firstLine="420"/>
        <w:jc w:val="left"/>
        <w:textAlignment w:val="baseline"/>
        <w:rPr>
          <w:rFonts w:ascii="宋体" w:hAnsi="宋体" w:cs="宋体"/>
          <w:kern w:val="0"/>
          <w:szCs w:val="21"/>
        </w:rPr>
      </w:pPr>
      <w:r>
        <w:rPr>
          <w:rFonts w:cs="宋体" w:ascii="宋体" w:hAnsi="宋体"/>
          <w:kern w:val="0"/>
          <w:szCs w:val="21"/>
        </w:rPr>
        <w:t xml:space="preserve">5.2.2 </w:t>
      </w:r>
      <w:r>
        <w:rPr>
          <w:rFonts w:ascii="宋体" w:hAnsi="宋体" w:cs="宋体"/>
          <w:kern w:val="0"/>
          <w:szCs w:val="21"/>
        </w:rPr>
        <w:t>不合格的原因分析和纠正措施的分工说明：</w:t>
      </w:r>
    </w:p>
    <w:tbl>
      <w:tblPr>
        <w:tblW w:w="9217" w:type="dxa"/>
        <w:jc w:val="left"/>
        <w:tblInd w:w="247" w:type="dxa"/>
        <w:tblLayout w:type="fixed"/>
        <w:tblCellMar>
          <w:top w:w="0" w:type="dxa"/>
          <w:left w:w="108" w:type="dxa"/>
          <w:bottom w:w="0" w:type="dxa"/>
          <w:right w:w="108" w:type="dxa"/>
        </w:tblCellMar>
      </w:tblPr>
      <w:tblGrid>
        <w:gridCol w:w="456"/>
        <w:gridCol w:w="2382"/>
        <w:gridCol w:w="6379"/>
      </w:tblGrid>
      <w:tr>
        <w:trPr/>
        <w:tc>
          <w:tcPr>
            <w:tcW w:w="456" w:type="dxa"/>
            <w:tcBorders>
              <w:top w:val="single" w:sz="4" w:space="0" w:color="000000"/>
              <w:left w:val="single" w:sz="4" w:space="0" w:color="000000"/>
              <w:bottom w:val="single" w:sz="4" w:space="0" w:color="000000"/>
              <w:right w:val="single" w:sz="4" w:space="0" w:color="000000"/>
            </w:tcBorders>
          </w:tcPr>
          <w:p>
            <w:pPr>
              <w:pStyle w:val="Normal"/>
              <w:spacing w:lineRule="exact" w:line="400"/>
              <w:jc w:val="left"/>
              <w:textAlignment w:val="baseline"/>
              <w:rPr>
                <w:rFonts w:ascii="宋体" w:hAnsi="宋体" w:cs="宋体"/>
                <w:kern w:val="0"/>
                <w:szCs w:val="21"/>
              </w:rPr>
            </w:pPr>
            <w:r>
              <w:rPr>
                <w:rFonts w:ascii="宋体" w:hAnsi="宋体" w:cs="宋体"/>
                <w:kern w:val="0"/>
                <w:szCs w:val="21"/>
              </w:rPr>
              <w:t>序号</w:t>
            </w:r>
          </w:p>
        </w:tc>
        <w:tc>
          <w:tcPr>
            <w:tcW w:w="23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center"/>
              <w:textAlignment w:val="baseline"/>
              <w:rPr>
                <w:rFonts w:ascii="宋体" w:hAnsi="宋体" w:cs="宋体"/>
                <w:kern w:val="0"/>
                <w:szCs w:val="21"/>
              </w:rPr>
            </w:pPr>
            <w:r>
              <w:rPr>
                <w:rFonts w:ascii="宋体" w:hAnsi="宋体" w:cs="宋体"/>
                <w:kern w:val="0"/>
                <w:szCs w:val="21"/>
              </w:rPr>
              <w:t>不合格分类</w:t>
            </w:r>
          </w:p>
        </w:tc>
        <w:tc>
          <w:tcPr>
            <w:tcW w:w="63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center"/>
              <w:textAlignment w:val="baseline"/>
              <w:rPr>
                <w:rFonts w:ascii="宋体" w:hAnsi="宋体" w:cs="宋体"/>
                <w:kern w:val="0"/>
                <w:szCs w:val="21"/>
              </w:rPr>
            </w:pPr>
            <w:r>
              <w:rPr>
                <w:rFonts w:ascii="宋体" w:hAnsi="宋体" w:cs="宋体"/>
                <w:kern w:val="0"/>
                <w:szCs w:val="21"/>
              </w:rPr>
              <w:t>原因分析、措施确定、实施与验证</w:t>
            </w:r>
          </w:p>
        </w:tc>
      </w:tr>
      <w:tr>
        <w:trPr>
          <w:cantSplit w:val="true"/>
        </w:trPr>
        <w:tc>
          <w:tcPr>
            <w:tcW w:w="4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center"/>
              <w:textAlignment w:val="baseline"/>
              <w:rPr>
                <w:rFonts w:ascii="宋体" w:hAnsi="宋体" w:cs="宋体"/>
                <w:kern w:val="0"/>
                <w:szCs w:val="21"/>
              </w:rPr>
            </w:pPr>
            <w:r>
              <w:rPr>
                <w:rFonts w:cs="宋体" w:ascii="宋体" w:hAnsi="宋体"/>
                <w:kern w:val="0"/>
                <w:szCs w:val="21"/>
              </w:rPr>
              <w:t>1</w:t>
            </w:r>
          </w:p>
        </w:tc>
        <w:tc>
          <w:tcPr>
            <w:tcW w:w="23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left"/>
              <w:textAlignment w:val="baseline"/>
              <w:rPr>
                <w:rFonts w:ascii="宋体" w:hAnsi="宋体" w:cs="宋体"/>
                <w:kern w:val="0"/>
                <w:szCs w:val="21"/>
              </w:rPr>
            </w:pPr>
            <w:r>
              <w:rPr>
                <w:rFonts w:ascii="宋体" w:hAnsi="宋体" w:cs="宋体"/>
                <w:kern w:val="0"/>
                <w:szCs w:val="21"/>
              </w:rPr>
              <w:t>后端生产过程偏差</w:t>
            </w:r>
          </w:p>
        </w:tc>
        <w:tc>
          <w:tcPr>
            <w:tcW w:w="63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ind w:left="-107" w:firstLine="107"/>
              <w:jc w:val="left"/>
              <w:textAlignment w:val="baseline"/>
              <w:rPr>
                <w:rFonts w:ascii="宋体" w:hAnsi="宋体" w:cs="宋体"/>
                <w:kern w:val="0"/>
                <w:szCs w:val="21"/>
              </w:rPr>
            </w:pPr>
            <w:r>
              <w:rPr>
                <w:rFonts w:ascii="宋体" w:hAnsi="宋体" w:cs="宋体"/>
                <w:kern w:val="0"/>
                <w:szCs w:val="21"/>
              </w:rPr>
              <w:t>对偏差进行汇总报告，生产部研究纠正方法。</w:t>
            </w:r>
          </w:p>
        </w:tc>
      </w:tr>
      <w:tr>
        <w:trPr>
          <w:cantSplit w:val="true"/>
        </w:trPr>
        <w:tc>
          <w:tcPr>
            <w:tcW w:w="4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center"/>
              <w:textAlignment w:val="baseline"/>
              <w:rPr>
                <w:rFonts w:ascii="宋体" w:hAnsi="宋体" w:cs="宋体"/>
                <w:kern w:val="0"/>
                <w:szCs w:val="21"/>
              </w:rPr>
            </w:pPr>
            <w:r>
              <w:rPr>
                <w:rFonts w:cs="宋体" w:ascii="宋体" w:hAnsi="宋体"/>
                <w:kern w:val="0"/>
                <w:szCs w:val="21"/>
              </w:rPr>
              <w:t>2</w:t>
            </w:r>
          </w:p>
        </w:tc>
        <w:tc>
          <w:tcPr>
            <w:tcW w:w="23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left"/>
              <w:textAlignment w:val="baseline"/>
              <w:rPr>
                <w:rFonts w:ascii="宋体" w:hAnsi="宋体" w:cs="宋体"/>
                <w:kern w:val="0"/>
                <w:szCs w:val="21"/>
              </w:rPr>
            </w:pPr>
            <w:r>
              <w:rPr>
                <w:rFonts w:ascii="宋体" w:hAnsi="宋体" w:cs="宋体"/>
                <w:kern w:val="0"/>
                <w:szCs w:val="21"/>
              </w:rPr>
              <w:t>软件开发和维护中出现的软件问题。</w:t>
            </w:r>
          </w:p>
          <w:p>
            <w:pPr>
              <w:pStyle w:val="Normal"/>
              <w:spacing w:lineRule="exact" w:line="400"/>
              <w:jc w:val="left"/>
              <w:textAlignment w:val="baseline"/>
              <w:rPr>
                <w:rFonts w:ascii="宋体" w:hAnsi="宋体" w:cs="宋体"/>
                <w:kern w:val="0"/>
                <w:szCs w:val="21"/>
              </w:rPr>
            </w:pPr>
            <w:r>
              <w:rPr>
                <w:rFonts w:ascii="宋体" w:hAnsi="宋体" w:cs="宋体"/>
                <w:kern w:val="0"/>
                <w:szCs w:val="21"/>
              </w:rPr>
              <w:t>顾客反馈的软件问题</w:t>
            </w:r>
          </w:p>
        </w:tc>
        <w:tc>
          <w:tcPr>
            <w:tcW w:w="63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ind w:firstLine="105"/>
              <w:jc w:val="left"/>
              <w:textAlignment w:val="baseline"/>
              <w:rPr>
                <w:rFonts w:ascii="Arial" w:hAnsi="Arial"/>
              </w:rPr>
            </w:pPr>
            <w:r>
              <w:rPr>
                <w:rFonts w:ascii="宋体" w:hAnsi="宋体" w:cs="宋体"/>
                <w:kern w:val="0"/>
                <w:szCs w:val="21"/>
              </w:rPr>
              <w:t>发现部门填写《纠正和预防措施处理单》中“不合格事实”栏，由研发部门填写“原因分析”栏，</w:t>
            </w:r>
            <w:r>
              <w:rPr>
                <w:rFonts w:ascii="Arial" w:hAnsi="Arial"/>
              </w:rPr>
              <w:t>进行危害程度分析和影响范围调查，并进行软件问题类型分析；</w:t>
            </w:r>
          </w:p>
          <w:p>
            <w:pPr>
              <w:pStyle w:val="Normal"/>
              <w:spacing w:lineRule="exact" w:line="400"/>
              <w:ind w:firstLine="105"/>
              <w:jc w:val="left"/>
              <w:textAlignment w:val="baseline"/>
              <w:rPr>
                <w:rFonts w:ascii="Arial" w:hAnsi="Arial"/>
              </w:rPr>
            </w:pPr>
            <w:r>
              <w:rPr>
                <w:rFonts w:ascii="Arial" w:hAnsi="Arial"/>
              </w:rPr>
              <w:t>组织人员进行原因调查，并通知可能的相关方；</w:t>
            </w:r>
          </w:p>
          <w:p>
            <w:pPr>
              <w:pStyle w:val="Normal"/>
              <w:spacing w:lineRule="exact" w:line="400"/>
              <w:ind w:firstLine="105"/>
              <w:jc w:val="left"/>
              <w:textAlignment w:val="baseline"/>
              <w:rPr>
                <w:rFonts w:ascii="宋体" w:hAnsi="宋体" w:cs="宋体"/>
                <w:kern w:val="0"/>
                <w:szCs w:val="21"/>
              </w:rPr>
            </w:pPr>
            <w:r>
              <w:rPr>
                <w:rFonts w:ascii="宋体" w:hAnsi="宋体" w:cs="宋体"/>
                <w:kern w:val="0"/>
                <w:szCs w:val="21"/>
              </w:rPr>
              <w:t>确定软件更改的方案并实施、验证；</w:t>
            </w:r>
          </w:p>
          <w:p>
            <w:pPr>
              <w:pStyle w:val="Normal"/>
              <w:spacing w:lineRule="exact" w:line="400"/>
              <w:ind w:firstLine="105"/>
              <w:jc w:val="left"/>
              <w:textAlignment w:val="baseline"/>
              <w:rPr>
                <w:rFonts w:ascii="宋体" w:hAnsi="宋体" w:cs="宋体"/>
                <w:kern w:val="0"/>
                <w:szCs w:val="21"/>
              </w:rPr>
            </w:pPr>
            <w:r>
              <w:rPr>
                <w:rFonts w:ascii="宋体" w:hAnsi="宋体" w:cs="宋体"/>
                <w:kern w:val="0"/>
                <w:szCs w:val="21"/>
              </w:rPr>
              <w:t>质量部跟踪验证实施效果。</w:t>
            </w:r>
          </w:p>
        </w:tc>
      </w:tr>
      <w:tr>
        <w:trPr>
          <w:cantSplit w:val="true"/>
        </w:trPr>
        <w:tc>
          <w:tcPr>
            <w:tcW w:w="4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center"/>
              <w:textAlignment w:val="baseline"/>
              <w:rPr>
                <w:rFonts w:ascii="宋体" w:hAnsi="宋体" w:cs="宋体"/>
                <w:kern w:val="0"/>
                <w:szCs w:val="21"/>
              </w:rPr>
            </w:pPr>
            <w:r>
              <w:rPr>
                <w:rFonts w:cs="宋体" w:ascii="宋体" w:hAnsi="宋体"/>
                <w:kern w:val="0"/>
                <w:szCs w:val="21"/>
              </w:rPr>
              <w:t>3</w:t>
            </w:r>
          </w:p>
        </w:tc>
        <w:tc>
          <w:tcPr>
            <w:tcW w:w="23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left"/>
              <w:textAlignment w:val="baseline"/>
              <w:rPr>
                <w:rFonts w:ascii="宋体" w:hAnsi="宋体" w:cs="宋体"/>
                <w:kern w:val="0"/>
                <w:szCs w:val="21"/>
              </w:rPr>
            </w:pPr>
            <w:r>
              <w:rPr>
                <w:rFonts w:ascii="宋体" w:hAnsi="宋体" w:cs="宋体"/>
                <w:kern w:val="0"/>
                <w:szCs w:val="21"/>
              </w:rPr>
              <w:t>管理评审发现的不合格</w:t>
            </w:r>
          </w:p>
        </w:tc>
        <w:tc>
          <w:tcPr>
            <w:tcW w:w="63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left"/>
              <w:textAlignment w:val="baseline"/>
              <w:rPr>
                <w:rFonts w:ascii="宋体" w:hAnsi="宋体" w:cs="宋体"/>
                <w:kern w:val="0"/>
                <w:szCs w:val="21"/>
              </w:rPr>
            </w:pPr>
            <w:r>
              <w:rPr>
                <w:rFonts w:ascii="宋体" w:hAnsi="宋体" w:cs="宋体"/>
                <w:kern w:val="0"/>
                <w:szCs w:val="21"/>
              </w:rPr>
              <w:t>质量部填写《纠正和预防措施处理单》中“不合格事实”栏，确定责任部门；由责任部门填写“原因分析”栏，确定纠正措施并实施，质量部跟踪验证实施效果。</w:t>
            </w:r>
          </w:p>
        </w:tc>
      </w:tr>
      <w:tr>
        <w:trPr/>
        <w:tc>
          <w:tcPr>
            <w:tcW w:w="4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center"/>
              <w:textAlignment w:val="baseline"/>
              <w:rPr>
                <w:rFonts w:ascii="宋体" w:hAnsi="宋体" w:cs="宋体"/>
                <w:kern w:val="0"/>
                <w:szCs w:val="21"/>
              </w:rPr>
            </w:pPr>
            <w:r>
              <w:rPr>
                <w:rFonts w:cs="宋体" w:ascii="宋体" w:hAnsi="宋体"/>
                <w:kern w:val="0"/>
                <w:szCs w:val="21"/>
              </w:rPr>
              <w:t>4</w:t>
            </w:r>
          </w:p>
        </w:tc>
        <w:tc>
          <w:tcPr>
            <w:tcW w:w="23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left"/>
              <w:textAlignment w:val="baseline"/>
              <w:rPr>
                <w:rFonts w:ascii="宋体" w:hAnsi="宋体" w:cs="宋体"/>
                <w:kern w:val="0"/>
                <w:szCs w:val="21"/>
              </w:rPr>
            </w:pPr>
            <w:r>
              <w:rPr>
                <w:rFonts w:ascii="宋体" w:hAnsi="宋体" w:cs="宋体"/>
                <w:kern w:val="0"/>
                <w:szCs w:val="21"/>
              </w:rPr>
              <w:t>内审发现的不合格</w:t>
            </w:r>
          </w:p>
        </w:tc>
        <w:tc>
          <w:tcPr>
            <w:tcW w:w="63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left"/>
              <w:textAlignment w:val="baseline"/>
              <w:rPr>
                <w:rFonts w:ascii="宋体" w:hAnsi="宋体" w:cs="宋体"/>
                <w:kern w:val="0"/>
                <w:szCs w:val="21"/>
              </w:rPr>
            </w:pPr>
            <w:r>
              <w:rPr>
                <w:rFonts w:ascii="宋体" w:hAnsi="宋体" w:cs="宋体"/>
                <w:kern w:val="0"/>
                <w:szCs w:val="21"/>
              </w:rPr>
              <w:t>由审核组发出《不合格报告》交责任部门认可后，由内审员填写《纠正和预防措施处理单》中“不合格事实”栏，转质量部确认，由责任部门分析原因、确定纠正措施并实施，由内审员确认实施效果。</w:t>
            </w:r>
          </w:p>
        </w:tc>
      </w:tr>
      <w:tr>
        <w:trPr/>
        <w:tc>
          <w:tcPr>
            <w:tcW w:w="4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center"/>
              <w:textAlignment w:val="baseline"/>
              <w:rPr>
                <w:rFonts w:ascii="宋体" w:hAnsi="宋体" w:cs="宋体"/>
                <w:kern w:val="0"/>
                <w:szCs w:val="21"/>
              </w:rPr>
            </w:pPr>
            <w:r>
              <w:rPr>
                <w:rFonts w:cs="宋体" w:ascii="宋体" w:hAnsi="宋体"/>
                <w:kern w:val="0"/>
                <w:szCs w:val="21"/>
              </w:rPr>
              <w:t>5</w:t>
            </w:r>
          </w:p>
        </w:tc>
        <w:tc>
          <w:tcPr>
            <w:tcW w:w="23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left"/>
              <w:textAlignment w:val="baseline"/>
              <w:rPr>
                <w:rFonts w:ascii="宋体" w:hAnsi="宋体" w:cs="宋体"/>
                <w:kern w:val="0"/>
                <w:szCs w:val="21"/>
              </w:rPr>
            </w:pPr>
            <w:r>
              <w:rPr>
                <w:rFonts w:ascii="宋体" w:hAnsi="宋体" w:cs="宋体"/>
                <w:kern w:val="0"/>
                <w:szCs w:val="21"/>
              </w:rPr>
              <w:t>外部质量事件与产品召回</w:t>
            </w:r>
          </w:p>
        </w:tc>
        <w:tc>
          <w:tcPr>
            <w:tcW w:w="63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left"/>
              <w:textAlignment w:val="baseline"/>
              <w:rPr>
                <w:rFonts w:ascii="宋体" w:hAnsi="宋体" w:cs="宋体"/>
                <w:kern w:val="0"/>
                <w:szCs w:val="21"/>
              </w:rPr>
            </w:pPr>
            <w:r>
              <w:rPr>
                <w:rFonts w:ascii="宋体" w:hAnsi="宋体" w:cs="宋体"/>
                <w:kern w:val="0"/>
                <w:szCs w:val="21"/>
              </w:rPr>
              <w:t>质量部填写《纠正和预防措处理单》中“不合格事实”及原因分析栏，定出责任部门，由责任部门确定纠正措施并实施，质量部负责跟踪验证实施效果。</w:t>
            </w:r>
          </w:p>
        </w:tc>
      </w:tr>
      <w:tr>
        <w:trPr/>
        <w:tc>
          <w:tcPr>
            <w:tcW w:w="4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center"/>
              <w:textAlignment w:val="baseline"/>
              <w:rPr>
                <w:rFonts w:ascii="宋体" w:hAnsi="宋体" w:cs="宋体"/>
                <w:kern w:val="0"/>
                <w:szCs w:val="21"/>
              </w:rPr>
            </w:pPr>
            <w:r>
              <w:rPr>
                <w:rFonts w:cs="宋体" w:ascii="宋体" w:hAnsi="宋体"/>
                <w:kern w:val="0"/>
                <w:szCs w:val="21"/>
              </w:rPr>
              <w:t>6</w:t>
            </w:r>
          </w:p>
        </w:tc>
        <w:tc>
          <w:tcPr>
            <w:tcW w:w="23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left"/>
              <w:textAlignment w:val="baseline"/>
              <w:rPr>
                <w:rFonts w:ascii="宋体" w:hAnsi="宋体" w:cs="宋体"/>
                <w:kern w:val="0"/>
                <w:szCs w:val="21"/>
              </w:rPr>
            </w:pPr>
            <w:r>
              <w:rPr>
                <w:rFonts w:ascii="宋体" w:hAnsi="宋体" w:cs="宋体"/>
                <w:kern w:val="0"/>
                <w:szCs w:val="21"/>
              </w:rPr>
              <w:t>供方产品出现严重不合格</w:t>
            </w:r>
          </w:p>
        </w:tc>
        <w:tc>
          <w:tcPr>
            <w:tcW w:w="63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left"/>
              <w:textAlignment w:val="baseline"/>
              <w:rPr>
                <w:rFonts w:ascii="宋体" w:hAnsi="宋体" w:cs="宋体"/>
                <w:kern w:val="0"/>
                <w:szCs w:val="21"/>
              </w:rPr>
            </w:pPr>
            <w:r>
              <w:rPr>
                <w:rFonts w:ascii="宋体" w:hAnsi="宋体" w:cs="宋体"/>
                <w:kern w:val="0"/>
                <w:szCs w:val="21"/>
              </w:rPr>
              <w:t>质量部填写《纠正和预防措施处理单》中“不合格事实”栏，转采供主管通知供方，要求供方进行原因分析，并确定纠正措施反馈给</w:t>
            </w:r>
            <w:r>
              <w:rPr>
                <w:rFonts w:ascii="宋体" w:hAnsi="宋体" w:cs="宋体"/>
                <w:color w:val="000000"/>
                <w:kern w:val="0"/>
                <w:szCs w:val="21"/>
              </w:rPr>
              <w:t>物流部</w:t>
            </w:r>
            <w:r>
              <w:rPr>
                <w:rFonts w:ascii="宋体" w:hAnsi="宋体" w:cs="宋体"/>
                <w:kern w:val="0"/>
                <w:szCs w:val="21"/>
              </w:rPr>
              <w:t>，质量部对其下一批来料进行跟踪验证，执行《采购控制程序》对供方控制的规定。</w:t>
            </w:r>
          </w:p>
        </w:tc>
      </w:tr>
      <w:tr>
        <w:trPr/>
        <w:tc>
          <w:tcPr>
            <w:tcW w:w="4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center"/>
              <w:textAlignment w:val="baseline"/>
              <w:rPr>
                <w:rFonts w:ascii="宋体" w:hAnsi="宋体" w:cs="宋体"/>
                <w:kern w:val="0"/>
                <w:szCs w:val="21"/>
              </w:rPr>
            </w:pPr>
            <w:r>
              <w:rPr>
                <w:rFonts w:cs="宋体" w:ascii="宋体" w:hAnsi="宋体"/>
                <w:kern w:val="0"/>
                <w:szCs w:val="21"/>
              </w:rPr>
              <w:t>7</w:t>
            </w:r>
          </w:p>
        </w:tc>
        <w:tc>
          <w:tcPr>
            <w:tcW w:w="23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left"/>
              <w:textAlignment w:val="baseline"/>
              <w:rPr>
                <w:rFonts w:ascii="宋体" w:hAnsi="宋体" w:cs="宋体"/>
                <w:kern w:val="0"/>
                <w:szCs w:val="21"/>
              </w:rPr>
            </w:pPr>
            <w:r>
              <w:rPr>
                <w:rFonts w:ascii="宋体" w:hAnsi="宋体" w:cs="宋体"/>
                <w:kern w:val="0"/>
                <w:szCs w:val="21"/>
              </w:rPr>
              <w:t>不符合质量方针、目标，或质量管理体系文件要求的情况</w:t>
            </w:r>
          </w:p>
        </w:tc>
        <w:tc>
          <w:tcPr>
            <w:tcW w:w="63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left"/>
              <w:textAlignment w:val="baseline"/>
              <w:rPr>
                <w:rFonts w:ascii="宋体" w:hAnsi="宋体" w:cs="宋体"/>
                <w:kern w:val="0"/>
                <w:szCs w:val="21"/>
              </w:rPr>
            </w:pPr>
            <w:r>
              <w:rPr>
                <w:rFonts w:ascii="宋体" w:hAnsi="宋体" w:cs="宋体"/>
                <w:kern w:val="0"/>
                <w:szCs w:val="21"/>
              </w:rPr>
              <w:t>质量部填写《纠正和预防措施处理单》中“不合格事实”栏，确定责任部门；由责任部门填写“原因分析”栏，确定纠正措施并实施，质量部跟踪验证实施效果。</w:t>
            </w:r>
          </w:p>
        </w:tc>
      </w:tr>
    </w:tbl>
    <w:p>
      <w:pPr>
        <w:pStyle w:val="Normal"/>
        <w:spacing w:lineRule="auto" w:line="360"/>
        <w:ind w:firstLine="420"/>
        <w:jc w:val="left"/>
        <w:textAlignment w:val="baseline"/>
        <w:rPr>
          <w:rFonts w:ascii="宋体" w:hAnsi="宋体" w:cs="宋体"/>
          <w:kern w:val="0"/>
          <w:szCs w:val="21"/>
        </w:rPr>
      </w:pPr>
      <w:r>
        <w:rPr>
          <w:rFonts w:cs="宋体" w:ascii="宋体" w:hAnsi="宋体"/>
          <w:kern w:val="0"/>
          <w:szCs w:val="21"/>
        </w:rPr>
        <w:t xml:space="preserve">5.2.2  </w:t>
      </w:r>
      <w:r>
        <w:rPr>
          <w:rFonts w:ascii="宋体" w:hAnsi="宋体" w:cs="宋体"/>
          <w:kern w:val="0"/>
          <w:szCs w:val="21"/>
        </w:rPr>
        <w:t>预防措施的原因分析和措施制定</w:t>
      </w:r>
    </w:p>
    <w:p>
      <w:pPr>
        <w:pStyle w:val="Normal"/>
        <w:spacing w:lineRule="auto" w:line="360"/>
        <w:ind w:firstLine="630"/>
        <w:jc w:val="left"/>
        <w:textAlignment w:val="baseline"/>
        <w:rPr>
          <w:rFonts w:ascii="宋体" w:hAnsi="宋体" w:cs="宋体"/>
          <w:kern w:val="0"/>
          <w:szCs w:val="21"/>
        </w:rPr>
      </w:pPr>
      <w:r>
        <w:rPr>
          <w:rFonts w:ascii="宋体" w:hAnsi="宋体" w:cs="宋体"/>
          <w:kern w:val="0"/>
          <w:szCs w:val="21"/>
        </w:rPr>
        <w:t>通过质量、生产、管理目标完成情况等相关报表的数据分析、管理评审或日常生产管理中发现的潜在不符合事实，提出预防措施的需求。通过初步的判断，找到责任部门，具体的原因分析和措施制定的实施同“纠正措施”的分工说明。</w:t>
      </w:r>
    </w:p>
    <w:p>
      <w:pPr>
        <w:pStyle w:val="Normal"/>
        <w:autoSpaceDE w:val="false"/>
        <w:spacing w:lineRule="auto" w:line="360"/>
        <w:ind w:firstLine="420"/>
        <w:rPr>
          <w:rFonts w:ascii="宋体" w:hAnsi="宋体" w:cs="宋体"/>
        </w:rPr>
      </w:pPr>
      <w:r>
        <w:rPr>
          <w:rFonts w:cs="宋体" w:ascii="宋体" w:hAnsi="宋体"/>
          <w:kern w:val="0"/>
          <w:szCs w:val="21"/>
        </w:rPr>
        <w:t xml:space="preserve">5.2.3 </w:t>
      </w:r>
      <w:r>
        <w:rPr>
          <w:rFonts w:ascii="宋体" w:hAnsi="宋体" w:cs="宋体"/>
          <w:kern w:val="0"/>
          <w:szCs w:val="21"/>
        </w:rPr>
        <w:t>确定（潜在）不合格的原因：可采用统计技术或试验的方法来确定主要原因，并从</w:t>
      </w:r>
      <w:r>
        <w:rPr>
          <w:rFonts w:ascii="宋体" w:hAnsi="宋体" w:cs="宋体"/>
        </w:rPr>
        <w:t>人、机、料、法、测等影响产品质量的角度进行查找。</w:t>
      </w:r>
    </w:p>
    <w:p>
      <w:pPr>
        <w:pStyle w:val="Normal"/>
        <w:autoSpaceDE w:val="false"/>
        <w:spacing w:lineRule="auto" w:line="360"/>
        <w:ind w:firstLine="420"/>
        <w:rPr>
          <w:rFonts w:ascii="宋体" w:hAnsi="宋体" w:cs="宋体"/>
        </w:rPr>
      </w:pPr>
      <w:r>
        <w:rPr>
          <w:rFonts w:cs="宋体" w:ascii="宋体" w:hAnsi="宋体"/>
        </w:rPr>
        <w:t xml:space="preserve">5.2.4. </w:t>
      </w:r>
      <w:r>
        <w:rPr>
          <w:rFonts w:ascii="宋体" w:hAnsi="宋体" w:cs="宋体"/>
        </w:rPr>
        <w:t>纠正和预防措施的制定和验证或评价</w:t>
      </w:r>
    </w:p>
    <w:p>
      <w:pPr>
        <w:pStyle w:val="Normal"/>
        <w:autoSpaceDE w:val="false"/>
        <w:spacing w:lineRule="auto" w:line="360"/>
        <w:ind w:firstLine="735"/>
        <w:rPr>
          <w:rFonts w:ascii="宋体" w:hAnsi="宋体" w:cs="宋体"/>
        </w:rPr>
      </w:pPr>
      <w:r>
        <w:rPr>
          <w:rFonts w:cs="宋体" w:ascii="宋体" w:hAnsi="宋体"/>
        </w:rPr>
        <w:t>1</w:t>
      </w:r>
      <w:r>
        <w:rPr>
          <w:rFonts w:ascii="宋体" w:hAnsi="宋体" w:cs="宋体"/>
        </w:rPr>
        <w:t>）改进责任部门应针对调查分析结果制订纠正预防措施，制定措施时应综合考虑以下内容并关注其可执行性和执行效果，以确保纠正预防措施能使质量风险与成本得到平衡：</w:t>
      </w:r>
    </w:p>
    <w:p>
      <w:pPr>
        <w:pStyle w:val="Normal"/>
        <w:autoSpaceDE w:val="false"/>
        <w:spacing w:lineRule="auto" w:line="360"/>
        <w:ind w:firstLine="850"/>
        <w:rPr>
          <w:rFonts w:ascii="宋体" w:hAnsi="宋体" w:cs="宋体"/>
        </w:rPr>
      </w:pPr>
      <w:r>
        <w:rPr>
          <w:rFonts w:cs="宋体" w:ascii="宋体" w:hAnsi="宋体"/>
        </w:rPr>
        <w:t xml:space="preserve">a. </w:t>
      </w:r>
      <w:r>
        <w:rPr>
          <w:rFonts w:ascii="宋体" w:hAnsi="宋体" w:cs="宋体"/>
        </w:rPr>
        <w:t>产品质量；</w:t>
      </w:r>
      <w:r>
        <w:rPr>
          <w:rFonts w:cs="宋体" w:ascii="宋体" w:hAnsi="宋体"/>
        </w:rPr>
        <w:t xml:space="preserve">b. </w:t>
      </w:r>
      <w:r>
        <w:rPr>
          <w:rFonts w:ascii="宋体" w:hAnsi="宋体" w:cs="宋体"/>
        </w:rPr>
        <w:t>成本；</w:t>
      </w:r>
      <w:r>
        <w:rPr>
          <w:rFonts w:cs="宋体" w:ascii="宋体" w:hAnsi="宋体"/>
        </w:rPr>
        <w:t xml:space="preserve">c. </w:t>
      </w:r>
      <w:r>
        <w:rPr>
          <w:rFonts w:ascii="宋体" w:hAnsi="宋体" w:cs="宋体"/>
        </w:rPr>
        <w:t>产品的性能；</w:t>
      </w:r>
      <w:r>
        <w:rPr>
          <w:rFonts w:cs="宋体" w:ascii="宋体" w:hAnsi="宋体"/>
        </w:rPr>
        <w:t xml:space="preserve">d. </w:t>
      </w:r>
      <w:r>
        <w:rPr>
          <w:rFonts w:ascii="宋体" w:hAnsi="宋体" w:cs="宋体"/>
        </w:rPr>
        <w:t>顾客满意；</w:t>
      </w:r>
      <w:r>
        <w:rPr>
          <w:rFonts w:cs="宋体" w:ascii="宋体" w:hAnsi="宋体"/>
        </w:rPr>
        <w:tab/>
        <w:t xml:space="preserve">e. </w:t>
      </w:r>
      <w:r>
        <w:rPr>
          <w:rFonts w:ascii="宋体" w:hAnsi="宋体" w:cs="宋体"/>
        </w:rPr>
        <w:t>其它潜在原因；</w:t>
      </w:r>
    </w:p>
    <w:p>
      <w:pPr>
        <w:pStyle w:val="Normal"/>
        <w:autoSpaceDE w:val="false"/>
        <w:spacing w:lineRule="auto" w:line="360"/>
        <w:ind w:firstLine="850"/>
        <w:rPr>
          <w:rFonts w:ascii="宋体" w:hAnsi="宋体" w:cs="宋体"/>
        </w:rPr>
      </w:pPr>
      <w:r>
        <w:rPr>
          <w:rFonts w:cs="宋体" w:ascii="宋体" w:hAnsi="宋体"/>
        </w:rPr>
        <w:t xml:space="preserve">f. </w:t>
      </w:r>
      <w:r>
        <w:rPr>
          <w:rFonts w:ascii="宋体" w:hAnsi="宋体" w:cs="宋体"/>
        </w:rPr>
        <w:t>产品牵连；</w:t>
      </w:r>
      <w:r>
        <w:rPr>
          <w:rFonts w:cs="宋体" w:ascii="宋体" w:hAnsi="宋体"/>
        </w:rPr>
        <w:t xml:space="preserve">g. </w:t>
      </w:r>
      <w:r>
        <w:rPr>
          <w:rFonts w:ascii="宋体" w:hAnsi="宋体" w:cs="宋体"/>
        </w:rPr>
        <w:t>额外的确认工作的需要；</w:t>
      </w:r>
      <w:r>
        <w:rPr>
          <w:rFonts w:cs="宋体" w:ascii="宋体" w:hAnsi="宋体"/>
        </w:rPr>
        <w:t xml:space="preserve">h. </w:t>
      </w:r>
      <w:r>
        <w:rPr>
          <w:rFonts w:ascii="宋体" w:hAnsi="宋体" w:cs="宋体"/>
        </w:rPr>
        <w:t>额外的可靠性测试的需要；</w:t>
      </w:r>
    </w:p>
    <w:p>
      <w:pPr>
        <w:pStyle w:val="Normal"/>
        <w:autoSpaceDE w:val="false"/>
        <w:spacing w:lineRule="auto" w:line="360"/>
        <w:rPr>
          <w:rFonts w:ascii="宋体" w:hAnsi="宋体" w:cs="宋体"/>
        </w:rPr>
      </w:pPr>
      <w:r>
        <w:rPr>
          <w:rFonts w:cs="宋体" w:ascii="宋体" w:hAnsi="宋体"/>
          <w:kern w:val="0"/>
          <w:szCs w:val="21"/>
        </w:rPr>
        <w:t xml:space="preserve">      </w:t>
      </w:r>
      <w:r>
        <w:rPr>
          <w:rFonts w:cs="宋体" w:ascii="宋体" w:hAnsi="宋体"/>
          <w:kern w:val="0"/>
          <w:szCs w:val="21"/>
        </w:rPr>
        <w:t>2</w:t>
      </w:r>
      <w:r>
        <w:rPr>
          <w:rFonts w:ascii="宋体" w:hAnsi="宋体" w:cs="宋体"/>
          <w:kern w:val="0"/>
          <w:szCs w:val="21"/>
        </w:rPr>
        <w:t>）</w:t>
      </w:r>
      <w:r>
        <w:rPr>
          <w:rFonts w:ascii="宋体" w:hAnsi="宋体" w:cs="宋体"/>
        </w:rPr>
        <w:t>纠正预防措施的验证、审批</w:t>
      </w:r>
    </w:p>
    <w:p>
      <w:pPr>
        <w:pStyle w:val="Normal"/>
        <w:autoSpaceDE w:val="false"/>
        <w:spacing w:lineRule="auto" w:line="360"/>
        <w:ind w:firstLine="840"/>
        <w:rPr>
          <w:rFonts w:ascii="宋体" w:hAnsi="宋体" w:cs="宋体"/>
        </w:rPr>
      </w:pPr>
      <w:r>
        <w:rPr>
          <w:rFonts w:ascii="宋体" w:hAnsi="宋体" w:cs="宋体"/>
        </w:rPr>
        <w:t>纠正预防措施制定后，责任部门将部门内容审批后的“纠正预防措施单”交给质量部，质量部</w:t>
      </w:r>
      <w:r>
        <w:rPr>
          <w:rFonts w:cs="宋体" w:ascii="宋体" w:hAnsi="宋体"/>
        </w:rPr>
        <w:t>QA</w:t>
      </w:r>
      <w:r>
        <w:rPr>
          <w:rFonts w:ascii="宋体" w:hAnsi="宋体" w:cs="宋体"/>
        </w:rPr>
        <w:t>对该纠正预防措施的充分性及适宜性再次进行验证和审批。验证的内容应包括措施对满足适应的法规要求的能力和对产品的安全和性能无不良影响。</w:t>
      </w:r>
    </w:p>
    <w:p>
      <w:pPr>
        <w:pStyle w:val="Normal"/>
        <w:autoSpaceDE w:val="false"/>
        <w:spacing w:lineRule="auto" w:line="360"/>
        <w:ind w:firstLine="315"/>
        <w:rPr>
          <w:rFonts w:ascii="宋体" w:hAnsi="宋体" w:cs="宋体"/>
        </w:rPr>
      </w:pPr>
      <w:r>
        <w:rPr>
          <w:rFonts w:cs="宋体" w:ascii="宋体" w:hAnsi="宋体"/>
          <w:kern w:val="0"/>
          <w:szCs w:val="21"/>
        </w:rPr>
        <w:t xml:space="preserve">   </w:t>
      </w:r>
      <w:r>
        <w:rPr>
          <w:rFonts w:cs="宋体" w:ascii="宋体" w:hAnsi="宋体"/>
          <w:kern w:val="0"/>
          <w:szCs w:val="21"/>
        </w:rPr>
        <w:t>3</w:t>
      </w:r>
      <w:r>
        <w:rPr>
          <w:rFonts w:ascii="宋体" w:hAnsi="宋体" w:cs="宋体"/>
          <w:kern w:val="0"/>
          <w:szCs w:val="21"/>
        </w:rPr>
        <w:t xml:space="preserve">） </w:t>
      </w:r>
      <w:r>
        <w:rPr>
          <w:rFonts w:ascii="宋体" w:hAnsi="宋体" w:cs="宋体"/>
        </w:rPr>
        <w:t>改进部门根据（潜在）不合格情况和实际问题认为不需要制定或是无法制订纠正预防措施时，应在写明理由，质量部</w:t>
      </w:r>
      <w:r>
        <w:rPr>
          <w:rFonts w:cs="宋体" w:ascii="宋体" w:hAnsi="宋体"/>
        </w:rPr>
        <w:t>QA</w:t>
      </w:r>
      <w:r>
        <w:rPr>
          <w:rFonts w:ascii="宋体" w:hAnsi="宋体" w:cs="宋体"/>
        </w:rPr>
        <w:t>根据情况决定是否采取纠正预防措施。若不需则在此栏中注明“不需制定”。</w:t>
      </w:r>
    </w:p>
    <w:p>
      <w:pPr>
        <w:pStyle w:val="Normal"/>
        <w:autoSpaceDE w:val="false"/>
        <w:spacing w:lineRule="auto" w:line="360"/>
        <w:ind w:firstLine="630"/>
        <w:rPr>
          <w:rFonts w:ascii="宋体" w:hAnsi="宋体" w:cs="宋体"/>
        </w:rPr>
      </w:pPr>
      <w:r>
        <w:rPr>
          <w:rFonts w:cs="宋体" w:ascii="宋体" w:hAnsi="宋体"/>
        </w:rPr>
        <w:t>4</w:t>
      </w:r>
      <w:r>
        <w:rPr>
          <w:rFonts w:ascii="宋体" w:hAnsi="宋体" w:cs="宋体"/>
        </w:rPr>
        <w:t>）纠正和预防措施期限的规定</w:t>
      </w:r>
    </w:p>
    <w:p>
      <w:pPr>
        <w:pStyle w:val="Normal"/>
        <w:autoSpaceDE w:val="false"/>
        <w:spacing w:lineRule="auto" w:line="360"/>
        <w:ind w:firstLine="630"/>
        <w:rPr>
          <w:rFonts w:ascii="宋体" w:hAnsi="宋体" w:cs="宋体"/>
        </w:rPr>
      </w:pPr>
      <w:r>
        <w:rPr>
          <w:rFonts w:ascii="宋体" w:hAnsi="宋体" w:cs="宋体"/>
        </w:rPr>
        <w:t>对于非技术性的纠正预防措施，责任部门应在七个工作日内制定，同时确定预计完成期限</w:t>
      </w:r>
      <w:r>
        <w:rPr>
          <w:rFonts w:cs="宋体" w:ascii="宋体" w:hAnsi="宋体"/>
        </w:rPr>
        <w:t>,</w:t>
      </w:r>
      <w:r>
        <w:rPr>
          <w:rFonts w:ascii="宋体" w:hAnsi="宋体" w:cs="宋体"/>
        </w:rPr>
        <w:t>一般要求在一个月内完成；对于技术性纠正预防措施，根据措施复杂性和时间周期，可由改进部门提供日程安排自行规定。</w:t>
      </w:r>
    </w:p>
    <w:p>
      <w:pPr>
        <w:pStyle w:val="Normal"/>
        <w:autoSpaceDE w:val="false"/>
        <w:spacing w:lineRule="auto" w:line="360"/>
        <w:rPr>
          <w:rFonts w:ascii="宋体" w:hAnsi="宋体" w:cs="宋体"/>
          <w:b/>
          <w:b/>
        </w:rPr>
      </w:pPr>
      <w:r>
        <w:rPr>
          <w:rFonts w:cs="宋体" w:ascii="宋体" w:hAnsi="宋体"/>
          <w:b/>
        </w:rPr>
        <w:t xml:space="preserve">5.3. </w:t>
      </w:r>
      <w:r>
        <w:rPr>
          <w:rFonts w:ascii="宋体" w:hAnsi="宋体" w:cs="宋体"/>
          <w:b/>
        </w:rPr>
        <w:t>措施的跟踪和有效性评价</w:t>
      </w:r>
    </w:p>
    <w:p>
      <w:pPr>
        <w:pStyle w:val="Normal"/>
        <w:autoSpaceDE w:val="false"/>
        <w:spacing w:lineRule="auto" w:line="360"/>
        <w:ind w:firstLine="420"/>
        <w:rPr>
          <w:rFonts w:ascii="宋体" w:hAnsi="宋体" w:cs="宋体"/>
        </w:rPr>
      </w:pPr>
      <w:r>
        <w:rPr>
          <w:rFonts w:cs="宋体" w:ascii="宋体" w:hAnsi="宋体"/>
        </w:rPr>
        <w:t>5.3.1.</w:t>
      </w:r>
      <w:r>
        <w:rPr>
          <w:rFonts w:ascii="宋体" w:hAnsi="宋体" w:cs="宋体"/>
        </w:rPr>
        <w:t>改进部门按要求实施纠正预防措施，并保留相关的原始记录。纠正预防措施完成后，责任部门应将完成信息通知质量部</w:t>
      </w:r>
      <w:r>
        <w:rPr>
          <w:rFonts w:cs="宋体" w:ascii="宋体" w:hAnsi="宋体"/>
        </w:rPr>
        <w:t>QA</w:t>
      </w:r>
      <w:r>
        <w:rPr>
          <w:rFonts w:ascii="宋体" w:hAnsi="宋体" w:cs="宋体"/>
        </w:rPr>
        <w:t>；</w:t>
      </w:r>
    </w:p>
    <w:p>
      <w:pPr>
        <w:pStyle w:val="Normal"/>
        <w:autoSpaceDE w:val="false"/>
        <w:spacing w:lineRule="auto" w:line="360"/>
        <w:ind w:firstLine="420"/>
        <w:rPr>
          <w:rFonts w:ascii="宋体" w:hAnsi="宋体" w:cs="宋体"/>
        </w:rPr>
      </w:pPr>
      <w:r>
        <w:rPr>
          <w:rFonts w:cs="宋体" w:ascii="宋体" w:hAnsi="宋体"/>
        </w:rPr>
        <w:t>5.3.2.</w:t>
      </w:r>
      <w:r>
        <w:rPr>
          <w:rFonts w:ascii="宋体" w:hAnsi="宋体" w:cs="宋体"/>
        </w:rPr>
        <w:t>质量部</w:t>
      </w:r>
      <w:r>
        <w:rPr>
          <w:rFonts w:cs="宋体" w:ascii="宋体" w:hAnsi="宋体"/>
        </w:rPr>
        <w:t>QA</w:t>
      </w:r>
      <w:r>
        <w:rPr>
          <w:rFonts w:ascii="宋体" w:hAnsi="宋体" w:cs="宋体"/>
        </w:rPr>
        <w:t>对纠正预防措施的实施进行跟踪并对其有效性进行评估，并将结果记录在</w:t>
      </w:r>
      <w:r>
        <w:rPr>
          <w:rFonts w:cs="宋体" w:ascii="宋体" w:hAnsi="宋体"/>
        </w:rPr>
        <w:t xml:space="preserve">Section E </w:t>
      </w:r>
      <w:r>
        <w:rPr>
          <w:rFonts w:ascii="宋体" w:hAnsi="宋体" w:cs="宋体"/>
        </w:rPr>
        <w:t>栏中。当确认改进部门制订的所有措施都已实施后且有效，该纠正预防措施项关闭。如纠正预防措施实施效果不佳，应重新制订纠正预防措施。</w:t>
      </w:r>
    </w:p>
    <w:p>
      <w:pPr>
        <w:pStyle w:val="Normal"/>
        <w:autoSpaceDE w:val="false"/>
        <w:spacing w:lineRule="auto" w:line="360"/>
        <w:rPr>
          <w:rFonts w:ascii="宋体" w:hAnsi="宋体" w:cs="宋体"/>
          <w:b/>
          <w:b/>
          <w:kern w:val="0"/>
          <w:szCs w:val="21"/>
        </w:rPr>
      </w:pPr>
      <w:r>
        <w:rPr>
          <w:rFonts w:cs="宋体" w:ascii="宋体" w:hAnsi="宋体"/>
          <w:b/>
          <w:kern w:val="0"/>
          <w:szCs w:val="21"/>
        </w:rPr>
        <w:t xml:space="preserve">5.4 </w:t>
      </w:r>
      <w:r>
        <w:rPr>
          <w:rFonts w:ascii="宋体" w:hAnsi="宋体" w:cs="宋体"/>
          <w:b/>
          <w:kern w:val="0"/>
          <w:szCs w:val="21"/>
        </w:rPr>
        <w:t>记录的编号和保存</w:t>
      </w:r>
    </w:p>
    <w:p>
      <w:pPr>
        <w:pStyle w:val="Normal"/>
        <w:autoSpaceDE w:val="false"/>
        <w:spacing w:lineRule="auto" w:line="360"/>
        <w:ind w:firstLine="420"/>
        <w:rPr>
          <w:rFonts w:ascii="宋体" w:hAnsi="宋体" w:cs="宋体"/>
        </w:rPr>
      </w:pPr>
      <w:r>
        <w:rPr>
          <w:rFonts w:cs="宋体" w:ascii="宋体" w:hAnsi="宋体"/>
        </w:rPr>
        <w:t>5</w:t>
      </w:r>
      <w:r>
        <w:rPr>
          <w:rFonts w:cs="宋体" w:ascii="宋体" w:hAnsi="宋体"/>
        </w:rPr>
        <w:t>.4.1</w:t>
      </w:r>
      <w:r>
        <w:rPr>
          <w:rFonts w:ascii="宋体" w:hAnsi="宋体" w:cs="宋体"/>
        </w:rPr>
        <w:t>《纠正预防措施单》由质量部</w:t>
      </w:r>
      <w:r>
        <w:rPr>
          <w:rFonts w:cs="宋体" w:ascii="宋体" w:hAnsi="宋体"/>
        </w:rPr>
        <w:t>QA</w:t>
      </w:r>
      <w:r>
        <w:rPr>
          <w:rFonts w:ascii="宋体" w:hAnsi="宋体" w:cs="宋体"/>
        </w:rPr>
        <w:t>提供统一编号。《纠正预防措施单》编号方法为</w:t>
      </w:r>
      <w:r>
        <w:rPr>
          <w:rFonts w:cs="宋体" w:ascii="宋体" w:hAnsi="宋体"/>
        </w:rPr>
        <w:t>CA-××000</w:t>
      </w:r>
      <w:r>
        <w:rPr>
          <w:rFonts w:ascii="宋体" w:hAnsi="宋体" w:cs="宋体"/>
        </w:rPr>
        <w:t>，</w:t>
      </w:r>
      <w:r>
        <w:rPr>
          <w:rFonts w:cs="宋体" w:ascii="宋体" w:hAnsi="宋体"/>
        </w:rPr>
        <w:t>××</w:t>
      </w:r>
      <w:r>
        <w:rPr>
          <w:rFonts w:ascii="宋体" w:hAnsi="宋体" w:cs="宋体"/>
        </w:rPr>
        <w:t>表示纠正预防措施发生年份，</w:t>
      </w:r>
      <w:r>
        <w:rPr>
          <w:rFonts w:cs="宋体" w:ascii="宋体" w:hAnsi="宋体"/>
        </w:rPr>
        <w:t>000</w:t>
      </w:r>
      <w:r>
        <w:rPr>
          <w:rFonts w:ascii="宋体" w:hAnsi="宋体" w:cs="宋体"/>
        </w:rPr>
        <w:t>表示各年度纠正预防措施的顺序号。</w:t>
      </w:r>
    </w:p>
    <w:p>
      <w:pPr>
        <w:pStyle w:val="Normal"/>
        <w:spacing w:lineRule="auto" w:line="360"/>
        <w:ind w:firstLine="420"/>
        <w:jc w:val="left"/>
        <w:textAlignment w:val="baseline"/>
        <w:rPr>
          <w:rFonts w:ascii="宋体" w:hAnsi="宋体" w:cs="宋体"/>
          <w:kern w:val="0"/>
          <w:szCs w:val="21"/>
        </w:rPr>
      </w:pPr>
      <w:r>
        <w:rPr>
          <w:rFonts w:cs="宋体" w:ascii="宋体" w:hAnsi="宋体"/>
          <w:kern w:val="0"/>
          <w:szCs w:val="21"/>
        </w:rPr>
        <w:t>5</w:t>
      </w:r>
      <w:r>
        <w:rPr>
          <w:rFonts w:cs="宋体" w:ascii="宋体" w:hAnsi="宋体"/>
          <w:kern w:val="0"/>
          <w:szCs w:val="21"/>
        </w:rPr>
        <w:t xml:space="preserve">.4.2 </w:t>
      </w:r>
      <w:r>
        <w:rPr>
          <w:rFonts w:ascii="宋体" w:hAnsi="宋体" w:cs="宋体"/>
          <w:kern w:val="0"/>
          <w:szCs w:val="21"/>
        </w:rPr>
        <w:t>纠正和预防措施的各项原始记录由质量部保存。</w:t>
      </w:r>
    </w:p>
    <w:p>
      <w:pPr>
        <w:pStyle w:val="Normal"/>
        <w:autoSpaceDE w:val="false"/>
        <w:spacing w:lineRule="auto" w:line="360"/>
        <w:rPr>
          <w:rFonts w:ascii="宋体" w:hAnsi="宋体" w:cs="宋体"/>
          <w:b/>
          <w:b/>
          <w:bCs/>
        </w:rPr>
      </w:pPr>
      <w:r>
        <w:rPr>
          <w:rFonts w:cs="宋体" w:ascii="宋体" w:hAnsi="宋体"/>
          <w:b/>
          <w:bCs/>
        </w:rPr>
        <w:t xml:space="preserve">6. </w:t>
      </w:r>
      <w:r>
        <w:rPr>
          <w:rFonts w:ascii="宋体" w:hAnsi="宋体" w:cs="宋体"/>
          <w:b/>
          <w:bCs/>
        </w:rPr>
        <w:t>相关文件</w:t>
      </w:r>
    </w:p>
    <w:p>
      <w:pPr>
        <w:pStyle w:val="Normal"/>
        <w:autoSpaceDE w:val="false"/>
        <w:spacing w:lineRule="auto" w:line="360"/>
        <w:ind w:firstLine="707"/>
        <w:rPr>
          <w:rFonts w:ascii="宋体" w:hAnsi="宋体" w:cs="宋体"/>
        </w:rPr>
      </w:pPr>
      <w:r>
        <w:rPr>
          <w:rFonts w:cs="宋体" w:ascii="宋体" w:hAnsi="宋体"/>
        </w:rPr>
        <w:t>QMS-P12</w:t>
      </w:r>
      <w:r>
        <w:rPr>
          <w:rFonts w:ascii="宋体" w:hAnsi="宋体" w:cs="宋体"/>
        </w:rPr>
        <w:t>《生产过程控制程序》</w:t>
      </w:r>
    </w:p>
    <w:p>
      <w:pPr>
        <w:pStyle w:val="Normal"/>
        <w:autoSpaceDE w:val="false"/>
        <w:spacing w:lineRule="auto" w:line="360"/>
        <w:ind w:firstLine="707"/>
        <w:rPr>
          <w:rFonts w:ascii="宋体" w:hAnsi="宋体" w:cs="宋体"/>
        </w:rPr>
      </w:pPr>
      <w:r>
        <w:rPr>
          <w:rFonts w:cs="宋体" w:ascii="宋体" w:hAnsi="宋体"/>
        </w:rPr>
        <w:t>QMS-P17</w:t>
      </w:r>
      <w:r>
        <w:rPr>
          <w:rFonts w:ascii="宋体" w:hAnsi="宋体" w:cs="宋体"/>
        </w:rPr>
        <w:t>《客户投诉处理控制程序》</w:t>
      </w:r>
    </w:p>
    <w:p>
      <w:pPr>
        <w:pStyle w:val="Normal"/>
        <w:autoSpaceDE w:val="false"/>
        <w:spacing w:lineRule="auto" w:line="360"/>
        <w:ind w:firstLine="707"/>
        <w:rPr>
          <w:rFonts w:ascii="宋体" w:hAnsi="宋体" w:cs="宋体"/>
        </w:rPr>
      </w:pPr>
      <w:r>
        <w:rPr>
          <w:rFonts w:cs="宋体" w:ascii="宋体" w:hAnsi="宋体"/>
        </w:rPr>
        <w:t>QMS-P20</w:t>
      </w:r>
      <w:r>
        <w:rPr>
          <w:rFonts w:ascii="宋体" w:hAnsi="宋体" w:cs="宋体"/>
        </w:rPr>
        <w:t>《内部质量审核控制程序》</w:t>
      </w:r>
    </w:p>
    <w:p>
      <w:pPr>
        <w:pStyle w:val="Normal"/>
        <w:autoSpaceDE w:val="false"/>
        <w:spacing w:lineRule="auto" w:line="360"/>
        <w:ind w:firstLine="707"/>
        <w:rPr>
          <w:rFonts w:ascii="宋体" w:hAnsi="宋体" w:cs="宋体"/>
        </w:rPr>
      </w:pPr>
      <w:r>
        <w:rPr>
          <w:rFonts w:cs="宋体" w:ascii="宋体" w:hAnsi="宋体"/>
        </w:rPr>
        <w:t>QMS-P23</w:t>
      </w:r>
      <w:r>
        <w:rPr>
          <w:rFonts w:ascii="宋体" w:hAnsi="宋体" w:cs="宋体"/>
        </w:rPr>
        <w:t>《不合格品控制程序》</w:t>
      </w:r>
    </w:p>
    <w:p>
      <w:pPr>
        <w:pStyle w:val="Normal"/>
        <w:autoSpaceDE w:val="false"/>
        <w:spacing w:lineRule="auto" w:line="360"/>
        <w:ind w:firstLine="707"/>
        <w:rPr>
          <w:rFonts w:ascii="宋体" w:hAnsi="宋体" w:cs="宋体"/>
        </w:rPr>
      </w:pPr>
      <w:r>
        <w:rPr>
          <w:rFonts w:cs="宋体" w:ascii="宋体" w:hAnsi="宋体"/>
        </w:rPr>
        <w:t>QMS-P24</w:t>
      </w:r>
      <w:r>
        <w:rPr>
          <w:rFonts w:ascii="宋体" w:hAnsi="宋体" w:cs="宋体"/>
        </w:rPr>
        <w:t>《数据统计和分析控制程序》</w:t>
      </w:r>
    </w:p>
    <w:p>
      <w:pPr>
        <w:pStyle w:val="Normal"/>
        <w:autoSpaceDE w:val="false"/>
        <w:spacing w:lineRule="auto" w:line="360"/>
        <w:rPr>
          <w:rFonts w:ascii="宋体" w:hAnsi="宋体" w:cs="宋体"/>
          <w:b/>
          <w:b/>
          <w:bCs/>
        </w:rPr>
      </w:pPr>
      <w:r>
        <w:rPr>
          <w:rFonts w:cs="宋体" w:ascii="宋体" w:hAnsi="宋体"/>
          <w:b/>
          <w:bCs/>
        </w:rPr>
        <w:t xml:space="preserve">7. </w:t>
      </w:r>
      <w:r>
        <w:rPr>
          <w:rFonts w:ascii="宋体" w:hAnsi="宋体" w:cs="宋体"/>
          <w:b/>
          <w:bCs/>
        </w:rPr>
        <w:t>记录</w:t>
      </w:r>
    </w:p>
    <w:p>
      <w:pPr>
        <w:pStyle w:val="Normal"/>
        <w:autoSpaceDE w:val="false"/>
        <w:spacing w:lineRule="auto" w:line="360"/>
        <w:ind w:firstLine="707"/>
        <w:rPr>
          <w:rFonts w:ascii="宋体" w:hAnsi="宋体" w:cs="宋体"/>
        </w:rPr>
      </w:pPr>
      <w:r>
        <w:rPr>
          <w:rFonts w:cs="宋体" w:ascii="宋体" w:hAnsi="宋体"/>
        </w:rPr>
        <w:t>QMS-P25-R1</w:t>
      </w:r>
      <w:r>
        <w:rPr>
          <w:rFonts w:ascii="宋体" w:hAnsi="宋体" w:cs="宋体"/>
        </w:rPr>
        <w:t>《纠正预防措施报告单》</w:t>
      </w:r>
    </w:p>
    <w:p>
      <w:pPr>
        <w:pStyle w:val="Normal"/>
        <w:autoSpaceDE w:val="false"/>
        <w:spacing w:lineRule="auto" w:line="360"/>
        <w:rPr>
          <w:rFonts w:ascii="宋体" w:hAnsi="宋体" w:cs="宋体"/>
          <w:b/>
          <w:b/>
          <w:szCs w:val="21"/>
        </w:rPr>
      </w:pPr>
      <w:r>
        <w:rPr>
          <w:rFonts w:cs="宋体" w:ascii="宋体" w:hAnsi="宋体"/>
          <w:b/>
          <w:szCs w:val="21"/>
        </w:rPr>
        <w:t xml:space="preserve">8. </w:t>
      </w:r>
      <w:r>
        <w:rPr>
          <w:rFonts w:ascii="宋体" w:hAnsi="宋体" w:cs="宋体"/>
          <w:b/>
          <w:szCs w:val="21"/>
        </w:rPr>
        <w:t>文件更改履历表</w:t>
      </w:r>
    </w:p>
    <w:tbl>
      <w:tblPr>
        <w:tblW w:w="9322" w:type="dxa"/>
        <w:jc w:val="left"/>
        <w:tblInd w:w="0" w:type="dxa"/>
        <w:tblLayout w:type="fixed"/>
        <w:tblCellMar>
          <w:top w:w="0" w:type="dxa"/>
          <w:left w:w="108" w:type="dxa"/>
          <w:bottom w:w="0" w:type="dxa"/>
          <w:right w:w="108" w:type="dxa"/>
        </w:tblCellMar>
      </w:tblPr>
      <w:tblGrid>
        <w:gridCol w:w="1384"/>
        <w:gridCol w:w="5528"/>
        <w:gridCol w:w="2410"/>
      </w:tblGrid>
      <w:tr>
        <w:trPr>
          <w:trHeight w:val="285" w:hRule="atLeast"/>
        </w:trPr>
        <w:tc>
          <w:tcPr>
            <w:tcW w:w="1384"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 w:hAnsi="宋体" w:cs="宋体"/>
                <w:b/>
                <w:b/>
                <w:szCs w:val="21"/>
              </w:rPr>
            </w:pPr>
            <w:r>
              <w:rPr>
                <w:rFonts w:ascii="宋体" w:hAnsi="宋体" w:cs="宋体"/>
                <w:b/>
                <w:szCs w:val="21"/>
              </w:rPr>
              <w:t>版本号</w:t>
            </w:r>
          </w:p>
        </w:tc>
        <w:tc>
          <w:tcPr>
            <w:tcW w:w="5528"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ind w:firstLine="2108"/>
              <w:rPr>
                <w:rFonts w:ascii="宋体" w:hAnsi="宋体" w:cs="宋体"/>
                <w:b/>
                <w:b/>
                <w:color w:val="000000"/>
                <w:szCs w:val="21"/>
              </w:rPr>
            </w:pPr>
            <w:r>
              <w:rPr>
                <w:rFonts w:ascii="宋体" w:hAnsi="宋体" w:cs="宋体"/>
                <w:b/>
                <w:szCs w:val="21"/>
              </w:rPr>
              <w:t>更改描述</w:t>
            </w:r>
          </w:p>
        </w:tc>
        <w:tc>
          <w:tcPr>
            <w:tcW w:w="2410"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 w:hAnsi="宋体" w:cs="宋体"/>
                <w:b/>
                <w:b/>
                <w:color w:val="000000"/>
                <w:szCs w:val="21"/>
              </w:rPr>
            </w:pPr>
            <w:r>
              <w:rPr>
                <w:rFonts w:ascii="宋体" w:hAnsi="宋体" w:cs="宋体"/>
                <w:b/>
                <w:color w:val="000000"/>
                <w:szCs w:val="21"/>
              </w:rPr>
              <w:t>生效日期</w:t>
            </w:r>
          </w:p>
        </w:tc>
      </w:tr>
      <w:tr>
        <w:trPr/>
        <w:tc>
          <w:tcPr>
            <w:tcW w:w="1384"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 w:hAnsi="宋体" w:eastAsia="宋体" w:cs="宋体"/>
                <w:sz w:val="21"/>
              </w:rPr>
            </w:pPr>
            <w:r>
              <w:rPr>
                <w:rFonts w:eastAsia="宋体" w:cs="宋体" w:ascii="宋体" w:hAnsi="宋体"/>
                <w:sz w:val="21"/>
              </w:rPr>
              <w:t>A00</w:t>
            </w:r>
          </w:p>
        </w:tc>
        <w:tc>
          <w:tcPr>
            <w:tcW w:w="5528"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firstLine="2100"/>
              <w:rPr>
                <w:rFonts w:ascii="宋体" w:hAnsi="宋体" w:eastAsia="宋体" w:cs="宋体"/>
                <w:sz w:val="21"/>
              </w:rPr>
            </w:pPr>
            <w:r>
              <w:rPr>
                <w:rFonts w:ascii="宋体" w:hAnsi="宋体" w:cs="宋体" w:eastAsia="宋体"/>
                <w:sz w:val="21"/>
              </w:rPr>
              <w:t>新文件</w:t>
            </w:r>
          </w:p>
        </w:tc>
        <w:tc>
          <w:tcPr>
            <w:tcW w:w="2410"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 w:hAnsi="宋体" w:eastAsia="宋体" w:cs="宋体"/>
                <w:sz w:val="21"/>
              </w:rPr>
            </w:pPr>
            <w:r>
              <w:rPr>
                <w:rFonts w:eastAsia="宋体" w:cs="宋体" w:ascii="宋体" w:hAnsi="宋体"/>
                <w:sz w:val="21"/>
              </w:rPr>
              <w:t>2</w:t>
            </w:r>
            <w:r>
              <w:rPr>
                <w:rFonts w:eastAsia="宋体" w:cs="宋体" w:ascii="宋体" w:hAnsi="宋体"/>
                <w:sz w:val="21"/>
              </w:rPr>
              <w:t>020</w:t>
            </w:r>
            <w:r>
              <w:rPr>
                <w:rFonts w:eastAsia="宋体" w:cs="宋体" w:ascii="宋体" w:hAnsi="宋体"/>
                <w:sz w:val="21"/>
              </w:rPr>
              <w:t>-</w:t>
            </w:r>
            <w:r>
              <w:rPr>
                <w:rFonts w:eastAsia="宋体" w:cs="宋体" w:ascii="宋体" w:hAnsi="宋体"/>
                <w:sz w:val="21"/>
              </w:rPr>
              <w:t>06</w:t>
            </w:r>
            <w:r>
              <w:rPr>
                <w:rFonts w:eastAsia="宋体" w:cs="宋体" w:ascii="宋体" w:hAnsi="宋体"/>
                <w:sz w:val="21"/>
              </w:rPr>
              <w:t>-</w:t>
            </w:r>
            <w:r>
              <w:rPr>
                <w:rFonts w:eastAsia="宋体" w:cs="宋体" w:ascii="宋体" w:hAnsi="宋体"/>
                <w:sz w:val="21"/>
              </w:rPr>
              <w:t>22</w:t>
            </w:r>
          </w:p>
        </w:tc>
      </w:tr>
    </w:tbl>
    <w:p>
      <w:pPr>
        <w:pStyle w:val="Normal"/>
        <w:spacing w:lineRule="exact" w:line="460"/>
        <w:rPr>
          <w:rFonts w:ascii="宋体" w:hAnsi="宋体" w:cs="宋体"/>
          <w:szCs w:val="21"/>
        </w:rPr>
      </w:pPr>
      <w:r>
        <w:rPr>
          <w:rFonts w:cs="宋体" w:ascii="宋体" w:hAnsi="宋体"/>
          <w:szCs w:val="21"/>
        </w:rPr>
      </w:r>
    </w:p>
    <w:sectPr>
      <w:headerReference w:type="default" r:id="rId8"/>
      <w:headerReference w:type="first" r:id="rId9"/>
      <w:footerReference w:type="default" r:id="rId10"/>
      <w:footerReference w:type="first" r:id="rId11"/>
      <w:type w:val="nextPage"/>
      <w:pgSz w:w="11906" w:h="16838"/>
      <w:pgMar w:left="1418" w:right="1276" w:gutter="0" w:header="851" w:top="1134" w:footer="777" w:bottom="1134"/>
      <w:pgNumType w:start="1"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Black">
    <w:charset w:val="00"/>
    <w:family w:val="swiss"/>
    <w:pitch w:val="default"/>
  </w:font>
  <w:font w:name="Wingdings">
    <w:charset w:val="02"/>
    <w:family w:val="auto"/>
    <w:pitch w:val="default"/>
  </w:font>
  <w:font w:name="Liberation Sans">
    <w:altName w:val="Arial"/>
    <w:charset w:val="01"/>
    <w:family w:val="swiss"/>
    <w:pitch w:val="variable"/>
  </w:font>
  <w:font w:name="ËÎÌå">
    <w:altName w:val="宋体"/>
    <w:charset w:val="86"/>
    <w:family w:val="auto"/>
    <w:pitch w:val="default"/>
  </w:font>
  <w:font w:name="宋体">
    <w:charset w:val="86"/>
    <w:family w:val="auto"/>
    <w:pitch w:val="default"/>
  </w:font>
  <w:font w:name="Arial">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55" w:type="dxa"/>
      <w:jc w:val="left"/>
      <w:tblInd w:w="392" w:type="dxa"/>
      <w:tblLayout w:type="fixed"/>
      <w:tblCellMar>
        <w:top w:w="0" w:type="dxa"/>
        <w:left w:w="108" w:type="dxa"/>
        <w:bottom w:w="0" w:type="dxa"/>
        <w:right w:w="108" w:type="dxa"/>
      </w:tblCellMar>
    </w:tblPr>
    <w:tblGrid>
      <w:gridCol w:w="1384"/>
      <w:gridCol w:w="4536"/>
      <w:gridCol w:w="2835"/>
    </w:tblGrid>
    <w:tr>
      <w:trPr>
        <w:trHeight w:val="327" w:hRule="atLeast"/>
      </w:trPr>
      <w:tc>
        <w:tcPr>
          <w:tcW w:w="1384"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pPr>
          <w:r>
            <w:rPr/>
            <w:t>文件名称</w:t>
          </w:r>
          <w:r>
            <w:rPr>
              <w:rFonts w:eastAsia="Times New Roman"/>
            </w:rPr>
            <w:t xml:space="preserve">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t>纠正和预防措施控制程序</w:t>
          </w:r>
        </w:p>
      </w:tc>
      <w:tc>
        <w:tcPr>
          <w:tcW w:w="2835"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kern w:val="0"/>
              <w:sz w:val="24"/>
            </w:rPr>
          </w:pPr>
          <w:r>
            <w:rPr>
              <w:kern w:val="0"/>
              <w:sz w:val="24"/>
            </w:rPr>
            <w:t>文件编号：</w:t>
          </w:r>
          <w:r>
            <w:rPr>
              <w:rFonts w:eastAsia="Times New Roman"/>
              <w:kern w:val="0"/>
              <w:sz w:val="24"/>
            </w:rPr>
            <w:t xml:space="preserve"> </w:t>
          </w:r>
          <w:r>
            <w:rPr>
              <w:kern w:val="0"/>
              <w:sz w:val="24"/>
            </w:rPr>
            <w:t>QMS</w:t>
          </w:r>
          <w:r>
            <w:rPr>
              <w:kern w:val="0"/>
              <w:sz w:val="24"/>
            </w:rPr>
            <w:t>-</w:t>
          </w:r>
          <w:r>
            <w:rPr>
              <w:kern w:val="0"/>
              <w:sz w:val="24"/>
            </w:rPr>
            <w:t>P25</w:t>
          </w:r>
        </w:p>
      </w:tc>
    </w:tr>
    <w:tr>
      <w:trPr>
        <w:trHeight w:val="331" w:hRule="atLeast"/>
      </w:trPr>
      <w:tc>
        <w:tcPr>
          <w:tcW w:w="1384"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2835"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kern w:val="0"/>
              <w:sz w:val="24"/>
            </w:rPr>
          </w:pPr>
          <w:r>
            <w:rPr>
              <w:kern w:val="0"/>
              <w:sz w:val="24"/>
            </w:rPr>
            <w:t>版本修订号：</w:t>
          </w:r>
          <w:r>
            <w:rPr>
              <w:rFonts w:eastAsia="Times New Roman"/>
              <w:kern w:val="0"/>
              <w:sz w:val="24"/>
            </w:rPr>
            <w:t xml:space="preserve"> </w:t>
          </w:r>
          <w:r>
            <w:rPr>
              <w:kern w:val="0"/>
              <w:sz w:val="24"/>
            </w:rPr>
            <w:t>B00</w:t>
          </w:r>
        </w:p>
      </w:tc>
    </w:tr>
    <w:tr>
      <w:trPr>
        <w:trHeight w:val="399" w:hRule="atLeast"/>
      </w:trPr>
      <w:tc>
        <w:tcPr>
          <w:tcW w:w="5920"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kern w:val="0"/>
            </w:rPr>
          </w:pPr>
          <w:r>
            <w:rPr>
              <w:rFonts w:ascii="宋体" w:hAnsi="宋体" w:cs="宋体"/>
            </w:rPr>
            <w:t>上海深至信息科技有限公司</w:t>
          </w:r>
          <w:r>
            <w:rPr>
              <w:kern w:val="0"/>
            </w:rPr>
            <w:t>程序文件</w:t>
          </w:r>
        </w:p>
      </w:tc>
      <w:tc>
        <w:tcPr>
          <w:tcW w:w="2835"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kern w:val="0"/>
              <w:sz w:val="24"/>
            </w:rPr>
          </w:pPr>
          <w:r>
            <w:rPr>
              <w:kern w:val="0"/>
              <w:sz w:val="24"/>
            </w:rPr>
            <w:t>页</w:t>
          </w:r>
          <w:r>
            <w:rPr>
              <w:rFonts w:eastAsia="Times New Roman"/>
              <w:kern w:val="0"/>
              <w:sz w:val="24"/>
            </w:rPr>
            <w:t xml:space="preserve">     </w:t>
          </w:r>
          <w:r>
            <w:rPr>
              <w:kern w:val="0"/>
              <w:sz w:val="24"/>
            </w:rPr>
            <w:t>码：</w:t>
          </w:r>
          <w:r>
            <w:rPr>
              <w:rFonts w:eastAsia="Times New Roman"/>
              <w:kern w:val="0"/>
              <w:sz w:val="24"/>
            </w:rPr>
            <w:t xml:space="preserve"> </w:t>
          </w:r>
          <w:r>
            <w:rPr>
              <w:rFonts w:eastAsia="Times New Roman"/>
              <w:kern w:val="0"/>
              <w:sz w:val="24"/>
              <w:lang w:val="zh-CN"/>
            </w:rPr>
            <w:t xml:space="preserve"> </w:t>
          </w:r>
          <w:r>
            <w:rPr>
              <w:rFonts w:ascii="宋体" w:hAnsi="宋体" w:cs="宋体"/>
              <w:b/>
              <w:bCs/>
              <w:kern w:val="0"/>
              <w:sz w:val="24"/>
            </w:rPr>
            <w:fldChar w:fldCharType="begin"/>
          </w:r>
          <w:r>
            <w:rPr>
              <w:kern w:val="0"/>
              <w:sz w:val="24"/>
              <w:b/>
              <w:bCs/>
              <w:rFonts w:ascii="宋体" w:hAnsi="宋体" w:cs="宋体"/>
            </w:rPr>
            <w:instrText xml:space="preserve"> PAGE \* ARABIC </w:instrText>
          </w:r>
          <w:r>
            <w:rPr>
              <w:kern w:val="0"/>
              <w:sz w:val="24"/>
              <w:b/>
              <w:bCs/>
              <w:rFonts w:ascii="宋体" w:hAnsi="宋体" w:cs="宋体"/>
            </w:rPr>
            <w:fldChar w:fldCharType="separate"/>
          </w:r>
          <w:r>
            <w:rPr>
              <w:kern w:val="0"/>
              <w:sz w:val="24"/>
              <w:b/>
              <w:bCs/>
              <w:rFonts w:ascii="宋体" w:hAnsi="宋体" w:cs="宋体"/>
            </w:rPr>
            <w:t>0</w:t>
          </w:r>
          <w:r>
            <w:rPr>
              <w:kern w:val="0"/>
              <w:sz w:val="24"/>
              <w:b/>
              <w:bCs/>
              <w:rFonts w:ascii="宋体" w:hAnsi="宋体" w:cs="宋体"/>
            </w:rPr>
            <w:fldChar w:fldCharType="end"/>
          </w:r>
          <w:r>
            <w:rPr>
              <w:rFonts w:ascii="宋体" w:hAnsi="宋体" w:cs="宋体"/>
              <w:kern w:val="0"/>
              <w:sz w:val="24"/>
              <w:lang w:val="zh-CN"/>
            </w:rPr>
            <w:t xml:space="preserve"> </w:t>
          </w:r>
          <w:r>
            <w:rPr>
              <w:rFonts w:cs="宋体" w:ascii="宋体" w:hAnsi="宋体"/>
              <w:kern w:val="0"/>
              <w:sz w:val="24"/>
              <w:lang w:val="zh-CN"/>
            </w:rPr>
            <w:t xml:space="preserve">/ </w:t>
          </w:r>
          <w:r>
            <w:rPr>
              <w:rFonts w:cs="宋体" w:ascii="宋体" w:hAnsi="宋体"/>
              <w:b/>
              <w:bCs/>
              <w:kern w:val="0"/>
              <w:sz w:val="24"/>
            </w:rPr>
            <w:t>4</w:t>
          </w:r>
        </w:p>
      </w:tc>
    </w:tr>
  </w:tbl>
  <w:p>
    <w:pPr>
      <w:pStyle w:val="Header"/>
      <w:pBdr>
        <w:bottom w:val="nil"/>
      </w:pBdr>
      <w:jc w:val="both"/>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55" w:type="dxa"/>
      <w:jc w:val="left"/>
      <w:tblInd w:w="392" w:type="dxa"/>
      <w:tblLayout w:type="fixed"/>
      <w:tblCellMar>
        <w:top w:w="0" w:type="dxa"/>
        <w:left w:w="108" w:type="dxa"/>
        <w:bottom w:w="0" w:type="dxa"/>
        <w:right w:w="108" w:type="dxa"/>
      </w:tblCellMar>
    </w:tblPr>
    <w:tblGrid>
      <w:gridCol w:w="1384"/>
      <w:gridCol w:w="4536"/>
      <w:gridCol w:w="2835"/>
    </w:tblGrid>
    <w:tr>
      <w:trPr>
        <w:trHeight w:val="327" w:hRule="atLeast"/>
      </w:trPr>
      <w:tc>
        <w:tcPr>
          <w:tcW w:w="1384"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pPr>
          <w:r>
            <w:rPr/>
            <w:t>文件名称</w:t>
          </w:r>
          <w:r>
            <w:rPr>
              <w:rFonts w:eastAsia="Times New Roman"/>
            </w:rPr>
            <w:t xml:space="preserve">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t>纠正和预防措施控制程序</w:t>
          </w:r>
        </w:p>
      </w:tc>
      <w:tc>
        <w:tcPr>
          <w:tcW w:w="2835"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文件编号：</w:t>
          </w:r>
          <w:r>
            <w:rPr>
              <w:rFonts w:eastAsia="Times New Roman"/>
              <w:kern w:val="0"/>
              <w:sz w:val="24"/>
            </w:rPr>
            <w:t xml:space="preserve"> </w:t>
          </w:r>
          <w:r>
            <w:rPr>
              <w:kern w:val="0"/>
              <w:sz w:val="24"/>
            </w:rPr>
            <w:t>QMS</w:t>
          </w:r>
          <w:r>
            <w:rPr>
              <w:kern w:val="0"/>
              <w:sz w:val="24"/>
            </w:rPr>
            <w:t>-</w:t>
          </w:r>
          <w:r>
            <w:rPr>
              <w:kern w:val="0"/>
              <w:sz w:val="24"/>
            </w:rPr>
            <w:t>P25</w:t>
          </w:r>
        </w:p>
      </w:tc>
    </w:tr>
    <w:tr>
      <w:trPr>
        <w:trHeight w:val="331" w:hRule="atLeast"/>
      </w:trPr>
      <w:tc>
        <w:tcPr>
          <w:tcW w:w="1384"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2835"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版本修订号：</w:t>
          </w:r>
          <w:r>
            <w:rPr>
              <w:rFonts w:eastAsia="Times New Roman"/>
              <w:kern w:val="0"/>
              <w:sz w:val="24"/>
            </w:rPr>
            <w:t xml:space="preserve"> </w:t>
          </w:r>
          <w:r>
            <w:rPr>
              <w:kern w:val="0"/>
              <w:sz w:val="24"/>
            </w:rPr>
            <w:t>A00</w:t>
          </w:r>
        </w:p>
      </w:tc>
    </w:tr>
    <w:tr>
      <w:trPr>
        <w:trHeight w:val="399" w:hRule="atLeast"/>
      </w:trPr>
      <w:tc>
        <w:tcPr>
          <w:tcW w:w="5920"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 w:hAnsi="宋体" w:cs="宋体"/>
            </w:rPr>
            <w:t>上海深至信息科技有限公司</w:t>
          </w:r>
          <w:r>
            <w:rPr>
              <w:kern w:val="0"/>
            </w:rPr>
            <w:t>程序文件</w:t>
          </w:r>
        </w:p>
      </w:tc>
      <w:tc>
        <w:tcPr>
          <w:tcW w:w="2835"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页</w:t>
          </w:r>
          <w:r>
            <w:rPr>
              <w:rFonts w:eastAsia="Times New Roman"/>
              <w:kern w:val="0"/>
              <w:sz w:val="24"/>
            </w:rPr>
            <w:t xml:space="preserve">     </w:t>
          </w:r>
          <w:r>
            <w:rPr>
              <w:kern w:val="0"/>
              <w:sz w:val="24"/>
            </w:rPr>
            <w:t>码：</w:t>
          </w:r>
          <w:r>
            <w:rPr>
              <w:rFonts w:eastAsia="Times New Roman"/>
            </w:rPr>
            <w:t xml:space="preserve"> </w:t>
          </w:r>
          <w:r>
            <w:rPr>
              <w:rFonts w:eastAsia="Times New Roman"/>
            </w:rPr>
            <w:t xml:space="preserve"> </w:t>
          </w:r>
          <w:r>
            <w:rPr/>
            <w:fldChar w:fldCharType="begin"/>
          </w:r>
          <w:r>
            <w:rPr/>
            <w:instrText xml:space="preserve"> PAGE \* ARABIC </w:instrText>
          </w:r>
          <w:r>
            <w:rPr/>
            <w:fldChar w:fldCharType="separate"/>
          </w:r>
          <w:r>
            <w:rPr/>
            <w:t>1</w:t>
          </w:r>
          <w:r>
            <w:rPr/>
            <w:fldChar w:fldCharType="end"/>
          </w:r>
          <w:r>
            <w:rPr>
              <w:rFonts w:eastAsia="Times New Roman"/>
            </w:rPr>
            <w:t xml:space="preserve"> </w:t>
          </w:r>
          <w:r>
            <w:rPr/>
            <w:t>/ 4</w:t>
          </w:r>
        </w:p>
      </w:tc>
    </w:tr>
  </w:tbl>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55" w:type="dxa"/>
      <w:jc w:val="left"/>
      <w:tblInd w:w="392" w:type="dxa"/>
      <w:tblLayout w:type="fixed"/>
      <w:tblCellMar>
        <w:top w:w="0" w:type="dxa"/>
        <w:left w:w="108" w:type="dxa"/>
        <w:bottom w:w="0" w:type="dxa"/>
        <w:right w:w="108" w:type="dxa"/>
      </w:tblCellMar>
    </w:tblPr>
    <w:tblGrid>
      <w:gridCol w:w="1384"/>
      <w:gridCol w:w="4536"/>
      <w:gridCol w:w="2835"/>
    </w:tblGrid>
    <w:tr>
      <w:trPr>
        <w:trHeight w:val="327" w:hRule="atLeast"/>
      </w:trPr>
      <w:tc>
        <w:tcPr>
          <w:tcW w:w="1384"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pPr>
          <w:r>
            <w:rPr/>
            <w:t>文件名称</w:t>
          </w:r>
          <w:r>
            <w:rPr>
              <w:rFonts w:eastAsia="Times New Roman"/>
            </w:rPr>
            <w:t xml:space="preserve">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t>纠正和预防措施控制程序</w:t>
          </w:r>
        </w:p>
      </w:tc>
      <w:tc>
        <w:tcPr>
          <w:tcW w:w="2835"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文件编号：</w:t>
          </w:r>
          <w:r>
            <w:rPr>
              <w:rFonts w:eastAsia="Times New Roman"/>
              <w:kern w:val="0"/>
              <w:sz w:val="24"/>
            </w:rPr>
            <w:t xml:space="preserve"> </w:t>
          </w:r>
          <w:r>
            <w:rPr>
              <w:kern w:val="0"/>
              <w:sz w:val="24"/>
            </w:rPr>
            <w:t>QMS</w:t>
          </w:r>
          <w:r>
            <w:rPr>
              <w:kern w:val="0"/>
              <w:sz w:val="24"/>
            </w:rPr>
            <w:t>-</w:t>
          </w:r>
          <w:r>
            <w:rPr>
              <w:kern w:val="0"/>
              <w:sz w:val="24"/>
            </w:rPr>
            <w:t>P25</w:t>
          </w:r>
        </w:p>
      </w:tc>
    </w:tr>
    <w:tr>
      <w:trPr>
        <w:trHeight w:val="331" w:hRule="atLeast"/>
      </w:trPr>
      <w:tc>
        <w:tcPr>
          <w:tcW w:w="1384"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2835"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版本修订号：</w:t>
          </w:r>
          <w:r>
            <w:rPr>
              <w:rFonts w:eastAsia="Times New Roman"/>
              <w:kern w:val="0"/>
              <w:sz w:val="24"/>
            </w:rPr>
            <w:t xml:space="preserve"> </w:t>
          </w:r>
          <w:r>
            <w:rPr>
              <w:kern w:val="0"/>
              <w:sz w:val="24"/>
            </w:rPr>
            <w:t>B00</w:t>
          </w:r>
        </w:p>
      </w:tc>
    </w:tr>
    <w:tr>
      <w:trPr>
        <w:trHeight w:val="399" w:hRule="atLeast"/>
      </w:trPr>
      <w:tc>
        <w:tcPr>
          <w:tcW w:w="5920"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 w:hAnsi="宋体" w:cs="宋体"/>
            </w:rPr>
            <w:t>上海深至信息科技有限公司</w:t>
          </w:r>
          <w:r>
            <w:rPr>
              <w:kern w:val="0"/>
            </w:rPr>
            <w:t>程序文件</w:t>
          </w:r>
        </w:p>
      </w:tc>
      <w:tc>
        <w:tcPr>
          <w:tcW w:w="2835"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页</w:t>
          </w:r>
          <w:r>
            <w:rPr>
              <w:rFonts w:eastAsia="Times New Roman"/>
              <w:kern w:val="0"/>
              <w:sz w:val="24"/>
            </w:rPr>
            <w:t xml:space="preserve">     </w:t>
          </w:r>
          <w:r>
            <w:rPr>
              <w:kern w:val="0"/>
              <w:sz w:val="24"/>
            </w:rPr>
            <w:t>码：</w:t>
          </w:r>
          <w:r>
            <w:rPr>
              <w:rFonts w:eastAsia="Times New Roman"/>
              <w:kern w:val="0"/>
              <w:sz w:val="24"/>
            </w:rPr>
            <w:t xml:space="preserve"> </w:t>
          </w:r>
          <w:r>
            <w:rPr>
              <w:rFonts w:eastAsia="Times New Roman"/>
              <w:kern w:val="0"/>
              <w:sz w:val="24"/>
              <w:lang w:val="zh-CN"/>
            </w:rPr>
            <w:t xml:space="preserve"> </w:t>
          </w:r>
          <w:r>
            <w:rPr>
              <w:rFonts w:ascii="宋体" w:hAnsi="宋体" w:cs="宋体"/>
              <w:b/>
              <w:bCs/>
              <w:kern w:val="0"/>
              <w:sz w:val="24"/>
            </w:rPr>
            <w:fldChar w:fldCharType="begin"/>
          </w:r>
          <w:r>
            <w:rPr>
              <w:kern w:val="0"/>
              <w:sz w:val="24"/>
              <w:b/>
              <w:bCs/>
              <w:rFonts w:ascii="宋体" w:hAnsi="宋体" w:cs="宋体"/>
            </w:rPr>
            <w:instrText xml:space="preserve"> PAGE \* ARABIC </w:instrText>
          </w:r>
          <w:r>
            <w:rPr>
              <w:kern w:val="0"/>
              <w:sz w:val="24"/>
              <w:b/>
              <w:bCs/>
              <w:rFonts w:ascii="宋体" w:hAnsi="宋体" w:cs="宋体"/>
            </w:rPr>
            <w:fldChar w:fldCharType="separate"/>
          </w:r>
          <w:r>
            <w:rPr>
              <w:kern w:val="0"/>
              <w:sz w:val="24"/>
              <w:b/>
              <w:bCs/>
              <w:rFonts w:ascii="宋体" w:hAnsi="宋体" w:cs="宋体"/>
            </w:rPr>
            <w:t>4</w:t>
          </w:r>
          <w:r>
            <w:rPr>
              <w:kern w:val="0"/>
              <w:sz w:val="24"/>
              <w:b/>
              <w:bCs/>
              <w:rFonts w:ascii="宋体" w:hAnsi="宋体" w:cs="宋体"/>
            </w:rPr>
            <w:fldChar w:fldCharType="end"/>
          </w:r>
          <w:r>
            <w:rPr>
              <w:rFonts w:ascii="宋体" w:hAnsi="宋体" w:cs="宋体"/>
              <w:kern w:val="0"/>
              <w:sz w:val="24"/>
              <w:lang w:val="zh-CN"/>
            </w:rPr>
            <w:t xml:space="preserve"> </w:t>
          </w:r>
          <w:r>
            <w:rPr>
              <w:rFonts w:cs="宋体" w:ascii="宋体" w:hAnsi="宋体"/>
              <w:kern w:val="0"/>
              <w:sz w:val="24"/>
              <w:lang w:val="zh-CN"/>
            </w:rPr>
            <w:t xml:space="preserve">/ </w:t>
          </w:r>
          <w:r>
            <w:rPr>
              <w:rFonts w:cs="宋体" w:ascii="宋体" w:hAnsi="宋体"/>
              <w:b/>
              <w:bCs/>
              <w:kern w:val="0"/>
              <w:sz w:val="24"/>
            </w:rPr>
            <w:t>4</w:t>
          </w:r>
        </w:p>
      </w:tc>
    </w:tr>
  </w:tbl>
  <w:p>
    <w:pPr>
      <w:pStyle w:val="Header"/>
      <w:pBdr>
        <w:bottom w:val="nil"/>
      </w:pBdr>
      <w:jc w:val="both"/>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55" w:type="dxa"/>
      <w:jc w:val="left"/>
      <w:tblInd w:w="392" w:type="dxa"/>
      <w:tblLayout w:type="fixed"/>
      <w:tblCellMar>
        <w:top w:w="0" w:type="dxa"/>
        <w:left w:w="108" w:type="dxa"/>
        <w:bottom w:w="0" w:type="dxa"/>
        <w:right w:w="108" w:type="dxa"/>
      </w:tblCellMar>
    </w:tblPr>
    <w:tblGrid>
      <w:gridCol w:w="1384"/>
      <w:gridCol w:w="4536"/>
      <w:gridCol w:w="2835"/>
    </w:tblGrid>
    <w:tr>
      <w:trPr>
        <w:trHeight w:val="327" w:hRule="atLeast"/>
      </w:trPr>
      <w:tc>
        <w:tcPr>
          <w:tcW w:w="1384"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pPr>
          <w:r>
            <w:rPr/>
            <w:t>文件名称</w:t>
          </w:r>
          <w:r>
            <w:rPr>
              <w:rFonts w:eastAsia="Times New Roman"/>
            </w:rPr>
            <w:t xml:space="preserve">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t>纠正和预防措施控制程序</w:t>
          </w:r>
        </w:p>
      </w:tc>
      <w:tc>
        <w:tcPr>
          <w:tcW w:w="2835"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文件编号：</w:t>
          </w:r>
          <w:r>
            <w:rPr>
              <w:rFonts w:eastAsia="Times New Roman"/>
              <w:kern w:val="0"/>
              <w:sz w:val="24"/>
            </w:rPr>
            <w:t xml:space="preserve"> </w:t>
          </w:r>
          <w:r>
            <w:rPr>
              <w:kern w:val="0"/>
              <w:sz w:val="24"/>
            </w:rPr>
            <w:t>QMS</w:t>
          </w:r>
          <w:r>
            <w:rPr>
              <w:kern w:val="0"/>
              <w:sz w:val="24"/>
            </w:rPr>
            <w:t>-</w:t>
          </w:r>
          <w:r>
            <w:rPr>
              <w:kern w:val="0"/>
              <w:sz w:val="24"/>
            </w:rPr>
            <w:t>P25</w:t>
          </w:r>
        </w:p>
      </w:tc>
    </w:tr>
    <w:tr>
      <w:trPr>
        <w:trHeight w:val="331" w:hRule="atLeast"/>
      </w:trPr>
      <w:tc>
        <w:tcPr>
          <w:tcW w:w="1384"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2835"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版本修订号：</w:t>
          </w:r>
          <w:r>
            <w:rPr>
              <w:rFonts w:eastAsia="Times New Roman"/>
              <w:kern w:val="0"/>
              <w:sz w:val="24"/>
            </w:rPr>
            <w:t xml:space="preserve"> </w:t>
          </w:r>
          <w:r>
            <w:rPr>
              <w:kern w:val="0"/>
              <w:sz w:val="24"/>
            </w:rPr>
            <w:t>A00</w:t>
          </w:r>
        </w:p>
      </w:tc>
    </w:tr>
    <w:tr>
      <w:trPr>
        <w:trHeight w:val="399" w:hRule="atLeast"/>
      </w:trPr>
      <w:tc>
        <w:tcPr>
          <w:tcW w:w="5920"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 w:hAnsi="宋体" w:cs="宋体"/>
            </w:rPr>
            <w:t>上海深至信息科技有限公司</w:t>
          </w:r>
          <w:r>
            <w:rPr>
              <w:kern w:val="0"/>
            </w:rPr>
            <w:t>程序文件</w:t>
          </w:r>
        </w:p>
      </w:tc>
      <w:tc>
        <w:tcPr>
          <w:tcW w:w="2835"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页</w:t>
          </w:r>
          <w:r>
            <w:rPr>
              <w:rFonts w:eastAsia="Times New Roman"/>
              <w:kern w:val="0"/>
              <w:sz w:val="24"/>
            </w:rPr>
            <w:t xml:space="preserve">     </w:t>
          </w:r>
          <w:r>
            <w:rPr>
              <w:kern w:val="0"/>
              <w:sz w:val="24"/>
            </w:rPr>
            <w:t>码：</w:t>
          </w:r>
          <w:r>
            <w:rPr>
              <w:rFonts w:eastAsia="Times New Roman"/>
            </w:rPr>
            <w:t xml:space="preserve"> </w:t>
          </w:r>
          <w:r>
            <w:rPr>
              <w:rFonts w:eastAsia="Times New Roman"/>
            </w:rPr>
            <w:t xml:space="preserve"> </w:t>
          </w:r>
          <w:r>
            <w:rPr/>
            <w:fldChar w:fldCharType="begin"/>
          </w:r>
          <w:r>
            <w:rPr/>
            <w:instrText xml:space="preserve"> PAGE \* ARABIC </w:instrText>
          </w:r>
          <w:r>
            <w:rPr/>
            <w:fldChar w:fldCharType="separate"/>
          </w:r>
          <w:r>
            <w:rPr/>
            <w:t>1</w:t>
          </w:r>
          <w:r>
            <w:rPr/>
            <w:fldChar w:fldCharType="end"/>
          </w:r>
          <w:r>
            <w:rPr>
              <w:rFonts w:eastAsia="Times New Roman"/>
            </w:rPr>
            <w:t xml:space="preserve"> </w:t>
          </w:r>
          <w:r>
            <w:rPr/>
            <w:t>/ 4</w:t>
          </w:r>
        </w:p>
      </w:tc>
    </w:tr>
  </w:tbl>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420"/>
        </w:tabs>
        <w:ind w:left="903" w:hanging="420"/>
      </w:pPr>
      <w:rPr>
        <w:rFonts w:ascii="Wingdings" w:hAnsi="Wingdings" w:cs="Wingdings" w:hint="default"/>
      </w:rPr>
    </w:lvl>
    <w:lvl w:ilvl="1">
      <w:start w:val="1"/>
      <w:numFmt w:val="bullet"/>
      <w:lvlText w:val=""/>
      <w:lvlJc w:val="left"/>
      <w:pPr>
        <w:tabs>
          <w:tab w:val="num" w:pos="0"/>
        </w:tabs>
        <w:ind w:left="1323" w:hanging="420"/>
      </w:pPr>
      <w:rPr>
        <w:rFonts w:ascii="Wingdings" w:hAnsi="Wingdings" w:cs="Wingdings" w:hint="default"/>
      </w:rPr>
    </w:lvl>
    <w:lvl w:ilvl="2">
      <w:start w:val="1"/>
      <w:numFmt w:val="bullet"/>
      <w:lvlText w:val=""/>
      <w:lvlJc w:val="left"/>
      <w:pPr>
        <w:tabs>
          <w:tab w:val="num" w:pos="0"/>
        </w:tabs>
        <w:ind w:left="1743" w:hanging="420"/>
      </w:pPr>
      <w:rPr>
        <w:rFonts w:ascii="Wingdings" w:hAnsi="Wingdings" w:cs="Wingdings" w:hint="default"/>
      </w:rPr>
    </w:lvl>
    <w:lvl w:ilvl="3">
      <w:start w:val="1"/>
      <w:numFmt w:val="bullet"/>
      <w:lvlText w:val=""/>
      <w:lvlJc w:val="left"/>
      <w:pPr>
        <w:tabs>
          <w:tab w:val="num" w:pos="0"/>
        </w:tabs>
        <w:ind w:left="2163" w:hanging="420"/>
      </w:pPr>
      <w:rPr>
        <w:rFonts w:ascii="Wingdings" w:hAnsi="Wingdings" w:cs="Wingdings" w:hint="default"/>
      </w:rPr>
    </w:lvl>
    <w:lvl w:ilvl="4">
      <w:start w:val="1"/>
      <w:numFmt w:val="bullet"/>
      <w:lvlText w:val=""/>
      <w:lvlJc w:val="left"/>
      <w:pPr>
        <w:tabs>
          <w:tab w:val="num" w:pos="0"/>
        </w:tabs>
        <w:ind w:left="2583" w:hanging="420"/>
      </w:pPr>
      <w:rPr>
        <w:rFonts w:ascii="Wingdings" w:hAnsi="Wingdings" w:cs="Wingdings" w:hint="default"/>
      </w:rPr>
    </w:lvl>
    <w:lvl w:ilvl="5">
      <w:start w:val="1"/>
      <w:numFmt w:val="bullet"/>
      <w:lvlText w:val=""/>
      <w:lvlJc w:val="left"/>
      <w:pPr>
        <w:tabs>
          <w:tab w:val="num" w:pos="0"/>
        </w:tabs>
        <w:ind w:left="3003" w:hanging="420"/>
      </w:pPr>
      <w:rPr>
        <w:rFonts w:ascii="Wingdings" w:hAnsi="Wingdings" w:cs="Wingdings" w:hint="default"/>
      </w:rPr>
    </w:lvl>
    <w:lvl w:ilvl="6">
      <w:start w:val="1"/>
      <w:numFmt w:val="bullet"/>
      <w:lvlText w:val=""/>
      <w:lvlJc w:val="left"/>
      <w:pPr>
        <w:tabs>
          <w:tab w:val="num" w:pos="0"/>
        </w:tabs>
        <w:ind w:left="3423" w:hanging="420"/>
      </w:pPr>
      <w:rPr>
        <w:rFonts w:ascii="Wingdings" w:hAnsi="Wingdings" w:cs="Wingdings" w:hint="default"/>
      </w:rPr>
    </w:lvl>
    <w:lvl w:ilvl="7">
      <w:start w:val="1"/>
      <w:numFmt w:val="bullet"/>
      <w:lvlText w:val=""/>
      <w:lvlJc w:val="left"/>
      <w:pPr>
        <w:tabs>
          <w:tab w:val="num" w:pos="0"/>
        </w:tabs>
        <w:ind w:left="3843" w:hanging="420"/>
      </w:pPr>
      <w:rPr>
        <w:rFonts w:ascii="Wingdings" w:hAnsi="Wingdings" w:cs="Wingdings" w:hint="default"/>
      </w:rPr>
    </w:lvl>
    <w:lvl w:ilvl="8">
      <w:start w:val="1"/>
      <w:numFmt w:val="bullet"/>
      <w:lvlText w:val=""/>
      <w:lvlJc w:val="left"/>
      <w:pPr>
        <w:tabs>
          <w:tab w:val="num" w:pos="0"/>
        </w:tabs>
        <w:ind w:left="4263" w:hanging="42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1z0">
    <w:name w:val="WW8Num1z0"/>
    <w:qFormat/>
    <w:rPr>
      <w:rFonts w:ascii="Wingdings" w:hAnsi="Wingdings" w:cs="Wingdings"/>
    </w:rPr>
  </w:style>
  <w:style w:type="character" w:styleId="Style13">
    <w:name w:val="默认段落字体"/>
    <w:qFormat/>
    <w:rPr/>
  </w:style>
  <w:style w:type="character" w:styleId="Style14">
    <w:name w:val="日期 字符"/>
    <w:qFormat/>
    <w:rPr>
      <w:kern w:val="2"/>
      <w:sz w:val="21"/>
    </w:rPr>
  </w:style>
  <w:style w:type="character" w:styleId="Style15">
    <w:name w:val="批注框文本 字符"/>
    <w:qFormat/>
    <w:rPr>
      <w:kern w:val="2"/>
      <w:sz w:val="18"/>
      <w:szCs w:val="18"/>
    </w:rPr>
  </w:style>
  <w:style w:type="character" w:styleId="PageNumber">
    <w:name w:val="Page Number"/>
    <w:basedOn w:val="Style13"/>
    <w:rPr/>
  </w:style>
  <w:style w:type="character" w:styleId="St1">
    <w:name w:val="st1"/>
    <w:basedOn w:val="Style13"/>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BodyIndent">
    <w:name w:val="Body Text Indent"/>
    <w:basedOn w:val="Normal"/>
    <w:pPr>
      <w:spacing w:before="0" w:after="120"/>
      <w:ind w:left="420" w:hanging="0"/>
    </w:pPr>
    <w:rPr/>
  </w:style>
  <w:style w:type="paragraph" w:styleId="Style16">
    <w:name w:val="日期"/>
    <w:basedOn w:val="Normal"/>
    <w:next w:val="Normal"/>
    <w:qFormat/>
    <w:pPr/>
    <w:rPr>
      <w:szCs w:val="20"/>
    </w:rPr>
  </w:style>
  <w:style w:type="paragraph" w:styleId="2">
    <w:name w:val="正文文本缩进 2"/>
    <w:basedOn w:val="Normal"/>
    <w:qFormat/>
    <w:pPr>
      <w:widowControl/>
      <w:ind w:left="1260" w:hanging="180"/>
      <w:jc w:val="left"/>
    </w:pPr>
    <w:rPr>
      <w:rFonts w:ascii="ËÎÌå;宋体" w:hAnsi="ËÎÌå;宋体" w:eastAsia="ËÎÌå;宋体" w:cs="宋体"/>
      <w:kern w:val="0"/>
      <w:sz w:val="24"/>
      <w:szCs w:val="21"/>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widowControl/>
      <w:spacing w:before="0" w:after="120"/>
      <w:ind w:left="420" w:hanging="0"/>
      <w:jc w:val="left"/>
    </w:pPr>
    <w:rPr>
      <w:rFonts w:ascii="宋体" w:hAnsi="宋体" w:cs="宋体"/>
      <w:kern w:val="0"/>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2018-11-07T10:17:00Z</dcterms:created>
  <dc:creator>Hu</dc:creator>
  <dc:description/>
  <dc:language>en-US</dc:language>
  <cp:lastModifiedBy>M.Yu</cp:lastModifiedBy>
  <cp:lastPrinted>2020-07-04T14:46:00Z</cp:lastPrinted>
  <dcterms:modified xsi:type="dcterms:W3CDTF">2022-12-01T11:26:01Z</dcterms:modified>
  <cp:revision>60</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BD2EC58BCF1A4F978917C35706DDEC3A</vt:lpwstr>
  </property>
  <property fmtid="{D5CDD505-2E9C-101B-9397-08002B2CF9AE}" pid="3" name="KSOProductBuildVer">
    <vt:lpwstr>2052-11.1.0.12763</vt:lpwstr>
  </property>
  <property fmtid="{D5CDD505-2E9C-101B-9397-08002B2CF9AE}" pid="4" name="commondata">
    <vt:lpwstr>commondata</vt:lpwstr>
  </property>
</Properties>
</file>