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76A3" w14:textId="77777777" w:rsidR="00DB12C5" w:rsidRDefault="00000000">
      <w:pPr>
        <w:tabs>
          <w:tab w:val="center" w:pos="7712"/>
        </w:tabs>
        <w:spacing w:after="466" w:line="259" w:lineRule="auto"/>
        <w:ind w:left="0" w:firstLine="0"/>
        <w:jc w:val="left"/>
      </w:pPr>
      <w:r>
        <w:rPr>
          <w:rFonts w:ascii="微软雅黑" w:eastAsia="微软雅黑" w:hAnsi="微软雅黑" w:cs="微软雅黑"/>
        </w:rPr>
        <w:t>参考文献</w:t>
      </w:r>
      <w:r>
        <w:rPr>
          <w:rFonts w:ascii="微软雅黑" w:eastAsia="微软雅黑" w:hAnsi="微软雅黑" w:cs="微软雅黑"/>
        </w:rPr>
        <w:tab/>
      </w:r>
      <w:r>
        <w:t>1</w:t>
      </w:r>
    </w:p>
    <w:p w14:paraId="53DE4A84" w14:textId="77777777" w:rsidR="00DB12C5" w:rsidRDefault="00000000">
      <w:pPr>
        <w:spacing w:after="82" w:line="259" w:lineRule="auto"/>
        <w:ind w:left="488" w:right="1377" w:hanging="10"/>
        <w:jc w:val="left"/>
      </w:pPr>
      <w:r>
        <w:rPr>
          <w:rFonts w:ascii="微软雅黑" w:eastAsia="微软雅黑" w:hAnsi="微软雅黑" w:cs="微软雅黑"/>
        </w:rPr>
        <w:t>不同尺寸下的电堆，极化曲线基本相同，但是不同的气体流量会对电</w:t>
      </w:r>
    </w:p>
    <w:p w14:paraId="11DD9B2C" w14:textId="77777777" w:rsidR="00DB12C5" w:rsidRDefault="00000000">
      <w:pPr>
        <w:spacing w:after="82" w:line="259" w:lineRule="auto"/>
        <w:ind w:left="-5" w:right="1377" w:hanging="10"/>
        <w:jc w:val="left"/>
      </w:pPr>
      <w:r>
        <w:rPr>
          <w:rFonts w:ascii="微软雅黑" w:eastAsia="微软雅黑" w:hAnsi="微软雅黑" w:cs="微软雅黑"/>
        </w:rPr>
        <w:t>极处液态水的量有较大影响（小尺寸电堆对于气体流量更不敏感）</w:t>
      </w:r>
      <w:r>
        <w:t>[1]</w:t>
      </w:r>
    </w:p>
    <w:p w14:paraId="7D96AC11" w14:textId="77777777" w:rsidR="00DB12C5" w:rsidRDefault="00000000">
      <w:pPr>
        <w:spacing w:after="82" w:line="259" w:lineRule="auto"/>
        <w:ind w:left="488" w:right="1377" w:hanging="10"/>
        <w:jc w:val="left"/>
      </w:pPr>
      <w:r>
        <w:rPr>
          <w:rFonts w:ascii="微软雅黑" w:eastAsia="微软雅黑" w:hAnsi="微软雅黑" w:cs="微软雅黑"/>
        </w:rPr>
        <w:t xml:space="preserve">电堆中 </w:t>
      </w:r>
      <w:r>
        <w:t xml:space="preserve">Cell </w:t>
      </w:r>
      <w:r>
        <w:rPr>
          <w:rFonts w:ascii="微软雅黑" w:eastAsia="微软雅黑" w:hAnsi="微软雅黑" w:cs="微软雅黑"/>
        </w:rPr>
        <w:t>数量的多寡会影响性能，也会导致温度不均衡，进而导致</w:t>
      </w:r>
    </w:p>
    <w:p w14:paraId="1853F426" w14:textId="77777777" w:rsidR="00DB12C5" w:rsidRDefault="00000000">
      <w:pPr>
        <w:spacing w:after="0" w:line="338" w:lineRule="auto"/>
        <w:ind w:left="463" w:right="1377" w:hanging="478"/>
        <w:jc w:val="left"/>
      </w:pPr>
      <w:r>
        <w:rPr>
          <w:rFonts w:ascii="微软雅黑" w:eastAsia="微软雅黑" w:hAnsi="微软雅黑" w:cs="微软雅黑"/>
        </w:rPr>
        <w:t xml:space="preserve">水存量的不均衡 </w:t>
      </w:r>
      <w:r>
        <w:t xml:space="preserve">[2] </w:t>
      </w:r>
      <w:r>
        <w:rPr>
          <w:rFonts w:ascii="微软雅黑" w:eastAsia="微软雅黑" w:hAnsi="微软雅黑" w:cs="微软雅黑"/>
        </w:rPr>
        <w:t xml:space="preserve">解释了 </w:t>
      </w:r>
      <w:r>
        <w:t xml:space="preserve">PEMFC </w:t>
      </w:r>
      <w:r>
        <w:rPr>
          <w:rFonts w:ascii="微软雅黑" w:eastAsia="微软雅黑" w:hAnsi="微软雅黑" w:cs="微软雅黑"/>
        </w:rPr>
        <w:t>中水管理问题，提及了大型电堆可能与小型电堆的水</w:t>
      </w:r>
    </w:p>
    <w:p w14:paraId="67CA25E7" w14:textId="77777777" w:rsidR="00DB12C5" w:rsidRDefault="00000000">
      <w:pPr>
        <w:spacing w:after="82" w:line="259" w:lineRule="auto"/>
        <w:ind w:left="-5" w:right="1377" w:hanging="10"/>
        <w:jc w:val="left"/>
      </w:pPr>
      <w:r>
        <w:rPr>
          <w:rFonts w:ascii="微软雅黑" w:eastAsia="微软雅黑" w:hAnsi="微软雅黑" w:cs="微软雅黑"/>
        </w:rPr>
        <w:t xml:space="preserve">生成机理有区别 </w:t>
      </w:r>
      <w:r>
        <w:t>[3]</w:t>
      </w:r>
    </w:p>
    <w:p w14:paraId="511CEF6D" w14:textId="77777777" w:rsidR="00DB12C5" w:rsidRDefault="00000000">
      <w:pPr>
        <w:spacing w:after="82" w:line="259" w:lineRule="auto"/>
        <w:ind w:left="488" w:right="1377" w:hanging="10"/>
        <w:jc w:val="left"/>
      </w:pPr>
      <w:r>
        <w:rPr>
          <w:rFonts w:ascii="微软雅黑" w:eastAsia="微软雅黑" w:hAnsi="微软雅黑" w:cs="微软雅黑"/>
        </w:rPr>
        <w:t>大型电堆通常在低功率密度下工作，这可能会对水生成带来一定的影</w:t>
      </w:r>
    </w:p>
    <w:p w14:paraId="5E1A00A3" w14:textId="77777777" w:rsidR="00DB12C5" w:rsidRDefault="00000000">
      <w:pPr>
        <w:spacing w:after="568"/>
        <w:ind w:left="-15" w:right="1377" w:firstLine="0"/>
      </w:pPr>
      <w:r>
        <w:rPr>
          <w:rFonts w:ascii="微软雅黑" w:eastAsia="微软雅黑" w:hAnsi="微软雅黑" w:cs="微软雅黑"/>
        </w:rPr>
        <w:t xml:space="preserve">响 </w:t>
      </w:r>
      <w:r>
        <w:t>[4]</w:t>
      </w:r>
    </w:p>
    <w:p w14:paraId="26975777" w14:textId="77777777" w:rsidR="00DB12C5" w:rsidRDefault="00000000">
      <w:pPr>
        <w:spacing w:after="184" w:line="259" w:lineRule="auto"/>
        <w:ind w:left="3197" w:firstLine="0"/>
        <w:jc w:val="left"/>
      </w:pPr>
      <w:r>
        <w:rPr>
          <w:rFonts w:ascii="微软雅黑" w:eastAsia="微软雅黑" w:hAnsi="微软雅黑" w:cs="微软雅黑"/>
          <w:b/>
          <w:sz w:val="34"/>
        </w:rPr>
        <w:t>参考文献</w:t>
      </w:r>
    </w:p>
    <w:p w14:paraId="17033970" w14:textId="77777777" w:rsidR="00DB12C5" w:rsidRDefault="00000000">
      <w:pPr>
        <w:numPr>
          <w:ilvl w:val="0"/>
          <w:numId w:val="1"/>
        </w:numPr>
        <w:ind w:right="1377" w:hanging="367"/>
      </w:pPr>
      <w:r>
        <w:t>C. Bonnet, S. Didierjean, N. Guillet, S. Besse, T. Colinart, P. Carré, Design of an 80kWe PEM fuel cell system: Scale up effect investigation 182 (2) 441–448. doi:10.1016/j.jpowsour.2007.12.100.</w:t>
      </w:r>
    </w:p>
    <w:p w14:paraId="71BF42EB" w14:textId="77777777" w:rsidR="00DB12C5" w:rsidRDefault="00000000">
      <w:pPr>
        <w:spacing w:after="283" w:line="259" w:lineRule="auto"/>
        <w:ind w:left="367" w:firstLine="0"/>
        <w:jc w:val="left"/>
      </w:pPr>
      <w:r>
        <w:t xml:space="preserve">URL </w:t>
      </w:r>
      <w:r>
        <w:rPr>
          <w:rFonts w:ascii="Courier New" w:eastAsia="Courier New" w:hAnsi="Courier New" w:cs="Courier New"/>
        </w:rPr>
        <w:t>https://linkinghub.elsevier.com/retrieve/pii/S0378775307028674</w:t>
      </w:r>
    </w:p>
    <w:p w14:paraId="51772B47" w14:textId="77777777" w:rsidR="00DB12C5" w:rsidRDefault="00000000">
      <w:pPr>
        <w:numPr>
          <w:ilvl w:val="0"/>
          <w:numId w:val="1"/>
        </w:numPr>
        <w:spacing w:after="198"/>
        <w:ind w:right="1377" w:hanging="367"/>
      </w:pPr>
      <w:r>
        <w:t xml:space="preserve">M. Miller, A. Bazylak, A review of polymer electrolyte membrane fuel cell stack testing 196 (2) 601–613. doi:10.1016/j.jpowsour.2010.07.072. URL </w:t>
      </w:r>
      <w:r>
        <w:rPr>
          <w:rFonts w:ascii="Courier New" w:eastAsia="Courier New" w:hAnsi="Courier New" w:cs="Courier New"/>
        </w:rPr>
        <w:t>https://linkinghub.elsevier.com/retrieve/pii/S0378775310012954</w:t>
      </w:r>
    </w:p>
    <w:p w14:paraId="63C43103" w14:textId="77777777" w:rsidR="00DB12C5" w:rsidRDefault="00000000">
      <w:pPr>
        <w:numPr>
          <w:ilvl w:val="0"/>
          <w:numId w:val="1"/>
        </w:numPr>
        <w:spacing w:after="198"/>
        <w:ind w:right="1377" w:hanging="367"/>
      </w:pPr>
      <w:r>
        <w:t xml:space="preserve">M. Ji, Z. Wei, A Review of Water Management in Polymer Electrolyte Membrane Fuel Cells 2 (4) 1057–1106. doi:10.3390/en20401057. URL </w:t>
      </w:r>
      <w:r>
        <w:rPr>
          <w:rFonts w:ascii="Courier New" w:eastAsia="Courier New" w:hAnsi="Courier New" w:cs="Courier New"/>
        </w:rPr>
        <w:t>https://www.mdpi.com/1996-1073/2/4/1057</w:t>
      </w:r>
    </w:p>
    <w:p w14:paraId="78992158" w14:textId="77777777" w:rsidR="00DB12C5" w:rsidRDefault="00000000">
      <w:pPr>
        <w:numPr>
          <w:ilvl w:val="0"/>
          <w:numId w:val="1"/>
        </w:numPr>
        <w:ind w:right="1377" w:hanging="367"/>
      </w:pPr>
      <w:r>
        <w:lastRenderedPageBreak/>
        <w:t xml:space="preserve">M. Shojayian, E. Kjeang, Simulation of cathode catalyst durability under fuel cell vehicle operation </w:t>
      </w:r>
      <w:r>
        <w:rPr>
          <w:rFonts w:ascii="微软雅黑" w:eastAsia="微软雅黑" w:hAnsi="微软雅黑" w:cs="微软雅黑"/>
        </w:rPr>
        <w:t>–</w:t>
      </w:r>
      <w:r>
        <w:t>Effects of stack size and temperature 591 233820. doi:10.1016/j.jpowsour.2023.233820.</w:t>
      </w:r>
    </w:p>
    <w:p w14:paraId="25A12455" w14:textId="77777777" w:rsidR="00DB12C5" w:rsidRDefault="00000000">
      <w:pPr>
        <w:spacing w:after="0" w:line="259" w:lineRule="auto"/>
        <w:ind w:left="0" w:firstLine="0"/>
        <w:jc w:val="right"/>
      </w:pPr>
      <w:r>
        <w:t xml:space="preserve">URL </w:t>
      </w:r>
      <w:r>
        <w:rPr>
          <w:rFonts w:ascii="Courier New" w:eastAsia="Courier New" w:hAnsi="Courier New" w:cs="Courier New"/>
        </w:rPr>
        <w:t>https://www.sciencedirect.com/science/article/pii/S0378775323011965</w:t>
      </w:r>
    </w:p>
    <w:sectPr w:rsidR="00DB12C5">
      <w:pgSz w:w="12240" w:h="15840"/>
      <w:pgMar w:top="1440" w:right="1020" w:bottom="1440" w:left="20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E2B7F" w14:textId="77777777" w:rsidR="00DE637B" w:rsidRDefault="00DE637B" w:rsidP="003C5914">
      <w:pPr>
        <w:spacing w:after="0" w:line="240" w:lineRule="auto"/>
      </w:pPr>
      <w:r>
        <w:separator/>
      </w:r>
    </w:p>
  </w:endnote>
  <w:endnote w:type="continuationSeparator" w:id="0">
    <w:p w14:paraId="02F057AB" w14:textId="77777777" w:rsidR="00DE637B" w:rsidRDefault="00DE637B" w:rsidP="003C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6026" w14:textId="77777777" w:rsidR="00DE637B" w:rsidRDefault="00DE637B" w:rsidP="003C5914">
      <w:pPr>
        <w:spacing w:after="0" w:line="240" w:lineRule="auto"/>
      </w:pPr>
      <w:r>
        <w:separator/>
      </w:r>
    </w:p>
  </w:footnote>
  <w:footnote w:type="continuationSeparator" w:id="0">
    <w:p w14:paraId="73A5A077" w14:textId="77777777" w:rsidR="00DE637B" w:rsidRDefault="00DE637B" w:rsidP="003C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03530"/>
    <w:multiLevelType w:val="hybridMultilevel"/>
    <w:tmpl w:val="6E02BE7C"/>
    <w:lvl w:ilvl="0" w:tplc="2ABA6ABC">
      <w:start w:val="1"/>
      <w:numFmt w:val="decimal"/>
      <w:lvlText w:val="[%1]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EE5A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204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2218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4E7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2E9B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7649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4C3C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26CD2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856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C5"/>
    <w:rsid w:val="003C5914"/>
    <w:rsid w:val="00DB12C5"/>
    <w:rsid w:val="00DE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F9186"/>
  <w15:docId w15:val="{6257E689-6B3F-4A1F-BBFB-635A79F4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" w:line="334" w:lineRule="auto"/>
      <w:ind w:left="377" w:hanging="377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91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914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91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914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一语 仲</dc:creator>
  <cp:keywords/>
  <cp:lastModifiedBy>一语 仲</cp:lastModifiedBy>
  <cp:revision>2</cp:revision>
  <dcterms:created xsi:type="dcterms:W3CDTF">2024-03-15T03:32:00Z</dcterms:created>
  <dcterms:modified xsi:type="dcterms:W3CDTF">2024-03-15T03:32:00Z</dcterms:modified>
</cp:coreProperties>
</file>