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theme/theme1.xml" ContentType="application/vnd.openxmlformats-officedocument.theme+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 Id="rId3" Type="http://schemas.openxmlformats.org/officeDocument/2006/relationships/custom-properties" Target="docProps/custom.xml" /></Relationships>
</file>

<file path=word/document.xml><?xml version="1.0" encoding="utf-8"?>
<w:document xmlns:w="http://schemas.openxmlformats.org/wordprocessingml/2006/main" xmlns:w14="http://schemas.microsoft.com/office/word/2010/wordml" xmlns:mc="http://schemas.openxmlformats.org/markup-compatibility/2006" mc:Ignorable="w14">
  <w:body>
    <w:p w14:paraId="416B1820">
      <w:pPr>
        <w:jc w:val="center"/>
      </w:pPr>
      <w:r>
        <w:rPr>
          <w:rFonts w:hint="eastAsia"/>
          <w:b w:val="1"/>
        </w:rPr>
        <w:t>拉康精神分析伦理激进性和对其实操局限的批判重构</w:t>
      </w:r>
    </w:p>
    <w:p w14:paraId="44894D21">
      <w:pPr>
        <w:jc w:val="center"/>
      </w:pPr>
      <w:r>
        <w:rPr>
          <w:rFonts w:hint="eastAsia"/>
        </w:rPr>
        <w:t>第一至四章</w:t>
      </w:r>
    </w:p>
    <w:p w14:paraId="6260CC18">
      <w:pPr>
        <w:jc w:val="center"/>
      </w:pPr>
    </w:p>
    <w:p w14:paraId="36829E25">
      <w:pPr>
        <w:jc w:val="center"/>
      </w:pPr>
      <w:r>
        <w:rPr>
          <w:rFonts w:hint="eastAsia"/>
        </w:rPr>
        <w:t>杨屹</w:t>
      </w:r>
    </w:p>
    <w:p w14:paraId="4BF9BAB9">
      <w:pPr>
        <w:jc w:val="center"/>
      </w:pPr>
      <w:r>
        <w:rPr>
          <w:rFonts w:hint="eastAsia"/>
        </w:rPr>
        <w:t>湖南科技大学马克思主义学院</w:t>
      </w:r>
    </w:p>
    <w:p w14:paraId="467D1769">
      <w:pPr>
        <w:jc w:val="center"/>
      </w:pPr>
      <w:r>
        <w:rPr>
          <w:rFonts w:hint="eastAsia"/>
        </w:rPr>
        <w:t>二〇二六年十月</w:t>
      </w:r>
    </w:p>
    <w:p w14:paraId="47F7E692">
      <w:pPr/>
      <w:r>
        <w:br w:type="page"/>
      </w:r>
    </w:p>
    <w:p w14:paraId="0C553733">
      <w:pPr>
        <w:jc w:val="center"/>
      </w:pPr>
      <w:r>
        <w:rPr>
          <w:rFonts w:hint="eastAsia"/>
          <w:b w:val="1"/>
        </w:rPr>
        <w:t>目录</w:t>
      </w:r>
    </w:p>
    <w:p w14:paraId="2B01ECF3">
      <w:pPr>
        <w:pStyle w:val="000010"/>
        <w:tabs>
          <w:tab w:val="right" w:leader="dot" w:pos="8630"/>
        </w:tabs>
        <w:rPr>
          <w:rFonts w:hint="eastAsia"/>
          <w:noProof w:val="1"/>
        </w:rPr>
      </w:pPr>
      <w:r>
        <w:fldChar w:fldCharType="begin"/>
      </w:r>
      <w:r>
        <w:instrText xml:space="preserve"> TOC \o "1-2" \f \h \z \u </w:instrText>
      </w:r>
      <w:r>
        <w:fldChar w:fldCharType="separate"/>
      </w:r>
      <w:r>
        <w:fldChar w:fldCharType="begin" w:fldLock="0" w:dirty="0"/>
      </w:r>
      <w:r>
        <w:instrText>HYPERLINK \l "_Toc243148887"</w:instrText>
      </w:r>
      <w:r>
        <w:fldChar w:fldCharType="separate" w:fldLock="0" w:dirty="0"/>
      </w:r>
      <w:r>
        <w:rPr>
          <w:rStyle w:val="000013"/>
          <w:rFonts w:hint="eastAsia"/>
          <w:b w:val="1"/>
          <w:noProof w:val="1"/>
        </w:rPr>
        <w:t>第一章　激进的伦理内核与实操中的偏离</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_Toc243148887 \h</w:t>
      </w:r>
      <w:r>
        <w:rPr>
          <w:rFonts w:hint="eastAsia"/>
          <w:noProof w:val="1"/>
          <w:webHidden w:val="1"/>
        </w:rPr>
        <w:instrText xml:space="preserve"> </w:instrText>
      </w:r>
      <w:r>
        <w:rPr>
          <w:rFonts w:hint="eastAsia"/>
          <w:noProof w:val="1"/>
          <w:webHidden w:val="1"/>
        </w:rPr>
        <w:fldChar w:fldCharType="separate"/>
      </w:r>
      <w:r>
        <w:rPr>
          <w:noProof w:val="1"/>
          <w:webHidden w:val="1"/>
        </w:rPr>
        <w:t>4</w:t>
      </w:r>
      <w:r>
        <w:rPr>
          <w:rFonts w:hint="eastAsia"/>
          <w:noProof w:val="1"/>
          <w:webHidden w:val="1"/>
        </w:rPr>
        <w:fldChar w:fldCharType="end"/>
      </w:r>
      <w:r>
        <w:fldChar w:fldCharType="end" w:fldLock="0" w:dirty="0"/>
      </w:r>
    </w:p>
    <w:p w14:paraId="03EBEBF7">
      <w:pPr>
        <w:pStyle w:val="000011"/>
        <w:tabs>
          <w:tab w:val="right" w:leader="dot" w:pos="8630"/>
        </w:tabs>
        <w:ind w:left="440"/>
        <w:rPr>
          <w:rFonts w:hint="eastAsia"/>
          <w:noProof w:val="1"/>
        </w:rPr>
      </w:pPr>
      <w:r>
        <w:fldChar w:fldCharType="begin" w:fldLock="0" w:dirty="0"/>
      </w:r>
      <w:r>
        <w:instrText>HYPERLINK \l "_Toc243148888"</w:instrText>
      </w:r>
      <w:r>
        <w:fldChar w:fldCharType="separate" w:fldLock="0" w:dirty="0"/>
      </w:r>
      <w:r>
        <w:rPr>
          <w:rStyle w:val="000013"/>
          <w:rFonts w:hint="eastAsia"/>
          <w:b w:val="1"/>
          <w:noProof w:val="1"/>
        </w:rPr>
        <w:t>1.1　内核在哪：欲望作为不可象征化的硬核</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_Toc243148888 \h</w:t>
      </w:r>
      <w:r>
        <w:rPr>
          <w:rFonts w:hint="eastAsia"/>
          <w:noProof w:val="1"/>
          <w:webHidden w:val="1"/>
        </w:rPr>
        <w:instrText xml:space="preserve"> </w:instrText>
      </w:r>
      <w:r>
        <w:rPr>
          <w:rFonts w:hint="eastAsia"/>
          <w:noProof w:val="1"/>
          <w:webHidden w:val="1"/>
        </w:rPr>
        <w:fldChar w:fldCharType="separate"/>
      </w:r>
      <w:r>
        <w:rPr>
          <w:noProof w:val="1"/>
          <w:webHidden w:val="1"/>
        </w:rPr>
        <w:t>4</w:t>
      </w:r>
      <w:r>
        <w:rPr>
          <w:rFonts w:hint="eastAsia"/>
          <w:noProof w:val="1"/>
          <w:webHidden w:val="1"/>
        </w:rPr>
        <w:fldChar w:fldCharType="end"/>
      </w:r>
      <w:r>
        <w:fldChar w:fldCharType="end" w:fldLock="0" w:dirty="0"/>
      </w:r>
    </w:p>
    <w:p w14:paraId="0CC8135D">
      <w:pPr>
        <w:pStyle w:val="000011"/>
        <w:tabs>
          <w:tab w:val="right" w:leader="dot" w:pos="8630"/>
        </w:tabs>
        <w:ind w:left="440"/>
        <w:rPr>
          <w:rFonts w:hint="eastAsia"/>
          <w:noProof w:val="1"/>
        </w:rPr>
      </w:pPr>
      <w:r>
        <w:fldChar w:fldCharType="begin" w:fldLock="0" w:dirty="0"/>
      </w:r>
      <w:r>
        <w:instrText>HYPERLINK \l "_Toc243148889"</w:instrText>
      </w:r>
      <w:r>
        <w:fldChar w:fldCharType="separate" w:fldLock="0" w:dirty="0"/>
      </w:r>
      <w:r>
        <w:rPr>
          <w:rStyle w:val="000013"/>
          <w:rFonts w:hint="eastAsia"/>
          <w:b w:val="1"/>
          <w:noProof w:val="1"/>
        </w:rPr>
        <w:t>1.2　分析对象：以芬克及北美拉康派技术文本为例</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_Toc243148889 \h</w:t>
      </w:r>
      <w:r>
        <w:rPr>
          <w:rFonts w:hint="eastAsia"/>
          <w:noProof w:val="1"/>
          <w:webHidden w:val="1"/>
        </w:rPr>
        <w:instrText xml:space="preserve"> </w:instrText>
      </w:r>
      <w:r>
        <w:rPr>
          <w:rFonts w:hint="eastAsia"/>
          <w:noProof w:val="1"/>
          <w:webHidden w:val="1"/>
        </w:rPr>
        <w:fldChar w:fldCharType="separate"/>
      </w:r>
      <w:r>
        <w:rPr>
          <w:noProof w:val="1"/>
          <w:webHidden w:val="1"/>
        </w:rPr>
        <w:t>11</w:t>
      </w:r>
      <w:r>
        <w:rPr>
          <w:rFonts w:hint="eastAsia"/>
          <w:noProof w:val="1"/>
          <w:webHidden w:val="1"/>
        </w:rPr>
        <w:fldChar w:fldCharType="end"/>
      </w:r>
      <w:r>
        <w:fldChar w:fldCharType="end" w:fldLock="0" w:dirty="0"/>
      </w:r>
    </w:p>
    <w:p w14:paraId="729B85D6">
      <w:pPr>
        <w:pStyle w:val="000011"/>
        <w:tabs>
          <w:tab w:val="right" w:leader="dot" w:pos="8630"/>
        </w:tabs>
        <w:ind w:left="440"/>
        <w:rPr>
          <w:rFonts w:hint="eastAsia"/>
          <w:noProof w:val="1"/>
        </w:rPr>
      </w:pPr>
      <w:r>
        <w:fldChar w:fldCharType="begin" w:fldLock="0" w:dirty="0"/>
      </w:r>
      <w:r>
        <w:instrText>HYPERLINK \l "_Toc243148890"</w:instrText>
      </w:r>
      <w:r>
        <w:fldChar w:fldCharType="separate" w:fldLock="0" w:dirty="0"/>
      </w:r>
      <w:r>
        <w:rPr>
          <w:rStyle w:val="000013"/>
          <w:rFonts w:hint="eastAsia"/>
          <w:b w:val="1"/>
          <w:noProof w:val="1"/>
        </w:rPr>
        <w:t>1.3　内核如何被收束：两重机制与一个概念史例证</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_Toc243148890 \h</w:t>
      </w:r>
      <w:r>
        <w:rPr>
          <w:rFonts w:hint="eastAsia"/>
          <w:noProof w:val="1"/>
          <w:webHidden w:val="1"/>
        </w:rPr>
        <w:instrText xml:space="preserve"> </w:instrText>
      </w:r>
      <w:r>
        <w:rPr>
          <w:rFonts w:hint="eastAsia"/>
          <w:noProof w:val="1"/>
          <w:webHidden w:val="1"/>
        </w:rPr>
        <w:fldChar w:fldCharType="separate"/>
      </w:r>
      <w:r>
        <w:rPr>
          <w:noProof w:val="1"/>
          <w:webHidden w:val="1"/>
        </w:rPr>
        <w:t>16</w:t>
      </w:r>
      <w:r>
        <w:rPr>
          <w:rFonts w:hint="eastAsia"/>
          <w:noProof w:val="1"/>
          <w:webHidden w:val="1"/>
        </w:rPr>
        <w:fldChar w:fldCharType="end"/>
      </w:r>
      <w:r>
        <w:fldChar w:fldCharType="end" w:fldLock="0" w:dirty="0"/>
      </w:r>
    </w:p>
    <w:p w14:paraId="536A65A4">
      <w:pPr>
        <w:pStyle w:val="000010"/>
        <w:tabs>
          <w:tab w:val="right" w:leader="dot" w:pos="8630"/>
        </w:tabs>
        <w:rPr>
          <w:rFonts w:hint="eastAsia"/>
          <w:noProof w:val="1"/>
        </w:rPr>
      </w:pPr>
      <w:r>
        <w:fldChar w:fldCharType="begin" w:fldLock="0" w:dirty="0"/>
      </w:r>
      <w:r>
        <w:instrText>HYPERLINK \l "_Toc243148891"</w:instrText>
      </w:r>
      <w:r>
        <w:fldChar w:fldCharType="separate" w:fldLock="0" w:dirty="0"/>
      </w:r>
      <w:r>
        <w:rPr>
          <w:rStyle w:val="000013"/>
          <w:rFonts w:hint="eastAsia"/>
          <w:b w:val="1"/>
          <w:noProof w:val="1"/>
        </w:rPr>
        <w:t>第二章　偏离的制度机制及其后果</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_Toc243148891 \h</w:t>
      </w:r>
      <w:r>
        <w:rPr>
          <w:rFonts w:hint="eastAsia"/>
          <w:noProof w:val="1"/>
          <w:webHidden w:val="1"/>
        </w:rPr>
        <w:instrText xml:space="preserve"> </w:instrText>
      </w:r>
      <w:r>
        <w:rPr>
          <w:rFonts w:hint="eastAsia"/>
          <w:noProof w:val="1"/>
          <w:webHidden w:val="1"/>
        </w:rPr>
        <w:fldChar w:fldCharType="separate"/>
      </w:r>
      <w:r>
        <w:rPr>
          <w:noProof w:val="1"/>
          <w:webHidden w:val="1"/>
        </w:rPr>
        <w:t>21</w:t>
      </w:r>
      <w:r>
        <w:rPr>
          <w:rFonts w:hint="eastAsia"/>
          <w:noProof w:val="1"/>
          <w:webHidden w:val="1"/>
        </w:rPr>
        <w:fldChar w:fldCharType="end"/>
      </w:r>
      <w:r>
        <w:fldChar w:fldCharType="end" w:fldLock="0" w:dirty="0"/>
      </w:r>
    </w:p>
    <w:p w14:paraId="33CA2B02">
      <w:pPr>
        <w:pStyle w:val="000011"/>
        <w:tabs>
          <w:tab w:val="right" w:leader="dot" w:pos="8630"/>
        </w:tabs>
        <w:ind w:left="440"/>
        <w:rPr>
          <w:rFonts w:hint="eastAsia"/>
          <w:noProof w:val="1"/>
        </w:rPr>
      </w:pPr>
      <w:r>
        <w:fldChar w:fldCharType="begin" w:fldLock="0" w:dirty="0"/>
      </w:r>
      <w:r>
        <w:instrText>HYPERLINK \l "_Toc243148892"</w:instrText>
      </w:r>
      <w:r>
        <w:fldChar w:fldCharType="separate" w:fldLock="0" w:dirty="0"/>
      </w:r>
      <w:r>
        <w:rPr>
          <w:rStyle w:val="000013"/>
          <w:rFonts w:hint="eastAsia"/>
          <w:b w:val="1"/>
          <w:noProof w:val="1"/>
        </w:rPr>
        <w:t>2.1　三处装置</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_Toc243148892 \h</w:t>
      </w:r>
      <w:r>
        <w:rPr>
          <w:rFonts w:hint="eastAsia"/>
          <w:noProof w:val="1"/>
          <w:webHidden w:val="1"/>
        </w:rPr>
        <w:instrText xml:space="preserve"> </w:instrText>
      </w:r>
      <w:r>
        <w:rPr>
          <w:rFonts w:hint="eastAsia"/>
          <w:noProof w:val="1"/>
          <w:webHidden w:val="1"/>
        </w:rPr>
        <w:fldChar w:fldCharType="separate"/>
      </w:r>
      <w:r>
        <w:rPr>
          <w:noProof w:val="1"/>
          <w:webHidden w:val="1"/>
        </w:rPr>
        <w:t>22</w:t>
      </w:r>
      <w:r>
        <w:rPr>
          <w:rFonts w:hint="eastAsia"/>
          <w:noProof w:val="1"/>
          <w:webHidden w:val="1"/>
        </w:rPr>
        <w:fldChar w:fldCharType="end"/>
      </w:r>
      <w:r>
        <w:fldChar w:fldCharType="end" w:fldLock="0" w:dirty="0"/>
      </w:r>
    </w:p>
    <w:p w14:paraId="6DE0AAD0">
      <w:pPr>
        <w:pStyle w:val="000011"/>
        <w:tabs>
          <w:tab w:val="right" w:leader="dot" w:pos="8630"/>
        </w:tabs>
        <w:ind w:left="440"/>
        <w:rPr>
          <w:rFonts w:hint="eastAsia"/>
          <w:noProof w:val="1"/>
        </w:rPr>
      </w:pPr>
      <w:r>
        <w:fldChar w:fldCharType="begin" w:fldLock="0" w:dirty="0"/>
      </w:r>
      <w:r>
        <w:instrText>HYPERLINK \l "_Toc243148893"</w:instrText>
      </w:r>
      <w:r>
        <w:fldChar w:fldCharType="separate" w:fldLock="0" w:dirty="0"/>
      </w:r>
      <w:r>
        <w:rPr>
          <w:rStyle w:val="000013"/>
          <w:rFonts w:hint="eastAsia"/>
          <w:b w:val="1"/>
          <w:noProof w:val="1"/>
        </w:rPr>
        <w:t>2.2　从业者的异化困境与实践局限</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_Toc243148893 \h</w:t>
      </w:r>
      <w:r>
        <w:rPr>
          <w:rFonts w:hint="eastAsia"/>
          <w:noProof w:val="1"/>
          <w:webHidden w:val="1"/>
        </w:rPr>
        <w:instrText xml:space="preserve"> </w:instrText>
      </w:r>
      <w:r>
        <w:rPr>
          <w:rFonts w:hint="eastAsia"/>
          <w:noProof w:val="1"/>
          <w:webHidden w:val="1"/>
        </w:rPr>
        <w:fldChar w:fldCharType="separate"/>
      </w:r>
      <w:r>
        <w:rPr>
          <w:noProof w:val="1"/>
          <w:webHidden w:val="1"/>
        </w:rPr>
        <w:t>35</w:t>
      </w:r>
      <w:r>
        <w:rPr>
          <w:rFonts w:hint="eastAsia"/>
          <w:noProof w:val="1"/>
          <w:webHidden w:val="1"/>
        </w:rPr>
        <w:fldChar w:fldCharType="end"/>
      </w:r>
      <w:r>
        <w:fldChar w:fldCharType="end" w:fldLock="0" w:dirty="0"/>
      </w:r>
    </w:p>
    <w:p w14:paraId="5F05EB84">
      <w:pPr>
        <w:pStyle w:val="000011"/>
        <w:tabs>
          <w:tab w:val="right" w:leader="dot" w:pos="8630"/>
        </w:tabs>
        <w:ind w:left="440"/>
        <w:rPr>
          <w:rFonts w:hint="eastAsia"/>
          <w:noProof w:val="1"/>
        </w:rPr>
      </w:pPr>
      <w:r>
        <w:fldChar w:fldCharType="begin" w:fldLock="0" w:dirty="0"/>
      </w:r>
      <w:r>
        <w:instrText>HYPERLINK \l "_Toc243148894"</w:instrText>
      </w:r>
      <w:r>
        <w:fldChar w:fldCharType="separate" w:fldLock="0" w:dirty="0"/>
      </w:r>
      <w:r>
        <w:rPr>
          <w:rStyle w:val="000013"/>
          <w:rFonts w:hint="eastAsia"/>
          <w:b w:val="1"/>
          <w:noProof w:val="1"/>
        </w:rPr>
        <w:t>2.3　价值的消解与效能的自我阻碍</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_Toc243148894 \h</w:t>
      </w:r>
      <w:r>
        <w:rPr>
          <w:rFonts w:hint="eastAsia"/>
          <w:noProof w:val="1"/>
          <w:webHidden w:val="1"/>
        </w:rPr>
        <w:instrText xml:space="preserve"> </w:instrText>
      </w:r>
      <w:r>
        <w:rPr>
          <w:rFonts w:hint="eastAsia"/>
          <w:noProof w:val="1"/>
          <w:webHidden w:val="1"/>
        </w:rPr>
        <w:fldChar w:fldCharType="separate"/>
      </w:r>
      <w:r>
        <w:rPr>
          <w:noProof w:val="1"/>
          <w:webHidden w:val="1"/>
        </w:rPr>
        <w:t>38</w:t>
      </w:r>
      <w:r>
        <w:rPr>
          <w:rFonts w:hint="eastAsia"/>
          <w:noProof w:val="1"/>
          <w:webHidden w:val="1"/>
        </w:rPr>
        <w:fldChar w:fldCharType="end"/>
      </w:r>
      <w:r>
        <w:fldChar w:fldCharType="end" w:fldLock="0" w:dirty="0"/>
      </w:r>
    </w:p>
    <w:p w14:paraId="01290DD5">
      <w:pPr>
        <w:pStyle w:val="000010"/>
        <w:tabs>
          <w:tab w:val="right" w:leader="dot" w:pos="8630"/>
        </w:tabs>
        <w:rPr>
          <w:rFonts w:hint="eastAsia"/>
          <w:noProof w:val="1"/>
        </w:rPr>
      </w:pPr>
      <w:r>
        <w:fldChar w:fldCharType="begin" w:fldLock="0" w:dirty="0"/>
      </w:r>
      <w:r>
        <w:instrText>HYPERLINK \l "_Toc243148895"</w:instrText>
      </w:r>
      <w:r>
        <w:fldChar w:fldCharType="separate" w:fldLock="0" w:dirty="0"/>
      </w:r>
      <w:r>
        <w:rPr>
          <w:rStyle w:val="000013"/>
          <w:rFonts w:hint="eastAsia" w:cs="宋体"/>
          <w:noProof w:val="1"/>
        </w:rPr>
        <w:t>第三章　政治化的接续与反异化的方向</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_Toc243148895 \h</w:t>
      </w:r>
      <w:r>
        <w:rPr>
          <w:rFonts w:hint="eastAsia"/>
          <w:noProof w:val="1"/>
          <w:webHidden w:val="1"/>
        </w:rPr>
        <w:instrText xml:space="preserve"> </w:instrText>
      </w:r>
      <w:r>
        <w:rPr>
          <w:rFonts w:hint="eastAsia"/>
          <w:noProof w:val="1"/>
          <w:webHidden w:val="1"/>
        </w:rPr>
        <w:fldChar w:fldCharType="separate"/>
      </w:r>
      <w:r>
        <w:rPr>
          <w:noProof w:val="1"/>
          <w:webHidden w:val="1"/>
        </w:rPr>
        <w:t>40</w:t>
      </w:r>
      <w:r>
        <w:rPr>
          <w:rFonts w:hint="eastAsia"/>
          <w:noProof w:val="1"/>
          <w:webHidden w:val="1"/>
        </w:rPr>
        <w:fldChar w:fldCharType="end"/>
      </w:r>
      <w:r>
        <w:fldChar w:fldCharType="end" w:fldLock="0" w:dirty="0"/>
      </w:r>
    </w:p>
    <w:p w14:paraId="1F0466EB">
      <w:pPr>
        <w:pStyle w:val="000011"/>
        <w:tabs>
          <w:tab w:val="right" w:leader="dot" w:pos="8630"/>
        </w:tabs>
        <w:ind w:left="440"/>
        <w:rPr>
          <w:rFonts w:hint="eastAsia"/>
          <w:noProof w:val="1"/>
        </w:rPr>
      </w:pPr>
      <w:r>
        <w:fldChar w:fldCharType="begin" w:fldLock="0" w:dirty="0"/>
      </w:r>
      <w:r>
        <w:instrText>HYPERLINK \l "_Toc243148896"</w:instrText>
      </w:r>
      <w:r>
        <w:fldChar w:fldCharType="separate" w:fldLock="0" w:dirty="0"/>
      </w:r>
      <w:r>
        <w:rPr>
          <w:rStyle w:val="000013"/>
          <w:rFonts w:hint="eastAsia" w:cs="宋体"/>
          <w:noProof w:val="1"/>
        </w:rPr>
        <w:t>3.0　反异化：这个词在什么意义上还能用</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_Toc243148896 \h</w:t>
      </w:r>
      <w:r>
        <w:rPr>
          <w:rFonts w:hint="eastAsia"/>
          <w:noProof w:val="1"/>
          <w:webHidden w:val="1"/>
        </w:rPr>
        <w:instrText xml:space="preserve"> </w:instrText>
      </w:r>
      <w:r>
        <w:rPr>
          <w:rFonts w:hint="eastAsia"/>
          <w:noProof w:val="1"/>
          <w:webHidden w:val="1"/>
        </w:rPr>
        <w:fldChar w:fldCharType="separate"/>
      </w:r>
      <w:r>
        <w:rPr>
          <w:noProof w:val="1"/>
          <w:webHidden w:val="1"/>
        </w:rPr>
        <w:t>40</w:t>
      </w:r>
      <w:r>
        <w:rPr>
          <w:rFonts w:hint="eastAsia"/>
          <w:noProof w:val="1"/>
          <w:webHidden w:val="1"/>
        </w:rPr>
        <w:fldChar w:fldCharType="end"/>
      </w:r>
      <w:r>
        <w:fldChar w:fldCharType="end" w:fldLock="0" w:dirty="0"/>
      </w:r>
    </w:p>
    <w:p w14:paraId="06ED043E">
      <w:pPr>
        <w:pStyle w:val="000011"/>
        <w:tabs>
          <w:tab w:val="right" w:leader="dot" w:pos="8630"/>
        </w:tabs>
        <w:ind w:left="440"/>
        <w:rPr>
          <w:rFonts w:hint="eastAsia"/>
          <w:noProof w:val="1"/>
        </w:rPr>
      </w:pPr>
      <w:r>
        <w:fldChar w:fldCharType="begin" w:fldLock="0" w:dirty="0"/>
      </w:r>
      <w:r>
        <w:instrText>HYPERLINK \l "_Toc243148897"</w:instrText>
      </w:r>
      <w:r>
        <w:fldChar w:fldCharType="separate" w:fldLock="0" w:dirty="0"/>
      </w:r>
      <w:r>
        <w:rPr>
          <w:rStyle w:val="000013"/>
          <w:rFonts w:hint="eastAsia" w:cs="宋体"/>
          <w:noProof w:val="1"/>
        </w:rPr>
        <w:t>3.1　接口及其边界</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_Toc243148897 \h</w:t>
      </w:r>
      <w:r>
        <w:rPr>
          <w:rFonts w:hint="eastAsia"/>
          <w:noProof w:val="1"/>
          <w:webHidden w:val="1"/>
        </w:rPr>
        <w:instrText xml:space="preserve"> </w:instrText>
      </w:r>
      <w:r>
        <w:rPr>
          <w:rFonts w:hint="eastAsia"/>
          <w:noProof w:val="1"/>
          <w:webHidden w:val="1"/>
        </w:rPr>
        <w:fldChar w:fldCharType="separate"/>
      </w:r>
      <w:r>
        <w:rPr>
          <w:noProof w:val="1"/>
          <w:webHidden w:val="1"/>
        </w:rPr>
        <w:t>41</w:t>
      </w:r>
      <w:r>
        <w:rPr>
          <w:rFonts w:hint="eastAsia"/>
          <w:noProof w:val="1"/>
          <w:webHidden w:val="1"/>
        </w:rPr>
        <w:fldChar w:fldCharType="end"/>
      </w:r>
      <w:r>
        <w:fldChar w:fldCharType="end" w:fldLock="0" w:dirty="0"/>
      </w:r>
    </w:p>
    <w:p w14:paraId="4DC86659">
      <w:pPr>
        <w:pStyle w:val="000011"/>
        <w:tabs>
          <w:tab w:val="right" w:leader="dot" w:pos="8630"/>
        </w:tabs>
        <w:ind w:left="440"/>
        <w:rPr>
          <w:rFonts w:hint="eastAsia"/>
          <w:noProof w:val="1"/>
        </w:rPr>
      </w:pPr>
      <w:r>
        <w:fldChar w:fldCharType="begin" w:fldLock="0" w:dirty="0"/>
      </w:r>
      <w:r>
        <w:instrText>HYPERLINK \l "_Toc243148898"</w:instrText>
      </w:r>
      <w:r>
        <w:fldChar w:fldCharType="separate" w:fldLock="0" w:dirty="0"/>
      </w:r>
      <w:r>
        <w:rPr>
          <w:rStyle w:val="000013"/>
          <w:rFonts w:hint="eastAsia" w:cs="宋体"/>
          <w:noProof w:val="1"/>
        </w:rPr>
        <w:t>3.2　缝合：从主体到社会</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_Toc243148898 \h</w:t>
      </w:r>
      <w:r>
        <w:rPr>
          <w:rFonts w:hint="eastAsia"/>
          <w:noProof w:val="1"/>
          <w:webHidden w:val="1"/>
        </w:rPr>
        <w:instrText xml:space="preserve"> </w:instrText>
      </w:r>
      <w:r>
        <w:rPr>
          <w:rFonts w:hint="eastAsia"/>
          <w:noProof w:val="1"/>
          <w:webHidden w:val="1"/>
        </w:rPr>
        <w:fldChar w:fldCharType="separate"/>
      </w:r>
      <w:r>
        <w:rPr>
          <w:noProof w:val="1"/>
          <w:webHidden w:val="1"/>
        </w:rPr>
        <w:t>43</w:t>
      </w:r>
      <w:r>
        <w:rPr>
          <w:rFonts w:hint="eastAsia"/>
          <w:noProof w:val="1"/>
          <w:webHidden w:val="1"/>
        </w:rPr>
        <w:fldChar w:fldCharType="end"/>
      </w:r>
      <w:r>
        <w:fldChar w:fldCharType="end" w:fldLock="0" w:dirty="0"/>
      </w:r>
    </w:p>
    <w:p w14:paraId="1C0B3FC9">
      <w:pPr>
        <w:pStyle w:val="000011"/>
        <w:tabs>
          <w:tab w:val="right" w:leader="dot" w:pos="8630"/>
        </w:tabs>
        <w:ind w:left="440"/>
        <w:rPr>
          <w:rFonts w:hint="eastAsia"/>
          <w:noProof w:val="1"/>
        </w:rPr>
      </w:pPr>
      <w:r>
        <w:fldChar w:fldCharType="begin" w:fldLock="0" w:dirty="0"/>
      </w:r>
      <w:r>
        <w:instrText>HYPERLINK \l "_Toc243148899"</w:instrText>
      </w:r>
      <w:r>
        <w:fldChar w:fldCharType="separate" w:fldLock="0" w:dirty="0"/>
      </w:r>
      <w:r>
        <w:rPr>
          <w:rStyle w:val="000013"/>
          <w:rFonts w:hint="eastAsia" w:cs="宋体"/>
          <w:noProof w:val="1"/>
        </w:rPr>
        <w:t>3.3　剩余快感与剩余价值：同构的边界</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_Toc243148899 \h</w:t>
      </w:r>
      <w:r>
        <w:rPr>
          <w:rFonts w:hint="eastAsia"/>
          <w:noProof w:val="1"/>
          <w:webHidden w:val="1"/>
        </w:rPr>
        <w:instrText xml:space="preserve"> </w:instrText>
      </w:r>
      <w:r>
        <w:rPr>
          <w:rFonts w:hint="eastAsia"/>
          <w:noProof w:val="1"/>
          <w:webHidden w:val="1"/>
        </w:rPr>
        <w:fldChar w:fldCharType="separate"/>
      </w:r>
      <w:r>
        <w:rPr>
          <w:noProof w:val="1"/>
          <w:webHidden w:val="1"/>
        </w:rPr>
        <w:t>45</w:t>
      </w:r>
      <w:r>
        <w:rPr>
          <w:rFonts w:hint="eastAsia"/>
          <w:noProof w:val="1"/>
          <w:webHidden w:val="1"/>
        </w:rPr>
        <w:fldChar w:fldCharType="end"/>
      </w:r>
      <w:r>
        <w:fldChar w:fldCharType="end" w:fldLock="0" w:dirty="0"/>
      </w:r>
    </w:p>
    <w:p w14:paraId="769ABCE9">
      <w:pPr>
        <w:pStyle w:val="000011"/>
        <w:tabs>
          <w:tab w:val="right" w:leader="dot" w:pos="8630"/>
        </w:tabs>
        <w:ind w:left="440"/>
        <w:rPr>
          <w:rFonts w:hint="eastAsia"/>
          <w:noProof w:val="1"/>
        </w:rPr>
      </w:pPr>
      <w:r>
        <w:fldChar w:fldCharType="begin" w:fldLock="0" w:dirty="0"/>
      </w:r>
      <w:r>
        <w:instrText>HYPERLINK \l "_Toc243148900"</w:instrText>
      </w:r>
      <w:r>
        <w:fldChar w:fldCharType="separate" w:fldLock="0" w:dirty="0"/>
      </w:r>
      <w:r>
        <w:rPr>
          <w:rStyle w:val="000013"/>
          <w:rFonts w:hint="eastAsia" w:cs="宋体"/>
          <w:noProof w:val="1"/>
        </w:rPr>
        <w:t>3.4　资本主义话语与大学话语</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_Toc243148900 \h</w:t>
      </w:r>
      <w:r>
        <w:rPr>
          <w:rFonts w:hint="eastAsia"/>
          <w:noProof w:val="1"/>
          <w:webHidden w:val="1"/>
        </w:rPr>
        <w:instrText xml:space="preserve"> </w:instrText>
      </w:r>
      <w:r>
        <w:rPr>
          <w:rFonts w:hint="eastAsia"/>
          <w:noProof w:val="1"/>
          <w:webHidden w:val="1"/>
        </w:rPr>
        <w:fldChar w:fldCharType="separate"/>
      </w:r>
      <w:r>
        <w:rPr>
          <w:noProof w:val="1"/>
          <w:webHidden w:val="1"/>
        </w:rPr>
        <w:t>48</w:t>
      </w:r>
      <w:r>
        <w:rPr>
          <w:rFonts w:hint="eastAsia"/>
          <w:noProof w:val="1"/>
          <w:webHidden w:val="1"/>
        </w:rPr>
        <w:fldChar w:fldCharType="end"/>
      </w:r>
      <w:r>
        <w:fldChar w:fldCharType="end" w:fldLock="0" w:dirty="0"/>
      </w:r>
    </w:p>
    <w:p w14:paraId="294E2E02">
      <w:pPr>
        <w:pStyle w:val="000011"/>
        <w:tabs>
          <w:tab w:val="right" w:leader="dot" w:pos="8630"/>
        </w:tabs>
        <w:ind w:left="440"/>
        <w:rPr>
          <w:rFonts w:hint="eastAsia"/>
          <w:noProof w:val="1"/>
        </w:rPr>
      </w:pPr>
      <w:r>
        <w:fldChar w:fldCharType="begin" w:fldLock="0" w:dirty="0"/>
      </w:r>
      <w:r>
        <w:instrText>HYPERLINK \l "_Toc243148901"</w:instrText>
      </w:r>
      <w:r>
        <w:fldChar w:fldCharType="separate" w:fldLock="0" w:dirty="0"/>
      </w:r>
      <w:r>
        <w:rPr>
          <w:rStyle w:val="000013"/>
          <w:rFonts w:hint="eastAsia" w:cs="宋体"/>
          <w:noProof w:val="1"/>
        </w:rPr>
        <w:t>3.5　重构：不去填补缺口</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_Toc243148901 \h</w:t>
      </w:r>
      <w:r>
        <w:rPr>
          <w:rFonts w:hint="eastAsia"/>
          <w:noProof w:val="1"/>
          <w:webHidden w:val="1"/>
        </w:rPr>
        <w:instrText xml:space="preserve"> </w:instrText>
      </w:r>
      <w:r>
        <w:rPr>
          <w:rFonts w:hint="eastAsia"/>
          <w:noProof w:val="1"/>
          <w:webHidden w:val="1"/>
        </w:rPr>
        <w:fldChar w:fldCharType="separate"/>
      </w:r>
      <w:r>
        <w:rPr>
          <w:noProof w:val="1"/>
          <w:webHidden w:val="1"/>
        </w:rPr>
        <w:t>51</w:t>
      </w:r>
      <w:r>
        <w:rPr>
          <w:rFonts w:hint="eastAsia"/>
          <w:noProof w:val="1"/>
          <w:webHidden w:val="1"/>
        </w:rPr>
        <w:fldChar w:fldCharType="end"/>
      </w:r>
      <w:r>
        <w:fldChar w:fldCharType="end" w:fldLock="0" w:dirty="0"/>
      </w:r>
    </w:p>
    <w:p w14:paraId="3747C3D7">
      <w:pPr>
        <w:pStyle w:val="000011"/>
        <w:tabs>
          <w:tab w:val="right" w:leader="dot" w:pos="8630"/>
        </w:tabs>
        <w:ind w:left="440"/>
        <w:rPr>
          <w:rFonts w:hint="eastAsia"/>
          <w:noProof w:val="1"/>
        </w:rPr>
      </w:pPr>
      <w:r>
        <w:fldChar w:fldCharType="begin" w:fldLock="0" w:dirty="0"/>
      </w:r>
      <w:r>
        <w:instrText>HYPERLINK \l "_Toc243148902"</w:instrText>
      </w:r>
      <w:r>
        <w:fldChar w:fldCharType="separate" w:fldLock="0" w:dirty="0"/>
      </w:r>
      <w:r>
        <w:rPr>
          <w:rStyle w:val="000013"/>
          <w:rFonts w:hint="eastAsia" w:cs="宋体"/>
          <w:noProof w:val="1"/>
        </w:rPr>
        <w:t>3.6　本研究的立场或倾向</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_Toc243148902 \h</w:t>
      </w:r>
      <w:r>
        <w:rPr>
          <w:rFonts w:hint="eastAsia"/>
          <w:noProof w:val="1"/>
          <w:webHidden w:val="1"/>
        </w:rPr>
        <w:instrText xml:space="preserve"> </w:instrText>
      </w:r>
      <w:r>
        <w:rPr>
          <w:rFonts w:hint="eastAsia"/>
          <w:noProof w:val="1"/>
          <w:webHidden w:val="1"/>
        </w:rPr>
        <w:fldChar w:fldCharType="separate"/>
      </w:r>
      <w:r>
        <w:rPr>
          <w:noProof w:val="1"/>
          <w:webHidden w:val="1"/>
        </w:rPr>
        <w:t>56</w:t>
      </w:r>
      <w:r>
        <w:rPr>
          <w:rFonts w:hint="eastAsia"/>
          <w:noProof w:val="1"/>
          <w:webHidden w:val="1"/>
        </w:rPr>
        <w:fldChar w:fldCharType="end"/>
      </w:r>
      <w:r>
        <w:fldChar w:fldCharType="end" w:fldLock="0" w:dirty="0"/>
      </w:r>
    </w:p>
    <w:p w14:paraId="5730E306">
      <w:pPr>
        <w:pStyle w:val="000010"/>
        <w:tabs>
          <w:tab w:val="right" w:leader="dot" w:pos="8630"/>
        </w:tabs>
        <w:rPr>
          <w:rFonts w:hint="eastAsia"/>
          <w:noProof w:val="1"/>
        </w:rPr>
      </w:pPr>
      <w:r>
        <w:fldChar w:fldCharType="begin" w:fldLock="0" w:dirty="0"/>
      </w:r>
      <w:r>
        <w:instrText>HYPERLINK \l "_Toc243148903"</w:instrText>
      </w:r>
      <w:r>
        <w:fldChar w:fldCharType="separate" w:fldLock="0" w:dirty="0"/>
      </w:r>
      <w:r>
        <w:rPr>
          <w:rStyle w:val="000013"/>
          <w:rFonts w:hint="eastAsia"/>
          <w:noProof w:val="1"/>
        </w:rPr>
        <w:t>第四章　一个症状读两遍：消费主义成瘾的两种读法</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_Toc243148903 \h</w:t>
      </w:r>
      <w:r>
        <w:rPr>
          <w:rFonts w:hint="eastAsia"/>
          <w:noProof w:val="1"/>
          <w:webHidden w:val="1"/>
        </w:rPr>
        <w:instrText xml:space="preserve"> </w:instrText>
      </w:r>
      <w:r>
        <w:rPr>
          <w:rFonts w:hint="eastAsia"/>
          <w:noProof w:val="1"/>
          <w:webHidden w:val="1"/>
        </w:rPr>
        <w:fldChar w:fldCharType="separate"/>
      </w:r>
      <w:r>
        <w:rPr>
          <w:noProof w:val="1"/>
          <w:webHidden w:val="1"/>
        </w:rPr>
        <w:t>57</w:t>
      </w:r>
      <w:r>
        <w:rPr>
          <w:rFonts w:hint="eastAsia"/>
          <w:noProof w:val="1"/>
          <w:webHidden w:val="1"/>
        </w:rPr>
        <w:fldChar w:fldCharType="end"/>
      </w:r>
      <w:r>
        <w:fldChar w:fldCharType="end" w:fldLock="0" w:dirty="0"/>
      </w:r>
    </w:p>
    <w:p w14:paraId="098247CE">
      <w:pPr>
        <w:pStyle w:val="000011"/>
        <w:tabs>
          <w:tab w:val="right" w:leader="dot" w:pos="8630"/>
        </w:tabs>
        <w:ind w:left="440"/>
        <w:rPr>
          <w:rFonts w:hint="eastAsia"/>
          <w:noProof w:val="1"/>
        </w:rPr>
      </w:pPr>
      <w:r>
        <w:fldChar w:fldCharType="begin" w:fldLock="0" w:dirty="0"/>
      </w:r>
      <w:r>
        <w:instrText>HYPERLINK \l "_Toc243148904"</w:instrText>
      </w:r>
      <w:r>
        <w:fldChar w:fldCharType="separate" w:fldLock="0" w:dirty="0"/>
      </w:r>
      <w:r>
        <w:rPr>
          <w:rStyle w:val="000013"/>
          <w:rFonts w:hint="eastAsia"/>
          <w:noProof w:val="1"/>
        </w:rPr>
        <w:t>4.0　方法及本章的限度</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_Toc243148904 \h</w:t>
      </w:r>
      <w:r>
        <w:rPr>
          <w:rFonts w:hint="eastAsia"/>
          <w:noProof w:val="1"/>
          <w:webHidden w:val="1"/>
        </w:rPr>
        <w:instrText xml:space="preserve"> </w:instrText>
      </w:r>
      <w:r>
        <w:rPr>
          <w:rFonts w:hint="eastAsia"/>
          <w:noProof w:val="1"/>
          <w:webHidden w:val="1"/>
        </w:rPr>
        <w:fldChar w:fldCharType="separate"/>
      </w:r>
      <w:r>
        <w:rPr>
          <w:noProof w:val="1"/>
          <w:webHidden w:val="1"/>
        </w:rPr>
        <w:t>57</w:t>
      </w:r>
      <w:r>
        <w:rPr>
          <w:rFonts w:hint="eastAsia"/>
          <w:noProof w:val="1"/>
          <w:webHidden w:val="1"/>
        </w:rPr>
        <w:fldChar w:fldCharType="end"/>
      </w:r>
      <w:r>
        <w:fldChar w:fldCharType="end" w:fldLock="0" w:dirty="0"/>
      </w:r>
    </w:p>
    <w:p w14:paraId="66096F84">
      <w:pPr>
        <w:pStyle w:val="000011"/>
        <w:tabs>
          <w:tab w:val="right" w:leader="dot" w:pos="8630"/>
        </w:tabs>
        <w:ind w:left="440"/>
        <w:rPr>
          <w:rFonts w:hint="eastAsia"/>
          <w:noProof w:val="1"/>
        </w:rPr>
      </w:pPr>
      <w:r>
        <w:fldChar w:fldCharType="begin" w:fldLock="0" w:dirty="0"/>
      </w:r>
      <w:r>
        <w:instrText>HYPERLINK \l "_Toc243148905"</w:instrText>
      </w:r>
      <w:r>
        <w:fldChar w:fldCharType="separate" w:fldLock="0" w:dirty="0"/>
      </w:r>
      <w:r>
        <w:rPr>
          <w:rStyle w:val="000013"/>
          <w:rFonts w:hint="eastAsia"/>
          <w:noProof w:val="1"/>
        </w:rPr>
        <w:t>4.1　症状的选择与方法的辨明</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_Toc243148905 \h</w:t>
      </w:r>
      <w:r>
        <w:rPr>
          <w:rFonts w:hint="eastAsia"/>
          <w:noProof w:val="1"/>
          <w:webHidden w:val="1"/>
        </w:rPr>
        <w:instrText xml:space="preserve"> </w:instrText>
      </w:r>
      <w:r>
        <w:rPr>
          <w:rFonts w:hint="eastAsia"/>
          <w:noProof w:val="1"/>
          <w:webHidden w:val="1"/>
        </w:rPr>
        <w:fldChar w:fldCharType="separate"/>
      </w:r>
      <w:r>
        <w:rPr>
          <w:noProof w:val="1"/>
          <w:webHidden w:val="1"/>
        </w:rPr>
        <w:t>58</w:t>
      </w:r>
      <w:r>
        <w:rPr>
          <w:rFonts w:hint="eastAsia"/>
          <w:noProof w:val="1"/>
          <w:webHidden w:val="1"/>
        </w:rPr>
        <w:fldChar w:fldCharType="end"/>
      </w:r>
      <w:r>
        <w:fldChar w:fldCharType="end" w:fldLock="0" w:dirty="0"/>
      </w:r>
    </w:p>
    <w:p w14:paraId="13081850">
      <w:pPr>
        <w:pStyle w:val="000011"/>
        <w:tabs>
          <w:tab w:val="right" w:leader="dot" w:pos="8630"/>
        </w:tabs>
        <w:ind w:left="440"/>
        <w:rPr>
          <w:rFonts w:hint="eastAsia"/>
          <w:noProof w:val="1"/>
        </w:rPr>
      </w:pPr>
      <w:r>
        <w:fldChar w:fldCharType="begin" w:fldLock="0" w:dirty="0"/>
      </w:r>
      <w:r>
        <w:instrText>HYPERLINK \l "_Toc243148906"</w:instrText>
      </w:r>
      <w:r>
        <w:fldChar w:fldCharType="separate" w:fldLock="0" w:dirty="0"/>
      </w:r>
      <w:r>
        <w:rPr>
          <w:rStyle w:val="000013"/>
          <w:rFonts w:hint="eastAsia"/>
          <w:noProof w:val="1"/>
        </w:rPr>
        <w:t>4.2　第一种读法：现存技术框架</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_Toc243148906 \h</w:t>
      </w:r>
      <w:r>
        <w:rPr>
          <w:rFonts w:hint="eastAsia"/>
          <w:noProof w:val="1"/>
          <w:webHidden w:val="1"/>
        </w:rPr>
        <w:instrText xml:space="preserve"> </w:instrText>
      </w:r>
      <w:r>
        <w:rPr>
          <w:rFonts w:hint="eastAsia"/>
          <w:noProof w:val="1"/>
          <w:webHidden w:val="1"/>
        </w:rPr>
        <w:fldChar w:fldCharType="separate"/>
      </w:r>
      <w:r>
        <w:rPr>
          <w:noProof w:val="1"/>
          <w:webHidden w:val="1"/>
        </w:rPr>
        <w:t>60</w:t>
      </w:r>
      <w:r>
        <w:rPr>
          <w:rFonts w:hint="eastAsia"/>
          <w:noProof w:val="1"/>
          <w:webHidden w:val="1"/>
        </w:rPr>
        <w:fldChar w:fldCharType="end"/>
      </w:r>
      <w:r>
        <w:fldChar w:fldCharType="end" w:fldLock="0" w:dirty="0"/>
      </w:r>
    </w:p>
    <w:p w14:paraId="3899641E">
      <w:pPr>
        <w:pStyle w:val="000011"/>
        <w:tabs>
          <w:tab w:val="right" w:leader="dot" w:pos="8630"/>
        </w:tabs>
        <w:ind w:left="440"/>
        <w:rPr>
          <w:rFonts w:hint="eastAsia"/>
          <w:noProof w:val="1"/>
        </w:rPr>
      </w:pPr>
      <w:r>
        <w:fldChar w:fldCharType="begin" w:fldLock="0" w:dirty="0"/>
      </w:r>
      <w:r>
        <w:instrText>HYPERLINK \l "_Toc243148907"</w:instrText>
      </w:r>
      <w:r>
        <w:fldChar w:fldCharType="separate" w:fldLock="0" w:dirty="0"/>
      </w:r>
      <w:r>
        <w:rPr>
          <w:rStyle w:val="000013"/>
          <w:rFonts w:hint="eastAsia"/>
          <w:noProof w:val="1"/>
        </w:rPr>
        <w:t>4.3　第二种读法：重构框架</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_Toc243148907 \h</w:t>
      </w:r>
      <w:r>
        <w:rPr>
          <w:rFonts w:hint="eastAsia"/>
          <w:noProof w:val="1"/>
          <w:webHidden w:val="1"/>
        </w:rPr>
        <w:instrText xml:space="preserve"> </w:instrText>
      </w:r>
      <w:r>
        <w:rPr>
          <w:rFonts w:hint="eastAsia"/>
          <w:noProof w:val="1"/>
          <w:webHidden w:val="1"/>
        </w:rPr>
        <w:fldChar w:fldCharType="separate"/>
      </w:r>
      <w:r>
        <w:rPr>
          <w:noProof w:val="1"/>
          <w:webHidden w:val="1"/>
        </w:rPr>
        <w:t>64</w:t>
      </w:r>
      <w:r>
        <w:rPr>
          <w:rFonts w:hint="eastAsia"/>
          <w:noProof w:val="1"/>
          <w:webHidden w:val="1"/>
        </w:rPr>
        <w:fldChar w:fldCharType="end"/>
      </w:r>
      <w:r>
        <w:fldChar w:fldCharType="end" w:fldLock="0" w:dirty="0"/>
      </w:r>
    </w:p>
    <w:p w14:paraId="6FA2AF6F">
      <w:pPr>
        <w:pStyle w:val="000011"/>
        <w:tabs>
          <w:tab w:val="right" w:leader="dot" w:pos="8630"/>
        </w:tabs>
        <w:ind w:left="440"/>
        <w:rPr>
          <w:rFonts w:hint="eastAsia"/>
          <w:noProof w:val="1"/>
        </w:rPr>
      </w:pPr>
      <w:r>
        <w:fldChar w:fldCharType="begin" w:fldLock="0" w:dirty="0"/>
      </w:r>
      <w:r>
        <w:instrText>HYPERLINK \l "_Toc243148908"</w:instrText>
      </w:r>
      <w:r>
        <w:fldChar w:fldCharType="separate" w:fldLock="0" w:dirty="0"/>
      </w:r>
      <w:r>
        <w:rPr>
          <w:rStyle w:val="000013"/>
          <w:rFonts w:hint="eastAsia"/>
          <w:noProof w:val="1"/>
        </w:rPr>
        <w:t>4.4　两种读法的对比</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_Toc243148908 \h</w:t>
      </w:r>
      <w:r>
        <w:rPr>
          <w:rFonts w:hint="eastAsia"/>
          <w:noProof w:val="1"/>
          <w:webHidden w:val="1"/>
        </w:rPr>
        <w:instrText xml:space="preserve"> </w:instrText>
      </w:r>
      <w:r>
        <w:rPr>
          <w:rFonts w:hint="eastAsia"/>
          <w:noProof w:val="1"/>
          <w:webHidden w:val="1"/>
        </w:rPr>
        <w:fldChar w:fldCharType="separate"/>
      </w:r>
      <w:r>
        <w:rPr>
          <w:noProof w:val="1"/>
          <w:webHidden w:val="1"/>
        </w:rPr>
        <w:t>70</w:t>
      </w:r>
      <w:r>
        <w:rPr>
          <w:rFonts w:hint="eastAsia"/>
          <w:noProof w:val="1"/>
          <w:webHidden w:val="1"/>
        </w:rPr>
        <w:fldChar w:fldCharType="end"/>
      </w:r>
      <w:r>
        <w:fldChar w:fldCharType="end" w:fldLock="0" w:dirty="0"/>
      </w:r>
    </w:p>
    <w:p w14:paraId="4F311BAD">
      <w:pPr>
        <w:pStyle w:val="000011"/>
        <w:tabs>
          <w:tab w:val="right" w:leader="dot" w:pos="8630"/>
        </w:tabs>
        <w:ind w:left="440"/>
        <w:rPr>
          <w:rFonts w:hint="eastAsia"/>
          <w:noProof w:val="1"/>
        </w:rPr>
      </w:pPr>
      <w:r>
        <w:fldChar w:fldCharType="begin" w:fldLock="0" w:dirty="0"/>
      </w:r>
      <w:r>
        <w:instrText>HYPERLINK \l "_Toc243148909"</w:instrText>
      </w:r>
      <w:r>
        <w:fldChar w:fldCharType="separate" w:fldLock="0" w:dirty="0"/>
      </w:r>
      <w:r>
        <w:rPr>
          <w:rStyle w:val="000013"/>
          <w:rFonts w:hint="eastAsia"/>
          <w:noProof w:val="1"/>
        </w:rPr>
        <w:t>4.5　文献的失语</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_Toc243148909 \h</w:t>
      </w:r>
      <w:r>
        <w:rPr>
          <w:rFonts w:hint="eastAsia"/>
          <w:noProof w:val="1"/>
          <w:webHidden w:val="1"/>
        </w:rPr>
        <w:instrText xml:space="preserve"> </w:instrText>
      </w:r>
      <w:r>
        <w:rPr>
          <w:rFonts w:hint="eastAsia"/>
          <w:noProof w:val="1"/>
          <w:webHidden w:val="1"/>
        </w:rPr>
        <w:fldChar w:fldCharType="separate"/>
      </w:r>
      <w:r>
        <w:rPr>
          <w:noProof w:val="1"/>
          <w:webHidden w:val="1"/>
        </w:rPr>
        <w:t>73</w:t>
      </w:r>
      <w:r>
        <w:rPr>
          <w:rFonts w:hint="eastAsia"/>
          <w:noProof w:val="1"/>
          <w:webHidden w:val="1"/>
        </w:rPr>
        <w:fldChar w:fldCharType="end"/>
      </w:r>
      <w:r>
        <w:fldChar w:fldCharType="end" w:fldLock="0" w:dirty="0"/>
      </w:r>
    </w:p>
    <w:p w14:paraId="29FF9A7C">
      <w:pPr>
        <w:pStyle w:val="000011"/>
        <w:tabs>
          <w:tab w:val="right" w:leader="dot" w:pos="8630"/>
        </w:tabs>
        <w:ind w:left="440"/>
        <w:rPr>
          <w:rFonts w:hint="eastAsia"/>
          <w:noProof w:val="1"/>
        </w:rPr>
      </w:pPr>
      <w:r>
        <w:fldChar w:fldCharType="begin" w:fldLock="0" w:dirty="0"/>
      </w:r>
      <w:r>
        <w:instrText>HYPERLINK \l "_Toc243148910"</w:instrText>
      </w:r>
      <w:r>
        <w:fldChar w:fldCharType="separate" w:fldLock="0" w:dirty="0"/>
      </w:r>
      <w:r>
        <w:rPr>
          <w:rStyle w:val="000013"/>
          <w:rFonts w:hint="eastAsia"/>
          <w:noProof w:val="1"/>
        </w:rPr>
        <w:t>4.6　本章的结论</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_Toc243148910 \h</w:t>
      </w:r>
      <w:r>
        <w:rPr>
          <w:rFonts w:hint="eastAsia"/>
          <w:noProof w:val="1"/>
          <w:webHidden w:val="1"/>
        </w:rPr>
        <w:instrText xml:space="preserve"> </w:instrText>
      </w:r>
      <w:r>
        <w:rPr>
          <w:rFonts w:hint="eastAsia"/>
          <w:noProof w:val="1"/>
          <w:webHidden w:val="1"/>
        </w:rPr>
        <w:fldChar w:fldCharType="separate"/>
      </w:r>
      <w:r>
        <w:rPr>
          <w:noProof w:val="1"/>
          <w:webHidden w:val="1"/>
        </w:rPr>
        <w:t>75</w:t>
      </w:r>
      <w:r>
        <w:rPr>
          <w:rFonts w:hint="eastAsia"/>
          <w:noProof w:val="1"/>
          <w:webHidden w:val="1"/>
        </w:rPr>
        <w:fldChar w:fldCharType="end"/>
      </w:r>
      <w:r>
        <w:fldChar w:fldCharType="end" w:fldLock="0" w:dirty="0"/>
      </w:r>
    </w:p>
    <w:p w14:paraId="4DD64A55">
      <w:pPr>
        <w:pStyle w:val="000010"/>
        <w:tabs>
          <w:tab w:val="right" w:leader="dot" w:pos="8630"/>
        </w:tabs>
        <w:rPr>
          <w:rFonts w:hint="eastAsia"/>
          <w:noProof w:val="1"/>
        </w:rPr>
      </w:pPr>
      <w:r>
        <w:fldChar w:fldCharType="begin" w:fldLock="0" w:dirty="0"/>
      </w:r>
      <w:r>
        <w:instrText>HYPERLINK \l "_Toc243148911"</w:instrText>
      </w:r>
      <w:r>
        <w:fldChar w:fldCharType="separate" w:fldLock="0" w:dirty="0"/>
      </w:r>
      <w:r>
        <w:rPr>
          <w:rStyle w:val="000013"/>
          <w:rFonts w:hint="eastAsia"/>
          <w:b w:val="1"/>
          <w:noProof w:val="1"/>
        </w:rPr>
        <w:t>参考文献</w:t>
      </w:r>
      <w:r>
        <w:rPr>
          <w:rFonts w:hint="eastAsia"/>
          <w:noProof w:val="1"/>
          <w:webHidden w:val="1"/>
        </w:rPr>
        <w:tab/>
      </w:r>
      <w:r>
        <w:rPr>
          <w:rFonts w:hint="eastAsia"/>
          <w:noProof w:val="1"/>
          <w:webHidden w:val="1"/>
        </w:rPr>
        <w:fldChar w:fldCharType="begin"/>
      </w:r>
      <w:r>
        <w:rPr>
          <w:rFonts w:hint="eastAsia"/>
          <w:noProof w:val="1"/>
          <w:webHidden w:val="1"/>
        </w:rPr>
        <w:instrText xml:space="preserve"> </w:instrText>
      </w:r>
      <w:r>
        <w:rPr>
          <w:noProof w:val="1"/>
          <w:webHidden w:val="1"/>
        </w:rPr>
        <w:t>PAGEREF _Toc243148911 \h</w:t>
      </w:r>
      <w:r>
        <w:rPr>
          <w:rFonts w:hint="eastAsia"/>
          <w:noProof w:val="1"/>
          <w:webHidden w:val="1"/>
        </w:rPr>
        <w:instrText xml:space="preserve"> </w:instrText>
      </w:r>
      <w:r>
        <w:rPr>
          <w:rFonts w:hint="eastAsia"/>
          <w:noProof w:val="1"/>
          <w:webHidden w:val="1"/>
        </w:rPr>
        <w:fldChar w:fldCharType="separate"/>
      </w:r>
      <w:r>
        <w:rPr>
          <w:noProof w:val="1"/>
          <w:webHidden w:val="1"/>
        </w:rPr>
        <w:t>78</w:t>
      </w:r>
      <w:r>
        <w:rPr>
          <w:rFonts w:hint="eastAsia"/>
          <w:noProof w:val="1"/>
          <w:webHidden w:val="1"/>
        </w:rPr>
        <w:fldChar w:fldCharType="end"/>
      </w:r>
      <w:r>
        <w:fldChar w:fldCharType="end" w:fldLock="0" w:dirty="0"/>
      </w:r>
    </w:p>
    <w:p w14:paraId="6B283B86">
      <w:pPr/>
      <w:r>
        <w:fldChar w:fldCharType="end"/>
      </w:r>
      <w:r>
        <w:br w:type="page"/>
      </w:r>
    </w:p>
    <w:p w14:paraId="01808499">
      <w:pPr>
        <w:keepNext w:val="1"/>
        <w:keepLines w:val="1"/>
        <w:spacing w:before="100" w:beforeAutospacing="1" w:after="100" w:afterAutospacing="1"/>
        <w:outlineLvl w:val="0"/>
        <w:rPr>
          <w:sz w:val="44"/>
          <w:szCs w:val="44"/>
        </w:rPr>
      </w:pPr>
      <w:bookmarkStart w:id="1" w:name="_Toc243148887"/>
      <w:r>
        <w:rPr>
          <w:rFonts w:hint="eastAsia"/>
          <w:b w:val="1"/>
          <w:sz w:val="44"/>
        </w:rPr>
        <w:t>第一章　激进的伦理内核与实操中的偏离</w:t>
      </w:r>
      <w:bookmarkEnd w:id="1"/>
    </w:p>
    <w:p w14:paraId="3A6BA40B">
      <w:pPr>
        <w:ind w:firstLine="440" w:firstLineChars="200"/>
      </w:pPr>
      <w:r>
        <w:rPr>
          <w:rFonts w:hint="eastAsia"/>
        </w:rPr>
        <w:t>拉康的精神分析伦理学，放在文本上看，是最激进的伦理主张之一；可是它落到临床实操里的主流形态，偏偏却不那么激进。这两件事之间的落差，是本文要处理的对象。它们凭什么能同时成立呢？把临床的保守读成“理论落地总得付出的代价”，这到底是在解释它，还是在回避它？这个问题听上去像老生常谈，正因为是老生常谈才值得掰开、抽丝剥茧地看。</w:t>
      </w:r>
    </w:p>
    <w:p w14:paraId="4E811842">
      <w:pPr>
        <w:ind w:firstLine="440" w:firstLineChars="200"/>
      </w:pPr>
      <w:r>
        <w:rPr>
          <w:rFonts w:hint="eastAsia"/>
        </w:rPr>
        <w:t>把这个落差当成课题，起初并不因为它理论上有多难。它是在读临床材料时冒出来的：同一类痛苦，在诊室里能被处理得头头是道，可处理完之后，那个把痛苦生产出来的处境从未被提起过，也丝毫不显得需要被提起。这份顺畅本身就值得追究。顺畅往往意味着某个环节已经被安排好了，而不是意味着没有问题存在。照此路径，我先把拉康伦理的激进内核在文本上竖立，拿它做一把尺子；再拿布鲁斯·芬克（Bruce Fink）的教材当样本，看这个内核落到临床操作上被收窄成什么模样，又是通过哪几种机制收窄的。有一点值得先行交代：本章只做文本论证，不引临床个案，也不碰制度材料——培训体制、通过制度（la passe）[11]跟大学话语，这些话题，一并留到第二章去叙述。</w:t>
      </w:r>
    </w:p>
    <w:p w14:paraId="498C6E3F">
      <w:pPr>
        <w:ind w:firstLine="440" w:firstLineChars="200"/>
      </w:pPr>
      <w:r>
        <w:rPr>
          <w:rFonts w:hint="eastAsia"/>
        </w:rPr>
        <w:t>眼下的讨论，多半把“理论—实操的张力”解读成“激进理想终究要向保守现实低头”，这么一读，妥协就成了一项不必追问的合理前提。坦白来说，这本身就是一次认知闭合：它不再追问偏离为什么会发生，自然也就无从批判这个偏离。围绕此预设，学界大致站成两拨。一拨是妥协论，它承认理论是激进的，却把临床里的保守操作解释成执业风险之下的必然产物——这么一来，保守性自然就被合理化。它陷在符号系统自我缝合的幻象里，也不再追问临床到底服不服务于反异化这个根本问题。另一拨是割裂论，它咬定拉康理论的政治批判价值，却把这点价值全都堆在纯理论上，对“它为什么始终进不了临床实操”这个问题避而不谈；批判理论必须落地实践，这一条要求在它那里也就落了空。</w:t>
      </w:r>
    </w:p>
    <w:p w14:paraId="2B6E51A9">
      <w:pPr>
        <w:ind w:firstLine="440" w:firstLineChars="200"/>
      </w:pPr>
      <w:r>
        <w:rPr>
          <w:rFonts w:hint="eastAsia"/>
        </w:rPr>
        <w:t>笔者所秉持的是第三种立场：既不把偏离合理化，也不因为实操上出了偏离，就把理论的批判潜能一并丢掉，而是先把偏离的位置、性质、以及它发生的机制确定。至于偏离怎么在制度上被固定、实操伦理又该如何被重构，那是之后需要处理的工作。此章划的线只有一条：在确定偏离之前，不预设偏离已经成立。</w:t>
      </w:r>
    </w:p>
    <w:p w14:paraId="423F9404">
      <w:pPr>
        <w:keepNext w:val="1"/>
        <w:keepLines w:val="1"/>
        <w:spacing w:before="100" w:beforeAutospacing="1" w:after="100" w:afterAutospacing="1"/>
        <w:outlineLvl w:val="1"/>
        <w:rPr>
          <w:sz w:val="32"/>
          <w:szCs w:val="32"/>
        </w:rPr>
      </w:pPr>
      <w:bookmarkStart w:id="2" w:name="_Toc243148888"/>
      <w:r>
        <w:rPr>
          <w:rFonts w:hint="eastAsia"/>
          <w:b w:val="1"/>
          <w:sz w:val="32"/>
        </w:rPr>
        <w:t>1.1　内核在哪：欲望作为不可象征化的硬核</w:t>
      </w:r>
      <w:bookmarkEnd w:id="2"/>
    </w:p>
    <w:p w14:paraId="1C1E2C35">
      <w:pPr>
        <w:ind w:firstLine="440" w:firstLineChars="200"/>
      </w:pPr>
      <w:r>
        <w:rPr>
          <w:rFonts w:hint="eastAsia"/>
        </w:rPr>
        <w:t>拉康在研讨班第七卷中提出的那个伦理命题，并不属于西方道德哲学谱系内部的义务准则之列；它使得这个谱系本身产生了一次位移。要理解后世实操对这一命题的“收束”，就得先回到它原初的激进程度上去：它究竟在什么意义上“激进”，又在什么意义上不能被改写为一条可操作的规范。</w:t>
      </w:r>
    </w:p>
    <w:p w14:paraId="4C929D0F">
      <w:pPr>
        <w:ind w:firstLine="440" w:firstLineChars="200"/>
      </w:pPr>
      <w:r>
        <w:rPr>
          <w:rFonts w:hint="eastAsia"/>
        </w:rPr>
        <w:t>西方伦理学传统大致有两条主线。一条是亚里士多德式的德性论：伦理在于培养品格，在于实践智慧中所把握的中道，在于美好生活的实现。另一条是康德式的义务论：伦理在于纯粹实践理性的自我立法，在于义务对主体倾向的超越。这两条主线虽然彼此对峙，却共享着一个未被明言的前提，即伦理的处所在于一个可被理性或品格所通达的位置：无论是中道还是普遍立法，主体都可以通过训练或反思抵达它。拉康的伦理命题攻击的正是这一前提。他不把伦理系于品格，也不把伦理系于理性法则，而是把它系于实在界，系于那个不可被象征化、不可被中道衡量、不可被普遍立法所吸收的硬核（hardcore）。简单地说，这一移位使他的伦理学不能被归入德性论，也不能被归入义务论，实打实在这两条主线之外另立了个位置。</w:t>
      </w:r>
    </w:p>
    <w:p w14:paraId="2FA01DF2">
      <w:pPr>
        <w:ind w:firstLine="440" w:firstLineChars="200"/>
      </w:pPr>
      <w:r>
        <w:rPr>
          <w:rFonts w:hint="eastAsia"/>
        </w:rPr>
        <w:t>前面两条主线都在教人怎么把道走直，拉康却指着路边那口填不满的井说，伦理不在路上，在那口井里。这口井后来被后世临床用水泥封了起来，当然，这也是后话了。</w:t>
      </w:r>
    </w:p>
    <w:p w14:paraId="2CA98A0F">
      <w:pPr>
        <w:keepNext w:val="1"/>
        <w:keepLines w:val="1"/>
        <w:spacing w:before="100" w:beforeAutospacing="1" w:after="100" w:afterAutospacing="1"/>
        <w:outlineLvl w:val="2"/>
        <w:rPr>
          <w:sz w:val="32"/>
          <w:szCs w:val="32"/>
        </w:rPr>
      </w:pPr>
      <w:r>
        <w:rPr>
          <w:rFonts w:hint="eastAsia"/>
          <w:b w:val="1"/>
          <w:sz w:val="32"/>
        </w:rPr>
        <w:t>1.1.1　“康德同萨德”：道德形式与不道德内容之区分的拆除</w:t>
      </w:r>
    </w:p>
    <w:p w14:paraId="7F221D50">
      <w:pPr>
        <w:ind w:firstLine="440" w:firstLineChars="200"/>
      </w:pPr>
      <w:r>
        <w:rPr>
          <w:rFonts w:hint="eastAsia"/>
        </w:rPr>
        <w:t>1963 年发表于《批评》（Critique）的《康德同萨德：纯粹欲望批判》一文，经常被简化成拉康对康德的批判。这种读法错失了论证的要害。拉康自己将此论证的目标写得很清楚：如果他能表明萨德的立场与康德相容，并进一步表明前者补全了后者，他就可以说它“道出了《批判》的真理”[2]646。这里没有批判的位置，只有一次补全：康德的道德形式主义一旦被贯彻到底，其真理就会在萨德那里显现出来，这是一个同构命题，而不是一个驳论命题[2]。把一次“补全”读成一次“批判”，方向恰好相反。</w:t>
      </w:r>
    </w:p>
    <w:p w14:paraId="5ACB8B49">
      <w:pPr>
        <w:ind w:firstLine="440" w:firstLineChars="200"/>
      </w:pPr>
      <w:r>
        <w:rPr>
          <w:rFonts w:hint="eastAsia"/>
        </w:rPr>
        <w:t>康德在《道德形而上学原理》中为意志设立的检验程序是普遍性的：一个准则要成为道德法则，必须能够被无矛盾地设想为一条普遍立法的原则。[19]53 这一检验抽空了意志的一切感性内容——质料、对象、幸福、倾向——只留下纯粹的立法形式。在康德那里，这一抽空并不通向虚无主义，它是道德性成立的条件：只有当意志不依赖任何经验性的对象而自我立法时，它才是自律的。敬重（Achtung，苗力田译本作“尊重”）作为对道德法则的情感，被康德小心翼翼地处理为一种由法则自身引发的特殊情感，它既不是感性欲望，也不是知识，它是纯粹实践理性在主体身上产生的效果。[19]22</w:t>
      </w:r>
    </w:p>
    <w:p w14:paraId="4DAB47DC">
      <w:pPr>
        <w:ind w:firstLine="440" w:firstLineChars="200"/>
      </w:pPr>
      <w:r>
        <w:rPr>
          <w:rFonts w:hint="eastAsia"/>
        </w:rPr>
        <w:t>拉康的切入正在这里。他指出，这一抽空并不给道德内容留出一块更纯洁的地盘，它把意志彻底形式化为一台只认形式一致性的机器。康德越是坚持道德不能有任何经验性质料，他所留下的那个“纯粹立法形式”就越是空洞；而一个空洞的形式，是可以被任何内容填进去的。萨德的做法是把这台机器推到极端。他并没有在康德的道德哲学之外另立一条纵欲准则，而是把“我有权享用你的身体”当作一条可普遍化的准则提取出来。只要这条准则在形式上能够普遍立法，它就通过了康德自己设立的检验。萨德笔下的施虐者并不是一个偶然放纵的罪犯，他在自己的逻辑里是一个严谨的立法者：他要求把纵欲设想为一条自然法则，要求所有主体在这一法则面前平等。</w:t>
      </w:r>
    </w:p>
    <w:p w14:paraId="3EF0A2AE">
      <w:pPr>
        <w:ind w:firstLine="440" w:firstLineChars="200"/>
      </w:pPr>
      <w:r>
        <w:rPr>
          <w:rFonts w:hint="eastAsia"/>
        </w:rPr>
        <w:t>由此得出的结论令人不安：萨德不是康德伦理的例外，他就是康德伦理的真理。这则结论难以被忽略，它逼出一个不好回答的问题：一个只认形式一致性的检验程序，凭什么能挡得住任何内容？这一读法在拉康研究里有争议，笔者采信它是因为它在文本上有直接依据，但它也只是其中一种读法。康德以普遍性检验所达到的那种纯粹形式，一旦脱离它所依傍的义务感和敬重，就会显露出它与萨德式纯粹享乐之间的同构关系。拉康的措辞“康德同萨德”（Kant avec Sade）中的那个“同”（avec），因此既不是批判，也不是等同。它实际上是一种结构上的并置：被康德道德哲学所压抑的东西，在萨德那儿被说破了[2]663。</w:t>
      </w:r>
    </w:p>
    <w:p w14:paraId="309DCC4C">
      <w:pPr>
        <w:ind w:firstLine="440" w:firstLineChars="200"/>
      </w:pPr>
      <w:r>
        <w:rPr>
          <w:rFonts w:hint="eastAsia"/>
        </w:rPr>
        <w:t>汉语学界对这一命题已有专门处理，方向也大体一致。黄秋萍指出，拉康把传统伦理学中的“善”看成一种被制造和再生产出来的东西，因此“对‘善’的追逐将产生出‘康德即萨德’的倒错形式”，她并把这组关系读作“善”与“恶”的视差辩证法[52]。不过，黄秋萍关心的东西和本节不在同一层：她的讨论落在伦理实体的内在匮乏与主体责任的重新分配上，本节要立的则是这条命题在“激进内核”里的位置：它拆掉的是道德形式与不道德内容之间的那条分界线。</w:t>
      </w:r>
    </w:p>
    <w:p w14:paraId="30B34658">
      <w:pPr>
        <w:ind w:firstLine="440" w:firstLineChars="200"/>
      </w:pPr>
      <w:r>
        <w:rPr>
          <w:rFonts w:hint="eastAsia"/>
        </w:rPr>
        <w:t>此命题是全章节“激进内核”的首块基石。它的激进性不在于拉康站在了萨德一边，而在于他拆除了西方道德哲学传统长期依赖的一个区分，即道德形式与不道德内容的区分。一旦这个区分被证明在结构上站不住，整个以“善良意志”“普遍立法”“义务感”为核心的道德叙事，就失去了它自以为牢靠的地基。《康德同萨德》的副标题“纯粹欲望批判”本身就是对康德《纯粹理性批判》的结构性呼应：拉康没有在康德的批判哲学之外另起炉灶；他站到康德所开辟的纯粹理性批判的位置上，把批判的对象从理性换成了欲望；这一置换是严肃的，并非修辞上的把戏。它要指出的是：当纯粹形式被贯彻到底时，它所揭示的是欲望的纯粹结构，而非理性的自我透明。</w:t>
      </w:r>
    </w:p>
    <w:p w14:paraId="689E636D">
      <w:pPr>
        <w:ind w:firstLine="440" w:firstLineChars="200"/>
      </w:pPr>
      <w:r>
        <w:rPr>
          <w:rFonts w:hint="eastAsia"/>
        </w:rPr>
        <w:t>还有层区分需要在此交代明白，它关系到后面如何阅读齐泽克。“康德同萨德”在汉语文献中最流行的讲法是“萨德是康德的真理”“康德是萨德的真理”，这一讲法是通过齐泽克的推广才传开的，其后果是把拉康原文里的一次形式分析扩大成了对启蒙道德哲学的整体诊断。拉康本人的论证窄一些，他考察的是道德法则与其所排除对象之间的结构关系，指出法则的纯粹性是由它所压抑的快感来支撑的。两者之间的关系，后面 1.1.3 还会说到。</w:t>
      </w:r>
    </w:p>
    <w:p w14:paraId="1F59350D">
      <w:pPr>
        <w:ind w:firstLine="440" w:firstLineChars="200"/>
      </w:pPr>
      <w:r>
        <w:rPr>
          <w:rFonts w:hint="eastAsia"/>
        </w:rPr>
        <w:t>赵淳对拉康精神分析伦理学的两组讨论，从标题就能看出落点在“悖论”与“批判姿态”[13][14]。这些讨论诚然有价值，但总的来说，它们的方向与本研究不同：笔者要立的并非拉康伦理在内部如何自洽；它要立的是这一伦理在外部对西方道德哲学传统的正面颠覆。两者可以对话，但不能拿来互证。</w:t>
      </w:r>
    </w:p>
    <w:p w14:paraId="3C54EF24">
      <w:pPr>
        <w:keepNext w:val="1"/>
        <w:keepLines w:val="1"/>
        <w:spacing w:before="100" w:beforeAutospacing="1" w:after="100" w:afterAutospacing="1"/>
        <w:outlineLvl w:val="2"/>
        <w:rPr>
          <w:sz w:val="32"/>
          <w:szCs w:val="32"/>
        </w:rPr>
      </w:pPr>
      <w:r>
        <w:rPr>
          <w:rFonts w:hint="eastAsia"/>
          <w:b w:val="1"/>
          <w:sz w:val="32"/>
        </w:rPr>
        <w:t>1.1.2　“不要在欲望的问题上让步”：安提戈涅与伦理选择的锚点</w:t>
      </w:r>
    </w:p>
    <w:p w14:paraId="2167137E">
      <w:pPr>
        <w:ind w:firstLine="440" w:firstLineChars="200"/>
      </w:pPr>
      <w:r>
        <w:rPr>
          <w:rFonts w:hint="eastAsia"/>
        </w:rPr>
        <w:t>研讨班第七卷的核心命题通常被译作“不要在欲望的问题上让步”（ne pas céder sur son désir）[1]466。这一译法在汉语语境里很容易被读成一条意志坚定式的道德训诫，好像是在说“坚持自己的欲望，不要妥协”。然而，这种读法实际上又把命题拉回到了康德坐标系：它把“欲望”当成一个主体所坚持的心理内容，把“让步”当成一个意志薄弱的行为。拉康的论证恰好相反。</w:t>
      </w:r>
    </w:p>
    <w:p w14:paraId="0A639355">
      <w:pPr>
        <w:ind w:firstLine="440" w:firstLineChars="200"/>
      </w:pPr>
      <w:r>
        <w:rPr>
          <w:rFonts w:hint="eastAsia"/>
        </w:rPr>
        <w:t>要理解这个命题，还是得回到安提戈涅。拉康在研讨班第七卷中反复讨论索福克勒斯的《安提戈涅》，但他没有把安提戈涅读成一个道德英雄。克瑞翁做为城邦的立法者，他的禁令有充分政治理由：波吕涅刻斯借外敌回国攻打母邦，若任其安葬，城邦的安全与法统都会受到挑战。[20]27-28 克瑞翁的话语是城邦的话语，是现实的权衡、公共利益、政治秩序的维系。拉康并没有把克瑞翁简化成暴君：克瑞翁的论证在城邦政治上是自洽的，他对城邦稳定的关切是一个立法者的真实考量，而非虚伪的借口。正因如此，安提戈涅所面对的不是可以被揭露为腐败的敌人；她面对的是一个合理的城邦秩序。她的选择之所以是伦理的，不在于她站在了正确的一边，而在于她在一个合理的秩序面前，仍然坚持那个秩序无法吸收的东西。她坚持的是对整个符号秩序的一种拒绝，而非另一条更正确的律法。她当面回绝克瑞翁时说的正是这个：凡人下的命令废除不了天神的不成文律条，后者的“存在不限于今日和昨日，而是永久的，也没有人知道它是什么时候出现的”[20]34。她的行为没有可被城邦语言合法化的意义，正因如此，她才触及了实在界（le réel）。拉康在讨论安提戈涅时使用了“辉煌”（splendeur）一词：安提戈涅在城邦眼中是疯狂的、无可理喻的，但正是这种无可理喻，使她停留在了符号化无法抵达的位置上[1]364。</w:t>
      </w:r>
    </w:p>
    <w:p w14:paraId="2917CD17">
      <w:pPr>
        <w:ind w:firstLine="440" w:firstLineChars="200"/>
      </w:pPr>
      <w:r>
        <w:rPr>
          <w:rFonts w:hint="eastAsia"/>
        </w:rPr>
        <w:t>这里的关键是千万不要把安提戈涅读成“一个不肯低头的倔姑娘”。她不是倔强，而是无法被收编：她与城邦秩序的不相容，不在于她施加了多大的对抗，而在于她无法被这一秩序所吸收。</w:t>
      </w:r>
    </w:p>
    <w:p w14:paraId="1123C174">
      <w:pPr>
        <w:ind w:firstLine="440" w:firstLineChars="200"/>
      </w:pPr>
      <w:r>
        <w:rPr>
          <w:rFonts w:hint="eastAsia"/>
        </w:rPr>
        <w:t>这正是“欲望作为不可象征化的硬核”的含义。拉康的“欲望”不属于心理学意义上的愿望、偏好或需要；它是主体在符号化过程中无法被吸收、无法被赋予意义的那个剩余。欲望与需要、要求之间的区分，是《选集》相关篇目中反复展开的线索：需要可以被满足，要求可以被回应，而欲望产生于要求超出需要的那个剩余之中[3]。汉语学界对这一组分区的表述也差不多。严泽胜指出，拉康“遵从斯宾诺莎宣称，‘欲望是人的本质’”，因此“主体是欲望的主体，而欲望是无意识的欲望”；在他看来，精神分析的目标就在于“使受分析者（主体）认识到其欲望的真理”[74]145。这一表述可以被引进。很显然还得在此处加上一个限定：如果把“认识到其欲望的真理”读成一次认识上的收获，它就又退回了祛魅的路线。本节所说的硬核不是一件被认识到的真理，它是个不能被翻译的内容。向欲望让步所指的并不是某件具体事情上的妥协；它指的是屈从于符号秩序的规训，把这个不可象征化的硬核重新翻译成可被城邦承认、可被他人理解、可被现实衡量的内容。安提戈涅之所以是伦理的，正在于她拒绝这种翻译。</w:t>
      </w:r>
    </w:p>
    <w:p w14:paraId="23C1274E">
      <w:pPr>
        <w:ind w:firstLine="440" w:firstLineChars="200"/>
      </w:pPr>
      <w:r>
        <w:rPr>
          <w:rFonts w:hint="eastAsia"/>
        </w:rPr>
        <w:t>另一方面，汉语学界对这一命题的处理略有不同。孔明安与王雅俊把拉康的伦理学分成“欲望伦理”与“驱力伦理”两层，认为前者以大他者的欲望为核心，后者才遵循“不在欲望问题上让步”的逻辑、要求主体穿越意识形态幻象[51]。这一分层有它的道理，但本文不取：一旦把“让步”的对象从欲望移到驱力，命题就从“不把硬核翻译回秩序”变成了“穿越幻象之后如何活出驱力”，这个后者已经是分析的终点问题，不是伦理选择的判据。此区别是第三章还要回头讨论的。</w:t>
      </w:r>
    </w:p>
    <w:p w14:paraId="440D9C99">
      <w:pPr>
        <w:ind w:firstLine="440" w:firstLineChars="200"/>
      </w:pPr>
      <w:r>
        <w:rPr>
          <w:rFonts w:hint="eastAsia"/>
        </w:rPr>
        <w:t>拉康对安提戈涅之死的分析，进一步强化了这一拒绝的位置。他在研讨班第七卷中区分了第一次死亡与第二次死亡：第一次死亡是生物性的生命终结，第二次死亡是符号性的抹除，即一个主体在符号秩序中被彻底取消，连名字都不被保留。克瑞翁的禁令针对的正是第二次死亡：他不许波吕涅刻斯被安葬，是要让他在城邦的符号秩序中成为一个不存在的人。安提戈涅的安葬行为，是拒绝让她哥哥遭受第二次死亡；而她自己最终在石窟中自缢[20]53，则是主动走向了两种死之间的位置：她既没有被城邦符号化，也没有回到纯粹的生物性生命。拉康借研讨班上一位听众的说法，恰到好处地把这一位置命名为“两种死之间”（l'entre-deux-morts）[1]395。</w:t>
      </w:r>
    </w:p>
    <w:p w14:paraId="593D7B70">
      <w:pPr>
        <w:ind w:firstLine="440" w:firstLineChars="200"/>
      </w:pPr>
      <w:r>
        <w:rPr>
          <w:rFonts w:hint="eastAsia"/>
        </w:rPr>
        <w:t>用大白话说，“第二次死亡”指的是符号性的抹除：克瑞翁要的不是波吕涅刻斯的性命，是他的名字。</w:t>
      </w:r>
    </w:p>
    <w:p w14:paraId="26B55A12">
      <w:pPr>
        <w:ind w:firstLine="440" w:firstLineChars="200"/>
      </w:pPr>
      <w:r>
        <w:rPr>
          <w:rFonts w:hint="eastAsia"/>
        </w:rPr>
        <w:t>“第二次死亡”并不是安提戈涅分析的附带术语，它最初的来源是萨德的文本：拉康这一提法取自萨德小说《朱丽叶》中人物所说的“第二次生命”，指的是让自然自身的循环也被一并抹除的那个点位[1]381。而在研讨班第七卷中，拉康正是借助“第二次死亡”这个概念，把安提戈涅与萨德笔下的人物放在一起比较的。也就是说，1.1.1 所处理的那一整套康德与萨德的问题，与本节所论的安提戈涅，在研讨班第七卷里本就被同一个概念串了起来，它们并不是两个互不相干的论题。这一联系值得点明，它说明拉康伦理的激进性并不只体现在一次道德哲学批判上，而是贯穿在他对符号秩序与主体之关系的整个处理方式里。</w:t>
      </w:r>
    </w:p>
    <w:p w14:paraId="164D2AF9">
      <w:pPr>
        <w:ind w:firstLine="440" w:firstLineChars="200"/>
      </w:pPr>
      <w:r>
        <w:rPr>
          <w:rFonts w:hint="eastAsia"/>
        </w:rPr>
        <w:t>需要注意的是，必须守住一条界线：不能把安提戈涅读成“牺牲的典范”或者“道德英雄”。一旦这样读，她就被重新纳入了一个可赞美的、可教化为后辈楷模的符号位置，她所触及的那个硬核也就被符号化了，而这正是她所拒绝的那种翻译。把安提戈涅做成道德楷模，就等于把她重新安置进符号秩序——那口井又被填上了。拉康对安提戈涅的解读很激进，它拒绝把这一形象驯化为主流道德可以接纳的对象。这个锚点必须得先立住：拉康伦理的定义性特征在于它把伦理选择系于实在界，不系于任何可象征化的善。</w:t>
      </w:r>
    </w:p>
    <w:p w14:paraId="29766268">
      <w:pPr>
        <w:ind w:firstLine="440" w:firstLineChars="200"/>
      </w:pPr>
      <w:r>
        <w:rPr>
          <w:rFonts w:hint="eastAsia"/>
        </w:rPr>
        <w:t>这条界线不只是笔者一个人的主张。朱迪斯·巴特勒（Judith Butler）在她的安提戈涅研究里，把这个问题的另一面挑明了。她说，安提戈涅早已经被各路解读改写成各种领域的典范，而真正有政治意味的东西，不是她作为典范还能代表什么，是“把她视为典范和具有典范性意义时暴露出的界线”[82]33。做成典范这个动作本身会露馅：它一定要在某个地方划一道线，说“她到这里为止”，而这道线划在哪里，正说明规范能容纳到哪里。巴特勒还直接说过，安提戈涅不能以她为例——她“挪用了她所反抗的克瑞翁的位置和语汇，占据克瑞翁的领地”[82]65。</w:t>
      </w:r>
    </w:p>
    <w:p w14:paraId="3DAA025A">
      <w:pPr>
        <w:ind w:firstLine="440" w:firstLineChars="200"/>
      </w:pPr>
      <w:r>
        <w:rPr>
          <w:rFonts w:hint="eastAsia"/>
        </w:rPr>
        <w:t>这里还有一层与性别有关的东西要接上。巴特勒这本书要问的不只是安提戈涅能不能当典范；她问的是，黑格尔之后那套关于伦理意识、亲缘关系和欲望主体的说法，落到安提戈涅这样一个女人身上，还成不成立。她在第三章的开头借斯坦纳的问题发问：如果精神分析学以安提戈涅而不是俄狄浦斯作为出发点，结果会怎样[82]110。而安提戈涅“既是俄狄浦斯的女儿又是她的妹妹，唯独不是母亲”[82]63——她连一个稳定的女性位置都占不住，更不用说去当什么典范。</w:t>
      </w:r>
    </w:p>
    <w:p w14:paraId="3E2916FB">
      <w:pPr>
        <w:ind w:firstLine="440" w:firstLineChars="200"/>
      </w:pPr>
      <w:r>
        <w:rPr>
          <w:rFonts w:hint="eastAsia"/>
        </w:rPr>
        <w:t>巴特勒的读法与拉康的读法并不一致，她对拉康有一处很要紧的批评，1.1.3 会接着说到。但在这条界线上，两人的方向可以接上：把安提戈涅做成道德楷模，等于替那道线做收尾工作。</w:t>
      </w:r>
    </w:p>
    <w:p w14:paraId="49635E52">
      <w:pPr>
        <w:keepNext w:val="1"/>
        <w:keepLines w:val="1"/>
        <w:spacing w:before="100" w:beforeAutospacing="1" w:after="100" w:afterAutospacing="1"/>
        <w:outlineLvl w:val="2"/>
        <w:rPr>
          <w:sz w:val="32"/>
          <w:szCs w:val="32"/>
        </w:rPr>
      </w:pPr>
      <w:r>
        <w:rPr>
          <w:rFonts w:hint="eastAsia"/>
          <w:b w:val="1"/>
          <w:sz w:val="32"/>
        </w:rPr>
        <w:t>1.1.3　文本的边界与缝隙：从拉康到齐泽克</w:t>
      </w:r>
    </w:p>
    <w:p w14:paraId="0426400B">
      <w:pPr>
        <w:ind w:firstLine="440" w:firstLineChars="200"/>
      </w:pPr>
      <w:r>
        <w:rPr>
          <w:rFonts w:hint="eastAsia"/>
        </w:rPr>
        <w:t>在谈论到所谓的实操之前，得划清一条边界，全篇的论证都与它息息相关：拉康原初的伦理思想与齐泽克对这一思想所作的政治化拓展不是同一件事。</w:t>
      </w:r>
    </w:p>
    <w:p w14:paraId="4A7387B7">
      <w:pPr>
        <w:ind w:firstLine="440" w:firstLineChars="200"/>
      </w:pPr>
      <w:r>
        <w:rPr>
          <w:rFonts w:hint="eastAsia"/>
        </w:rPr>
        <w:t>拉康本人并未直接提出过一种系统的资本主义社会批判。他的伦理分析始终聚焦于个体与符号秩序之间的关系，聚焦于主体在话语结构中的位置，而不是把资本主义作为一个独立的社会经济形态去做总体性批判。把拉康直接读成“资本主义批判家”，会越过他文本的实际边界。</w:t>
      </w:r>
    </w:p>
    <w:p w14:paraId="4D2A4747">
      <w:pPr>
        <w:ind w:firstLine="440" w:firstLineChars="200"/>
      </w:pPr>
      <w:r>
        <w:rPr>
          <w:rFonts w:hint="eastAsia"/>
        </w:rPr>
        <w:t>这条边界不是笔者为方便立论才划的。巴特勒对拉康安提戈涅解读的批评，从另一个方向把它描了出来。她说，拉康“把安提戈涅从历史戏剧中剥离出来，把她改写成形而上学的真理”[82]103；并且，“拉康对安提戈涅的解读中，没有提及国家”[82]48。支撑这一解读的是一种更基本的操作——拉康“试图将象征界亲缘关系从社会领域中剥离出来”，使它区别于社会学所讲的亲缘关系，成为一套不随社会变动而变动的语言功能[82]53。</w:t>
      </w:r>
    </w:p>
    <w:p w14:paraId="69FD59CA">
      <w:pPr>
        <w:ind w:firstLine="440" w:firstLineChars="200"/>
      </w:pPr>
      <w:r>
        <w:rPr>
          <w:rFonts w:hint="eastAsia"/>
        </w:rPr>
        <w:t>巴特勒是从女性主义与酷儿理论的立场提出这些批评的，她的落点跟本章不同，这些批评本身是否成立也还可以再论。它们对本章的用处在于：本章说拉康的文本停在一个接口的位置上，没有展开为一种系统的社会理论，这话不是便宜话，它是这条文本边界在批评史上被指认过的形状。记住这个形状，后面读 1.2 的技术规范时就不容易走偏：那边的未承接不是凭空出现的，也算不上某个人的态度问题。</w:t>
      </w:r>
    </w:p>
    <w:p w14:paraId="376A82E9">
      <w:pPr>
        <w:ind w:firstLine="440" w:firstLineChars="200"/>
      </w:pPr>
      <w:r>
        <w:rPr>
          <w:rFonts w:hint="eastAsia"/>
        </w:rPr>
        <w:t>边界划在这儿，不等于拉康的文本与这一议题无关。研讨班第十七卷《精神分析的反面》（1969—1970）所提出的“四种话语”，即主人话语、大学话语、歇斯底里话语、分析家话语，本身就是一个结构性的话语拓扑[5]。该拓扑固定了四个位置：动因、他者、产物与真理。四种话语的差别，在于这四个位置所配置的要素不同，并由此构成一个可轮换的循环。在主人话语中，主人能指 S1 占据动因位置，知识 S2 居于他者位置，对象 a 作为产物被生产。在大学话语中，知识占据动因位置，对象 a 被当作可支配的产物。在歇斯底里话语中，分裂的主体占据动因位置，对主人能指提出质疑。在分析家话语中，对象 a 占据动因位置，使主体在移情中直面自身的欲望。这一循环不是对四种历史形态的分期描述，而是一套拓扑坐标：任何话语结构都可以在其中被定位。四种话语遵循同一套结构逻辑，改变的只是要素在各位置上的分布，而非结构本身。</w:t>
      </w:r>
    </w:p>
    <w:p w14:paraId="0C2CE709">
      <w:pPr>
        <w:ind w:firstLine="440" w:firstLineChars="200"/>
      </w:pPr>
      <w:r>
        <w:rPr>
          <w:rFonts w:hint="eastAsia"/>
        </w:rPr>
        <w:t>拉康后来还提出了一个不从属于这一循环的变体：资本主义话语（le discours du capitaliste）。它不是四种话语循环中的第五种，它是对这一循环本身的中断。通行的图式是在主人能指与分裂的主体之间作一次小小的倒转，把分裂的主体置于动因位置，让主人能指退到真理位置。这样一来，大学话语所倚重的知识链条，和主人话语所倚重的主人能指，就搭起了一个运转得更快的组合。它的效果不在于生产新的知识或者新的主人，而在于使生产与消费之间的缺口被持续填补，从而取消了主体在话语中被分裂的位置。与此相关的另一个要点，是剩余价值与剩余快感（plus-de-jouir）之间的同构关系：拉康把马克思的剩余价值概念与自己的剩余快感概念并置，指出二者在结构上都涉及一个超出必要量的剩余。马克思的剩余价值是工人劳动超出工资所对应必要劳动的部分，拉康的剩余快感则是享乐超出快乐原则所能计量的部分。这一剩余既不能被完全兑现，也不能被彻底消除，它在结构上就是“多出来”的那个东西[5]。资本主义话语对话语循环的中断，以及剩余价值与剩余快感的同构，构成了拉康文本内部可供政治化接续的接口。</w:t>
      </w:r>
    </w:p>
    <w:p w14:paraId="31A7F533">
      <w:pPr>
        <w:ind w:firstLine="440" w:firstLineChars="200"/>
      </w:pPr>
      <w:r>
        <w:rPr>
          <w:rFonts w:hint="eastAsia"/>
        </w:rPr>
        <w:t>需要强调的一点在于，这一接口在拉康本人那里，始终还只是停留在一个接口的位置上。它散见于若干讲次与《无线电》（Radiophonie）等文本，并没有被发展成一个关于当代资本主义的整体理论。也就是说：拉康文本内含可政治化的潜能，而这一潜能的展开不是拉康本人完成的，事实是由齐泽克及其后继者去承接的[12]。这里用“潜能”与“缝隙”，而不用“丧失”“被剥夺”“被阉割”之类的说法，是因为后者预设了某种先在的、本已完整的批判内容后来被割去。拉康文本的实际情况并非如此：他从未把这一议题发展成一种系统的社会理论，它没有被剥夺什么，它一直停在一个待展开的接口位置上。国内学界对这一接口的讨论，多集中在拉康三界学说与意识形态理论的关系上，如崔健、舒练所论，三界学说为意识形态批判提供了结构工具，但这一工具的展开本身也有它的局限[15]。这个判断与本章的立场是一致的：三界学说内含政治化潜能，这潜能不等于已完成的批判。</w:t>
      </w:r>
    </w:p>
    <w:p w14:paraId="13767075">
      <w:pPr>
        <w:ind w:firstLine="440" w:firstLineChars="200"/>
      </w:pPr>
      <w:r>
        <w:rPr>
          <w:rFonts w:hint="eastAsia"/>
        </w:rPr>
        <w:t>此处需要把齐泽克这一边论述清楚。齐泽克的政治化拓展同时搭在两端：一端是伦理内核，一端是话语理论。他借“康德同萨德”所提供的法则与快感的结构关系，说明意识形态为什么需要一个被排除的“外部”；又借四种话语与剩余快感，说明这一结构在资本主义条件下怎么被固定下来。正因为“康德同萨德”本身同时是伦理命题和政治批评的起点，齐泽克才能从伦理转向政治；也正因为这一转向所需的制度分析在拉康文本中并不存在，齐泽克的政治化才始终是“拓展”，而非“复述”。</w:t>
      </w:r>
    </w:p>
    <w:p w14:paraId="41C5048E">
      <w:pPr>
        <w:ind w:firstLine="440" w:firstLineChars="200"/>
      </w:pPr>
      <w:r>
        <w:rPr>
          <w:rFonts w:hint="eastAsia"/>
        </w:rPr>
        <w:t>这个区分直接对应本研究要处理的第二种误读。割裂论的典型形态是：承认拉康理论的资本主义批判潜能，把这种潜能视为研究的落脚点回避了它为何始终没有进入临床实操这个问题。而这一取向在文本上的根源，就在 1.1.3 所划的这条边界上。如果拉康的伦理性只被理解成对符号秩序的个体性拒绝，而政治批判只被理解成理论层面的推导，那么临床实操自然就不会被要求承担任何政治功能。齐泽克本人为这一取向提供了直接的支持：他从未主张理论应向现实妥协，但他始终站在理论批判的位置上，无法以执业分析家的身份提供可落地的实操路径。这一事实的批评意义，不在于指责齐泽克“不实践”，而在于指出：从理论批判到实操重构之间，存在着一段坚实而未被填补的距离，而这段距离既不能靠重申理论的激进性来跨越，也不能靠把保守操作合理化来掩盖。</w:t>
      </w:r>
    </w:p>
    <w:p w14:paraId="3E4CA370">
      <w:pPr>
        <w:ind w:firstLine="440" w:firstLineChars="200"/>
      </w:pPr>
      <w:r>
        <w:rPr>
          <w:rFonts w:hint="eastAsia"/>
        </w:rPr>
        <w:t>此处还存在一个问题，留待第三章讨论：1.1.1 与 1.1.2 所立的伦理内核，同 1.1.3 所论的这一政治化接口之间是什么关系？本章不急于把这二者连在一起。以下凡是涉及“社会—政治维度”，都要从“文本内含潜能、其展开待后人承接”这个定性出发，不能倒因为果说拉康已经提出了资本主义批判。</w:t>
      </w:r>
    </w:p>
    <w:p w14:paraId="1D26D017">
      <w:pPr>
        <w:keepNext w:val="1"/>
        <w:keepLines w:val="1"/>
        <w:spacing w:before="100" w:beforeAutospacing="1" w:after="100" w:afterAutospacing="1"/>
        <w:outlineLvl w:val="1"/>
        <w:rPr>
          <w:sz w:val="32"/>
          <w:szCs w:val="32"/>
        </w:rPr>
      </w:pPr>
      <w:bookmarkStart w:id="3" w:name="_Toc243148889"/>
      <w:r>
        <w:rPr>
          <w:rFonts w:hint="eastAsia"/>
          <w:b w:val="1"/>
          <w:sz w:val="32"/>
        </w:rPr>
        <w:t>1.2　分析对象：以芬克及北美拉康派技术文本为例</w:t>
      </w:r>
      <w:bookmarkEnd w:id="3"/>
    </w:p>
    <w:p w14:paraId="7509B202">
      <w:pPr>
        <w:ind w:firstLine="440" w:firstLineChars="200"/>
      </w:pPr>
      <w:r>
        <w:rPr>
          <w:rFonts w:hint="eastAsia"/>
        </w:rPr>
        <w:t>基准线确立后转向后世临床的实操。这里不处理宽泛的“当代拉康派临床”，只取一个有学理依据的具体样本：北美英语圈影响最大的拉康派技术教材路线。</w:t>
      </w:r>
    </w:p>
    <w:p w14:paraId="0FFEE4A6">
      <w:pPr>
        <w:keepNext w:val="1"/>
        <w:keepLines w:val="1"/>
        <w:spacing w:before="100" w:beforeAutospacing="1" w:after="100" w:afterAutospacing="1"/>
        <w:outlineLvl w:val="2"/>
        <w:rPr>
          <w:sz w:val="32"/>
          <w:szCs w:val="32"/>
        </w:rPr>
      </w:pPr>
      <w:r>
        <w:rPr>
          <w:rFonts w:hint="eastAsia"/>
          <w:b w:val="1"/>
          <w:sz w:val="32"/>
        </w:rPr>
        <w:t>1.2.1　样本界定与选择依据</w:t>
      </w:r>
    </w:p>
    <w:p w14:paraId="409679C3">
      <w:pPr>
        <w:ind w:firstLine="440" w:firstLineChars="200"/>
      </w:pPr>
      <w:r>
        <w:rPr>
          <w:rFonts w:hint="eastAsia"/>
        </w:rPr>
        <w:t>1997 年，布鲁斯·芬克出版《拉康派精神分析临床导论：理论与实践》（A Clinical Introduction to Lacanian Psychoanalysis: Theory and Technique），这是英语世界第一部系统面向执业者的拉康临床导论[9]。在此之前，英语世界的拉康研究以理论阐释为主，此后才逐渐出现了面向临床的系统性技术文本。本章把讨论对象收窄为“以芬克教材为代表的北美拉康派技术写作”，主要文本是他的两部著作：1997 年哈佛大学出版社出版的《临床导论》，以及 2007 年由 W. W. 诺顿出版、2022 年译成中文的《精神分析技术的基础：拉康派实践者指南》[9][10]。本章以后者为主要文本，前者作为补充。</w:t>
      </w:r>
    </w:p>
    <w:p w14:paraId="67CA164A">
      <w:pPr>
        <w:ind w:firstLine="440" w:firstLineChars="200"/>
      </w:pPr>
      <w:r>
        <w:rPr>
          <w:rFonts w:hint="eastAsia"/>
        </w:rPr>
        <w:t>选择芬克作为样本正是基于他在英语世界临床写作中的结构性位置，无关乎他的个人声望。芬克在巴黎弗洛伊德事业学派（École de la cause freudienne）受过训，获巴黎第八大学精神分析博士学位。他是拉康《著作集》（Écrits）英文完整版的主要译者，1993 年至 2013 年任教于杜肯大学（Duquesne University）[10]。这一履历意味着，他同时承担着三重角色——拉康研讨班文本的英译者、制度化分析家训练体系的亲历者、以及面向北美英语圈从业者的技术教材写作者。在他之前，英语世界对《著作集》的翻译长期只有部分选译，大量关键文本不可得；他主持的英文完整版，是拉康文本进入英语世界学术与临床训练的关键环节。</w:t>
      </w:r>
    </w:p>
    <w:p w14:paraId="4EC5F6AA">
      <w:pPr>
        <w:ind w:firstLine="440" w:firstLineChars="200"/>
      </w:pPr>
      <w:r>
        <w:rPr>
          <w:rFonts w:hint="eastAsia"/>
        </w:rPr>
        <w:t>以此样本为切口，可以在文本上考察一个具体问题：当拉康伦理的激进内核被转化为一套可传授、可考核、可在执业中执行的技术规范时，它发生了什么。这个样本选择有明确的边界。本章不主张“所有拉康派临床都如此”，不暗示其他国家、其他学派的拉康派实践可以由芬克一人代表。把它与雅克-阿兰·米勒（Jacques-Alain Miller）放在一起讨论，只是因为二者在文本传播与制度化训练上构成了可对照的两端：一个是研讨班文本的编订者和欧洲制度化路线的核心，一个是英语世界的主要翻译者与技术教材写作者；这不是说芬克一人代表了拉康派的全部现实。</w:t>
      </w:r>
    </w:p>
    <w:p w14:paraId="1B94B32C">
      <w:pPr>
        <w:ind w:firstLine="440" w:firstLineChars="200"/>
      </w:pPr>
      <w:r>
        <w:rPr>
          <w:rFonts w:hint="eastAsia"/>
        </w:rPr>
        <w:t>此处需对样本的覆盖范围作一次更严格的限定。说芬克是北美的代表，与说芬克代表了一条路线，是两码事；后者超出了单一作者的两本书所能承担的分量。英语世界同期的临床写作至少还包括另外几种：施奈德曼 1980 年编的《回到弗洛伊德：拉康学派中的临床精神分析》，是较早把拉康派临床文本系统引入英语世界的文集[45]。多尔 1998 年的《拉康阅读导论：无意识像语言那样结构》，其目录显示它所处理的正是同一批概念，包括镜像阶段、父之名、隐喻与换喻、主体的分裂、异化、需要／欲望／要求，以及欲望图的建构[46]。此外还有埃文斯 1996 年的《拉康精神分析入门辞典》[47]。本章没有取用这些文本，因此本章的结论只基于芬克的理论，不概括北美拉康派临床，也不概括整个英语世界的技术写作；下文凡是出现“北美技术文本”一词，所指的都是这一被限定的样本。</w:t>
      </w:r>
    </w:p>
    <w:p w14:paraId="32AA698A">
      <w:pPr>
        <w:ind w:firstLine="440" w:firstLineChars="200"/>
      </w:pPr>
      <w:r>
        <w:rPr>
          <w:rFonts w:hint="eastAsia"/>
        </w:rPr>
        <w:t>还有一点方法上的选择要交代。不去找某一家诊所的临床记录或某份督导录音，而选“技术教材”下手，是因为教材是制度化路线自我描述最充分的文本形态：它把一套实践中默认的选择，写成了公开的、可被引用的规范。临床实践中的许多偏向，往往在从业者的意会知识里运作，难已被直接观察；而技术教材把这些意会知识转写成了明文。以教材为样本，等于把制度化路线自己说出的话拿来当证据，而不是外加一套判断。</w:t>
      </w:r>
    </w:p>
    <w:p w14:paraId="4E9FA2B5">
      <w:pPr>
        <w:keepNext w:val="1"/>
        <w:keepLines w:val="1"/>
        <w:spacing w:before="100" w:beforeAutospacing="1" w:after="100" w:afterAutospacing="1"/>
        <w:outlineLvl w:val="2"/>
        <w:rPr>
          <w:sz w:val="32"/>
          <w:szCs w:val="32"/>
        </w:rPr>
      </w:pPr>
      <w:r>
        <w:rPr>
          <w:rFonts w:hint="eastAsia"/>
          <w:b w:val="1"/>
          <w:sz w:val="32"/>
        </w:rPr>
        <w:t>1.2.2　技术规范的合理性与它的缺口</w:t>
      </w:r>
    </w:p>
    <w:p w14:paraId="5D31CFD8">
      <w:pPr>
        <w:ind w:firstLine="440" w:firstLineChars="200"/>
      </w:pPr>
      <w:r>
        <w:rPr>
          <w:rFonts w:hint="eastAsia"/>
        </w:rPr>
        <w:t>在指出缺口之前，必得先承认芬克技术规范的合理性。《精神分析技术的基础》系统提炼了拉康派临床的若干操作准则：移情关系的边界控制、保密原则的优先性、神经症与精神病的症型区分、弹性时间会谈的使用等等[10]。以弹性时间会谈为例，芬克详细讨论过会谈长度怎么根据求助者在移情中的位置来调整，并反对把会谈固定在五十分钟的医疗时间上。他对移情的解释、对分析家欲望之位置的界定、对分析过程中关键节点的识别，都有具体的操作说明。这些准则在实践上确实具有明确的功能：它们降低了执业风险，稳定了治疗边界，保障了分析关系不至于因为操作层面的含混而崩解。任何从激进伦理立场出发、对这些准则作简单否定的做法，都是站在临床门外的空谈，本节不作这种否定。</w:t>
      </w:r>
    </w:p>
    <w:p w14:paraId="5AFF865B">
      <w:pPr>
        <w:ind w:firstLine="440" w:firstLineChars="200"/>
      </w:pPr>
      <w:r>
        <w:rPr>
          <w:rFonts w:hint="eastAsia"/>
        </w:rPr>
        <w:t>“分析家的欲望”在拉康本人的文本中已经有了严格的位置，它并不是芬克的发明。拉康在 1958 年的《治疗的方向及其力量的原则》里说得更直接：需要建立一种伦理学，把弗洛伊德在欲望问题上取得的成果纳入其中。而这种伦理学“要放在首位的问题，就是分析家的欲望”[4]514。分析的操作因此不应以让主体适应现实为方向，而应以识别并守住这一欲望为方向。这一文本与芬克的技术规范之间是什么关系，后文还会回到；这里先叙述清楚，是为了撇清一个常见误读，即把“分析家的欲望”当成临床技术的操作术语，而不是一个伦理性的概念。</w:t>
      </w:r>
    </w:p>
    <w:p w14:paraId="17D238B0">
      <w:pPr>
        <w:ind w:firstLine="440" w:firstLineChars="200"/>
      </w:pPr>
      <w:r>
        <w:rPr>
          <w:rFonts w:hint="eastAsia"/>
        </w:rPr>
        <w:t>问题出在另一处。这些技术规范在把临床操作框定在既有医疗秩序与技术框架之内的同时，在操作上对社会—政治维度作了未承接。</w:t>
      </w:r>
    </w:p>
    <w:p w14:paraId="76D5736D">
      <w:pPr>
        <w:ind w:firstLine="440" w:firstLineChars="200"/>
      </w:pPr>
      <w:r>
        <w:rPr>
          <w:rFonts w:hint="eastAsia"/>
        </w:rPr>
        <w:t>这里需要把“未承接”说准，因为芬克并非从未提到社会，他有一处颇为明确的规定。1997 年的《拉康派精神分析临床导论》讨论“解释”为什么应当保持多义时写道：治疗者一旦成为某一特定视角的化身（“社会的、经济的、政治的”与“精神分析的”在这里被并列点名），那么不论求助者是赞成还是反对，它都“妨碍治疗的进展”[9]47。也就是说，分析家采取社会、经济、政治的视角这件事本身，在这一框架里被列为操作上的障碍。</w:t>
      </w:r>
    </w:p>
    <w:p w14:paraId="75BA2557">
      <w:pPr>
        <w:ind w:firstLine="440" w:firstLineChars="200"/>
      </w:pPr>
      <w:r>
        <w:rPr>
          <w:rFonts w:hint="eastAsia"/>
        </w:rPr>
        <w:t>但要看清这句话的性质：芬克给出的理由是技术性的，不是理论性的。他谈的是解释的单义性：单义的表述会使求助者把分析家认同为某一立场，并因此抵抗。他并没有说社会结构不重要，而是说站到某个社会视角上去会妨碍分析。因此“未承接”的准确含义是：社会—政治维度没有被否认，它是在操作规范上被排除出去的；排除它的理由来自框架自身的技术要求，而不是分析家对社会问题的态度。那么，一套在操作上把社会维度排出去的规范，还算不算“不关心社会”？这一问不是修辞，它决定了后面所有批评应当落在何处：落在人的态度上，还是落在框架的安排上。这也正好解释了未承接为什么能在从业者的意会知识中顺畅运作而不被察觉。</w:t>
      </w:r>
    </w:p>
    <w:p w14:paraId="0137677B">
      <w:pPr>
        <w:ind w:firstLine="440" w:firstLineChars="200"/>
      </w:pPr>
      <w:r>
        <w:rPr>
          <w:rFonts w:hint="eastAsia"/>
        </w:rPr>
        <w:t>在被排除的同时，社会也以一种被允许的形态进入这套框架，那就是“大他者的理想”。同一本书在界定符号关系时，把社会机构与身份标识直接列入大他者的要求：理想“由父母、学校、媒体、语言与社会一般灌输”，并体现为“成绩、文凭、身份符号”。与此相应，分析要处理的是主体对“父母的、教育的、社会的”诸他者所指定的对象采取什么姿态[9]33。社会在这里是被承认的，但只作为主体对其采取姿态的对象，而不是分析所要处理的结构。至于这一主体身处何种社会结构、承受何种话语秩序的支配，在技术规范的内部没有位置，也不需要被提出。芬克的技术教材逐条讨论“分析家该做什么”：如何定位移情，如何使用弹性时间，如何识别分析家的欲望，如何判断分析的进度。但有两个问题始终不在技术规范的议程之内，一个是“分析家在什么社会位置上做事”，一个是“求助者的症状在何种社会结构中被生产出来”。这并非芬克的疏漏，它来自技术教材这一文体本身：一本面向实践者的技术手册，它的功能是回答“怎么做”，而不是回答“在何种社会条件下做”。</w:t>
      </w:r>
    </w:p>
    <w:p w14:paraId="45898A50">
      <w:pPr>
        <w:ind w:firstLine="440" w:firstLineChars="200"/>
      </w:pPr>
      <w:r>
        <w:rPr>
          <w:rFonts w:hint="eastAsia"/>
        </w:rPr>
        <w:t>这也不是某一部教材的个别取舍，建制对“伦理”本身的通行定义也是殊途同归。美国精神医学会编的《精神分析教科书》把伦理界定为关于“对”与“错”的行为、“好”与“坏”的品格的批判性反思，并把它与道德区分开来。伦理“为基本的规范标准与决策程序提供论证”；道德则是一个描述性的概念，指的是“人们在特定文化处境中实际如何思考和行动”[58]349。在这一定义里，伦理是一项提供论证与程序的工作，它产出规范，它的形态是判断。拉康把伦理选择系于实在界的那个命题，落点不在这里：它不要求给出一个更好的规范，它要求的是不把那个不可象征化的硬核翻译成可被承认的内容。一边要给出规范，一边要守住规范覆盖不到的那一点，两者的差别不在程度，而在落点。芬克把社会视角列为操作上的障碍，与这一通行定义同向。</w:t>
      </w:r>
    </w:p>
    <w:p w14:paraId="488BF47B">
      <w:pPr>
        <w:ind w:firstLine="440" w:firstLineChars="200"/>
      </w:pPr>
      <w:r>
        <w:rPr>
          <w:rFonts w:hint="eastAsia"/>
        </w:rPr>
        <w:t>这是结构性后果，而不是芬克的主观意图。文本证据本身就说明了这一点：《精神分析技术的基础》第九章的标题即“并非旨在使人正常化的分析”（Non-normalizing Analysis），芬克在这一章中明确批评了当代精神分析中越来越普遍的正常化态度，反对把分析的目标设定为让主体适应社会现实，反对以“适应功能”“社会整合”作为分析的终点[10]209。他对正常化的警惕是真诚的，也是文本可证的。正因如此，把对这一路线的批判表述为“芬克主张把求助者缝合回现存秩序”，既没有文本依据，也构成了反向的稻草人。</w:t>
      </w:r>
    </w:p>
    <w:p w14:paraId="3C2EFAAF">
      <w:pPr>
        <w:ind w:firstLine="440" w:firstLineChars="200"/>
      </w:pPr>
      <w:r>
        <w:rPr>
          <w:rFonts w:hint="eastAsia"/>
        </w:rPr>
        <w:t>但意图层面的警觉，并不能取消结构层面的后果。芬克反对正常化，并不意味着他所提炼的技术规范在客观上不产生收束效果。一套不处理社会—政治维度的操作技术，即使它在意图上拒绝把主体缝合进现存秩序，它在结构上仍然把主体留在了个体移情的框架之内。反对正常化，是在这个框架内部反对“把主体改造成正常人”，而不是质疑这个框架本身对社会维度未予承接的做法。</w:t>
      </w:r>
    </w:p>
    <w:p w14:paraId="7153E9E8">
      <w:pPr>
        <w:ind w:firstLine="440" w:firstLineChars="200"/>
      </w:pPr>
      <w:r>
        <w:rPr>
          <w:rFonts w:hint="eastAsia"/>
        </w:rPr>
        <w:t>总的来说，这里不能只从意图上讨论，得回到芬克教材本身的文本。一个容易被忽略的事实是：芬克并非没有看到社会维度。他看见了，而且看得不浅。在第九章中，他把心理学连同精神分析一起归入了“商品服务的行列”，说它已经变成“商品服务的一个分支”，并引拉康的话：“心理学通过提供技术官僚的服务，找到了其续命的方式”（中译本作“专家政治”）；他接着批评当下的实践者“把帮助患者在商品社会当中（在我们当今的全球资本主义的形式中）拥有更好的表现，作为了目标”[10]223-224。他甚至承认，在一个不公正的社会中，“他的社会功能差是非常合理的”，而所谓“高功能”不过是指“足够幸运以至于属于迫害者中的一员”；他还点明了这套用语的代价：当临床工作者使用“高功能”和“低功能”这类术语时，“关于个人和社会之间的关系的，所有伦理和政治的观点，似乎都被置之度外了”[10]225。这些文本表明，芬克对资本主义收编临床的警觉是真诚的、有原文可查的，他甚至注意到压力有可能“激励人们去参与文化或政治行动”[10]233。</w:t>
      </w:r>
    </w:p>
    <w:p w14:paraId="3B415D6C">
      <w:pPr>
        <w:ind w:firstLine="440" w:firstLineChars="200"/>
      </w:pPr>
      <w:r>
        <w:rPr>
          <w:rFonts w:hint="eastAsia"/>
        </w:rPr>
        <w:t>但问题就出在这里。他的批判始终指向别的流派：美国心理学、自我心理学，以及以“高/低功能”区分患者的主流诊断。而他自己在第一至第八章给出的技术规范，无论是倾听、提问、标点、弹性时间会谈、解释还是转移处理，没有一条把“求助者症状在何种社会结构中被生产”列进操作对象。他在另一处承认，人们对世界的理解受到出身、语言、社会地位的塑造，但这一承认被放在认识论视角主义的框架里，作为对“正常化”概念的反思，而没有转译为任何一条临床操作[10]219。更说明问题的是他对“规范的暴政”的来源描述：他列出的压力来源是朋友、亲戚、咨询顾问、学校的心理咨询师，全是初级社群角色，劳动组织、雇佣关系与消费秩序不在其列[10]210。而全章结尾处，他拒绝裁决的理由是：对于“什么对人类有利或者是最好的”，政治理论家、经济学者和哲学家之间“并不存在一致意见”，即使存在，临床工作者也只是“根据大多数理论家的信仰，做出道德判断而已”[10]234。这算不上疏忽，反倒像一次自觉的不裁决：正因为政治上无法达成一致，临床被要求止步于操作。用本研究的“黑话”说，正是“消费主义成瘾”这类以资本异化为内容的症状，最容易被翻译成与资本无关的个体材料：分析家完全可以在不提及资本的情况下，把这一症状处理得既专业又完整。社会维度因此并没有被芬克否认；他看到了它、点名批判了它，却没有把它接入自己的技术框架。这才是“未承接”的精确含义：它不要求分析家相信现存秩序是正当的，它只要求分析家在操作上不把现存秩序作为分析对象。这一区分，意图与结构，是本节的关键定性，也是后文所有批判的边界。</w:t>
      </w:r>
    </w:p>
    <w:p w14:paraId="55A9C0B0">
      <w:pPr>
        <w:ind w:firstLine="440" w:firstLineChars="200"/>
      </w:pPr>
      <w:r>
        <w:rPr>
          <w:rFonts w:hint="eastAsia"/>
        </w:rPr>
        <w:t>这里得先接住一个反驳，它比妥协论和割裂论都难对付。反驳会说：分析家不把社会视角带进诊室，为的正是别把主体的欲望重新翻译成“这是社会造成的”那样一句可理解的话；移情里的沉默，本身就是守住那个不能被象征化的东西的方式。照这个说法，不碰社会才是不让步，本节把“未承接”判成让步，方向正好拧反了。</w:t>
      </w:r>
    </w:p>
    <w:p w14:paraId="6C521293">
      <w:pPr>
        <w:ind w:firstLine="440" w:firstLineChars="200"/>
      </w:pPr>
      <w:r>
        <w:rPr>
          <w:rFonts w:hint="eastAsia"/>
        </w:rPr>
        <w:t>这个反驳不能算错，它点出了一件真事。在移情这一层，分析家确实不该抢着替主体解释，尤其不该拿一个社会学的答案把主体打发掉——那才是最粗暴的一次翻译。但它把两件事混成了一件。移情这一层管的是分析家要不要替主体把话说完；框架这一层管的是症状在生产它的那个秩序里占什么位置、这件事有没有资格进入议程。前一层的克制是对的，后一层的排除是另一回事。这两层也不对立，它们互相要求：假如症状的社会位置本身就是它的构成条件，那么在框架上把它当作不存在，就等于在移情这一层悄悄替主体结了一次账。那笔账不再需要被提出，因为它从来不在这本账簿上。</w:t>
      </w:r>
    </w:p>
    <w:p w14:paraId="239F8E29">
      <w:pPr>
        <w:ind w:firstLine="440" w:firstLineChars="200"/>
      </w:pPr>
      <w:r>
        <w:rPr>
          <w:rFonts w:hint="eastAsia"/>
        </w:rPr>
        <w:t>这里需要补一句规范性的根据，否则“未承接”就仍只是一个中性的文体描述。拉康的伦理命题之所以对临床构成内在要求，不在于他给分析家颁布了新的道德准则，而在于他把伦理选择系于符号秩序无法吸收的硬核。任何把求助者的痛苦重新翻译为个体移情材料、而不追问这一痛苦在何种符号秩序中被生产出来的操作，都已经在执行一次“向欲望让步”：它把那个不可象征化的硬核重新翻译成了可被城邦承认的内容。临床因此不可能把求助者所处的社会位置当作中性语境接受：那个位置本身就是症状的构成性条件，把它当作给定事实，就等于把求助者重新缝进他的症状所由产生的秩序。这是本章把“未承接”从文体事实提升为伦理问题的根据。</w:t>
      </w:r>
    </w:p>
    <w:p w14:paraId="3B1D7F01">
      <w:pPr>
        <w:keepNext w:val="1"/>
        <w:keepLines w:val="1"/>
        <w:spacing w:before="100" w:beforeAutospacing="1" w:after="100" w:afterAutospacing="1"/>
        <w:outlineLvl w:val="2"/>
        <w:rPr>
          <w:sz w:val="32"/>
          <w:szCs w:val="32"/>
        </w:rPr>
      </w:pPr>
      <w:r>
        <w:rPr>
          <w:rFonts w:hint="eastAsia"/>
          <w:b w:val="1"/>
          <w:sz w:val="32"/>
        </w:rPr>
        <w:t>1.2.3　“未承接”：一个有保留的判断</w:t>
      </w:r>
    </w:p>
    <w:p w14:paraId="759E2778">
      <w:pPr>
        <w:ind w:firstLine="440" w:firstLineChars="200"/>
      </w:pPr>
      <w:r>
        <w:rPr>
          <w:rFonts w:hint="eastAsia"/>
        </w:rPr>
        <w:t>基于上一节的定性，本节把结论严格限定在“未承接”这一步上：以芬克教材为代表的北美技术文本，在其制度化的技术框架之内，不承接社会—政治维度；这是一个文本层面的陈述，有第九章的文本证据作为支撑。</w:t>
      </w:r>
    </w:p>
    <w:p w14:paraId="4F5D2C31">
      <w:pPr>
        <w:ind w:firstLine="440" w:firstLineChars="200"/>
      </w:pPr>
      <w:r>
        <w:rPr>
          <w:rFonts w:hint="eastAsia"/>
        </w:rPr>
        <w:t>这里需要把“未承接”与“主动截断”区分开。“主动截断”意味着分析家有一个自觉的决定，在临床中主动切断社会维度。但芬克的文本并没有给出这样的自觉决定：他既没有主张要处理社会维度，也没有主张要主动排除它。准确的说法是“未承接”，即这一技术写作的框架在设计上就不把社会—政治维度当作处理对象，它并不是被主动砍掉的，它是从未被接入。究其根本，这一措辞上的差别不是咬文嚼字，它决定了批判的指向。如果是“主动截断”，批判就指向芬克的意图；如果是“未承接”，批判指向的则是技术框架本身的结构性盲区。此处的分寸需要拿捏住：说“截断”是给芬克扣一顶他没戴过的帽子，说“未承接”才是针对框架本身下判断。</w:t>
      </w:r>
    </w:p>
    <w:p w14:paraId="4475288B">
      <w:pPr>
        <w:ind w:firstLine="440" w:firstLineChars="200"/>
      </w:pPr>
      <w:r>
        <w:rPr>
          <w:rFonts w:hint="eastAsia"/>
        </w:rPr>
        <w:t>本段论证暂且不能再向前推进。从“操作层面不处理社会—政治维度”到“理论上将主体缝合进现存秩序”，这一跳跃需要额外证据方能成立：制度层面的证据、临床案例的证据，以及技术文本对“分析结束”概念的具体界定。在第一章的纯文本论证范围内，这一跳跃尚未完成。</w:t>
      </w:r>
    </w:p>
    <w:p w14:paraId="5DA1470B">
      <w:pPr>
        <w:ind w:firstLine="440" w:firstLineChars="200"/>
      </w:pPr>
      <w:r>
        <w:rPr>
          <w:rFonts w:hint="eastAsia"/>
        </w:rPr>
        <w:t>因此，以下命题在此仅作悬置处理：以芬克教材为代表的北美技术文本，是否在理论上将“分析的结束”等同于主体成功缝合入符号秩序，从而构成对拉康“穿越幻象”（traversée du fantasme）命题的倒转？此问题留待第二章展开。</w:t>
      </w:r>
    </w:p>
    <w:p w14:paraId="0F2F5614">
      <w:pPr>
        <w:ind w:firstLine="440" w:firstLineChars="200"/>
      </w:pPr>
      <w:r>
        <w:rPr>
          <w:rFonts w:hint="eastAsia"/>
        </w:rPr>
        <w:t>命题的表述必须保留退路，否则将被自身的强度所瓦解。“分析结束等同于被缝合进符号秩序”是最强硬的论断形式，其成立需要一句将“结束”直接定义为适应现存秩序的原文作为依据。若制度材料不足以支撑“等同”这一步，仍可成立的是较弱的命题：该框架以可核验的替代物置换了“结束”概念，却未对“结束”本身给出判据。这一较弱命题同样可检验，且不依赖任何强论断。</w:t>
      </w:r>
    </w:p>
    <w:p w14:paraId="2605F204">
      <w:pPr>
        <w:ind w:firstLine="440" w:firstLineChars="200"/>
      </w:pPr>
      <w:r>
        <w:rPr>
          <w:rFonts w:hint="eastAsia"/>
        </w:rPr>
        <w:t>退守到这一步，看起来像是示弱，这里得说清楚：判据缺位不是一处无关紧要的疏漏，它有后果。在一套制度化的操作框架里，一个位置空着，就会有别的东西来把它填上，执业规范、医疗时间、求助者的“功能”评估，都是现成的替代物。缺位本身因此是生产性的：它把“分析该在哪里收尾”这件事的裁量权，交给了框架之外的标准。这一条不必等到“等同”的强论断成立，它在文本上就能立住。</w:t>
      </w:r>
    </w:p>
    <w:p w14:paraId="4D22587F">
      <w:pPr>
        <w:keepNext w:val="1"/>
        <w:keepLines w:val="1"/>
        <w:spacing w:before="100" w:beforeAutospacing="1" w:after="100" w:afterAutospacing="1"/>
        <w:outlineLvl w:val="1"/>
        <w:rPr>
          <w:sz w:val="32"/>
          <w:szCs w:val="32"/>
        </w:rPr>
      </w:pPr>
      <w:bookmarkStart w:id="4" w:name="_Toc243148890"/>
      <w:r>
        <w:rPr>
          <w:rFonts w:hint="eastAsia"/>
          <w:b w:val="1"/>
          <w:sz w:val="32"/>
        </w:rPr>
        <w:t>1.3　内核如何被收束：两重机制与一个概念史例证</w:t>
      </w:r>
      <w:bookmarkEnd w:id="4"/>
    </w:p>
    <w:p w14:paraId="39A9E032">
      <w:pPr>
        <w:ind w:firstLine="440" w:firstLineChars="200"/>
      </w:pPr>
      <w:r>
        <w:rPr>
          <w:rFonts w:hint="eastAsia"/>
        </w:rPr>
        <w:t>1.1 立起了拉康伦理的激进内核，1.2 界定了实操上对这一内核的未承接。这里要接着处理的是另一件事：内核在传承的过程中，是怎么被一步步收窄的。</w:t>
      </w:r>
    </w:p>
    <w:p w14:paraId="450AB2C2">
      <w:pPr>
        <w:ind w:firstLine="440" w:firstLineChars="200"/>
      </w:pPr>
      <w:r>
        <w:rPr>
          <w:rFonts w:hint="eastAsia"/>
        </w:rPr>
        <w:t>得把两件事分开记。这里要说的两重机制，解释的是内核的收窄，也就是后面所说的收束：概念怎么在整理、教学和传播里被磨钝。它们不解释未承接是怎么来的。未承接的来源在 1.2.2 已经点过：技术教材这一文体只回答“怎么做”，而社会—政治维度在结构上不是一条可操作的条目，它进不了这份议程。</w:t>
      </w:r>
    </w:p>
    <w:p w14:paraId="46789916">
      <w:pPr>
        <w:ind w:firstLine="440" w:firstLineChars="200"/>
      </w:pPr>
      <w:r>
        <w:rPr>
          <w:rFonts w:hint="eastAsia"/>
        </w:rPr>
        <w:t>把这两件事读成一因一果，就走岔了。内核被收窄，不等于技术框架因此空出了社会那一块；一个把概念用得很精深的分析家，完全可能同样自觉地对社会维度未予承接，1.2.2 接住的那个反驳就是这么说的。收束与未承接共用一个源头，也就是技术教材这一形态对“可传授、可考核、可执行”的要求。它们是同一件事的两面，一个落在文本传承上，一个落在操作规范上。</w:t>
      </w:r>
    </w:p>
    <w:p w14:paraId="1B95CE51">
      <w:pPr>
        <w:keepNext w:val="1"/>
        <w:keepLines w:val="1"/>
        <w:spacing w:before="100" w:beforeAutospacing="1" w:after="100" w:afterAutospacing="1"/>
        <w:outlineLvl w:val="2"/>
        <w:rPr>
          <w:sz w:val="32"/>
          <w:szCs w:val="32"/>
        </w:rPr>
      </w:pPr>
      <w:r>
        <w:rPr>
          <w:rFonts w:hint="eastAsia"/>
          <w:b w:val="1"/>
          <w:sz w:val="32"/>
        </w:rPr>
        <w:t>1.3.1　概念的整理与学院化</w:t>
      </w:r>
    </w:p>
    <w:p w14:paraId="5D18AD6D">
      <w:pPr>
        <w:ind w:firstLine="440" w:firstLineChars="200"/>
      </w:pPr>
      <w:r>
        <w:rPr>
          <w:rFonts w:hint="eastAsia"/>
        </w:rPr>
        <w:t>第一重机制是整理本身。拉康的研讨班并非由他本人整理出版，而是由（他的女婿）雅克-阿兰·米勒以“texte établi par”（文本整理者）的身份编订的[1][5]。这一编订工作在传播意义上是不可或缺的：没有米勒的整理，研讨班几乎无法以可流通的文本形态进入学术与临床领域。这里有一种常见的辩护，是把这些损失都归到译介与编订的技术难度上，这个说法不能算错，但它把一件结构上的事说成了一件偶然的事。研讨班原本是现场性的口头讲授，依赖现场的回应、插话、即兴发挥，以及对具体听众的针对性追问；米勒的编订把它转写成了可出版、可引用、可在图书馆书架上陈列的标准文本。这一转写过程不可避免地涉及对录音稿的选择、删节、次序调整与术语统一。</w:t>
      </w:r>
    </w:p>
    <w:p w14:paraId="16C20AB0">
      <w:pPr>
        <w:ind w:firstLine="440" w:firstLineChars="200"/>
      </w:pPr>
      <w:r>
        <w:rPr>
          <w:rFonts w:hint="eastAsia"/>
        </w:rPr>
        <w:t>但“整理即选择”。米勒在确定文本顺序、删节重复、编排讲次、统一术语的同时，也参与了理论的窄化。哪些内容被保留、哪些被归入附录、哪些术语被固定为标准译法，这些选择本身就是一种理论立场。更要紧的是，当研讨班成为可出版的标准文本之后，它就进入了学院教学的流程：可以被指定为课程教材，可以被列入研究生阅读清单，可以在考试中被复述，也可以在督导中被引用。拉康在现场对听众的那种挑战——那种迫使听众面对自身欲望位置的对抗性——在教材化的过程里被转写成了一组可被学习、可被考核的知识点。这一损失并非米勒个人造成的，它是“可被教学”这一形式本身的后果。讲授的场合一旦改变，那种现场性的对峙张力也就随之消散。</w:t>
      </w:r>
    </w:p>
    <w:p w14:paraId="2D20BE7B">
      <w:pPr>
        <w:ind w:firstLine="440" w:firstLineChars="200"/>
      </w:pPr>
      <w:r>
        <w:rPr>
          <w:rFonts w:hint="eastAsia"/>
        </w:rPr>
        <w:t>需处理一个容易被误用的判断，常见的说法是：米勒作为拉康的女婿与制度化路线的领袖，同时也是拉康研讨班的整理者，因此他天然承担着“批评后世滥用拉康”的职能。这一说法在文本上站不住。以《享乐的六个范式》为例，米勒在那里所处理的是一桩理论工作，即把拉康教学中关于享乐的论述区分为六个范式并勾勒其逻辑演变，而不是对“后世滥用”的清算[6]。把“批评滥用”的职能安放在米勒身上，等于让他同时扮演制度领袖与制度批判者，而这一角色分裂在他的文本里没有依据。</w:t>
      </w:r>
    </w:p>
    <w:p w14:paraId="5C384588">
      <w:pPr>
        <w:ind w:firstLine="440" w:firstLineChars="200"/>
      </w:pPr>
      <w:r>
        <w:rPr>
          <w:rFonts w:hint="eastAsia"/>
        </w:rPr>
        <w:t>本节的论域因此需要收窄：讨论的是整理与传播环节的结构性作用，不是对米勒个人意图的指控。米勒的编订工作使拉康的研讨班成为可被学院教学、临床培训与国际传播所使用的标准文本；而这一标准化过程本身，就是理论从一种现场性的、针对具体听众的口头讲授，转化为一套可考核、可复述、可在考试与督导中引用的学术材料的过程。这一过程不可避免地伴随着激进性的流失，原因不在米勒删减了什么，而在“可被教学”这一形式本身，就是要求原本只在现场才成立的那种锋芒，被转写为稳定的概念。</w:t>
      </w:r>
    </w:p>
    <w:p w14:paraId="75D04BDE">
      <w:pPr>
        <w:ind w:firstLine="440" w:firstLineChars="200"/>
      </w:pPr>
      <w:r>
        <w:rPr>
          <w:rFonts w:hint="eastAsia"/>
        </w:rPr>
        <w:t>学院化还有另一层后果，那就是文本权威来源的转移。在拉康本人主持研讨班的年代，“拉康到底说了什么”可以在现场被追问、被质疑、被当场检验。等到研讨班由米勒编订出版，“拉康到底说了什么”就变成了一个文本学问题：哪一版的录音、哪一份转写、哪一个编排顺序才是“权威”版本。米勒作为编订者，在事实上占据了裁定这一问题的位置。这一位置并非拉康授予，它由出版与传播的物质条件造就。后世拉康派的许多争论，关于某一段落的读法、某一概念的归属、某一时期的转变，真正的仲裁者往往是米勒编订的文本版本，而不是拉康本人在现场的意图。这一权威位置的转移，是“整理即选择”这一命题的直接后果。这一点也值得停下来再问一句：把拉康搬进课堂，究竟是把他的思想传了下去，还是把一种只在现场才成立的锋芒，换成了可以复述、可以考核的概念？</w:t>
      </w:r>
    </w:p>
    <w:p w14:paraId="52FB7F34">
      <w:pPr>
        <w:ind w:firstLine="440" w:firstLineChars="200"/>
      </w:pPr>
      <w:r>
        <w:rPr>
          <w:rFonts w:hint="eastAsia"/>
        </w:rPr>
        <w:t>而它的影响比版本裁定还要更深一层：米勒对拉康教学的分期，本身成了英语世界技术教材的组织框架。芬克在《拉康派精神分析临床导论》第十章开头明确交代，他关于拉康“早期阶段”与“后期阶段”的划分得自米勒——他写道，要把这一关于早期与后期阶段的表述归功于雅克-阿兰·米勒[9]208。这一章随后就按这一分期展开：早期以欲望为中心，后期以驱力与享乐为中心。也就是说，分期一旦通过编订与讲授确立下来，它就不只决定“哪一版是权威版本”，还决定了教材按什么次序排列拉康；临床工作者由此得到的不只是一批文本，还有一个现成的理论演进叙事。整理在这里的作用，已经从文本上延伸到了教学上。</w:t>
      </w:r>
    </w:p>
    <w:p w14:paraId="154BDBF7">
      <w:pPr>
        <w:keepNext w:val="1"/>
        <w:keepLines w:val="1"/>
        <w:spacing w:before="100" w:beforeAutospacing="1" w:after="100" w:afterAutospacing="1"/>
        <w:outlineLvl w:val="2"/>
        <w:rPr>
          <w:sz w:val="32"/>
          <w:szCs w:val="32"/>
        </w:rPr>
      </w:pPr>
      <w:r>
        <w:rPr>
          <w:rFonts w:hint="eastAsia"/>
          <w:b w:val="1"/>
          <w:sz w:val="32"/>
        </w:rPr>
        <w:t>1.3.2　概念的“工具化”与“贴标签”</w:t>
      </w:r>
    </w:p>
    <w:p w14:paraId="1A423FB1">
      <w:pPr>
        <w:ind w:firstLine="440" w:firstLineChars="200"/>
      </w:pPr>
      <w:r>
        <w:rPr>
          <w:rFonts w:hint="eastAsia"/>
        </w:rPr>
        <w:t>第二重机制，发生在整理之后的教学与传播环节，本节提出两个术语，先予界定。</w:t>
      </w:r>
    </w:p>
    <w:p w14:paraId="7A921C2D">
      <w:pPr>
        <w:ind w:firstLine="440" w:firstLineChars="200"/>
      </w:pPr>
      <w:r>
        <w:rPr>
          <w:rFonts w:hint="eastAsia"/>
        </w:rPr>
        <w:t>先说一个，是“概念工具化”。核心概念，比如父之名（Nom-du-Père）、对象 a（objet petit a）、剩余快感（plus-de-jouir）、穿越幻象，在原始文本中都是有辩证张力的。它们指向的是主体无法被符号化的那个硬核，本身就抵抗任何固定的定义。在拉康的现场教学中，这些概念的含义是在与听众的对抗中临时显形的，它拒绝被一劳永逸地规定下来。而在工具化的过程中，这些概念被简化成了僵化的模板：父之名变成“父亲的功能”，对象 a 变成“失落的对象”，穿越幻象变成“结束分析的标志”。概念原有的理论深度与辩证性被削平，留下的是一套可被快速识别、快速归类的标签。概念原本承担的那种“迫使思想停留在硬核面前”的功能，被替换成了“帮助分析家快速判断材料”的工具功能。这就像把手术刀磨成了开罐器——能开罐头，但再也不能做手术了。</w:t>
      </w:r>
    </w:p>
    <w:p w14:paraId="524FD100">
      <w:pPr>
        <w:ind w:firstLine="440" w:firstLineChars="200"/>
      </w:pPr>
      <w:r>
        <w:rPr>
          <w:rFonts w:hint="eastAsia"/>
        </w:rPr>
        <w:t>再者是“机械标签化解读”。在工具化的基础上，文本分析与临床阐释进一步退化为套用概念、对材料作简单归类：一个症状出现了，先判断它对应哪一组概念标签，然后把标签填进既有的解释框架。这一过程不再要求针对具体材料作批判性的重读，只要求标签使用得当。国内近年的拉康阐释文本中，这一倾向并不少见：概念被大量引用，但概念与材料之间的分析环节被跳过了，材料只是用来证明概念的现成例子。一个文本被拆成若干段落，每段贴上一个拉康概念的标签，就算完成了“拉康式解读”；但概念在拉康那里原本要求的那种对材料的颠覆，即材料被概念撕开、显露出其不可象征化的剩余，完全没有发生。这种做法看似熟练，实则回避了概念与材料之间本该发生的分析环节。</w:t>
      </w:r>
    </w:p>
    <w:p w14:paraId="5B11C125">
      <w:pPr>
        <w:ind w:firstLine="440" w:firstLineChars="200"/>
      </w:pPr>
      <w:r>
        <w:rPr>
          <w:rFonts w:hint="eastAsia"/>
        </w:rPr>
        <w:t>这两种倾向共同构成了第二重机制：概念不再用来逼近那个不可象征化的硬核，而是被用来把材料迅速归入既有的解释位置。它的政治后果是直接的：一旦“资本异化”这样的分析范畴也在工具化的过程中被转写成一个可贴上去的标签，它在临床中也就再也承担不了批判功能，变成了一个术语，而不是一个要求分析家回到社会结构中去的问题，这与拉康伦理本身的要求恰好相反。1.1.2 所立的“不要在欲望的问题上让步”，要求的是停留在硬核面前，而不是绕过它去寻找一个可归类的答案。当概念被工具化之后，分析家面对材料时的第一反应，就不再是这一材料如何挑战了既有概念，而是这一材料可以被哪个现成概念收纳进去。这一反应模式的改变，就是激进内核在教学层面流失的直接表现。</w:t>
      </w:r>
    </w:p>
    <w:p w14:paraId="532B819B">
      <w:pPr>
        <w:ind w:firstLine="440" w:firstLineChars="200"/>
      </w:pPr>
      <w:r>
        <w:rPr>
          <w:rFonts w:hint="eastAsia"/>
        </w:rPr>
        <w:t>这里需要把这一过程与拉康本人的教学方式对照着看。拉康的研讨班是高度现场性的：他不断打断、重复、迂回，在学生的提问与误解中推进，概念的含义在现场的对抗中临时成形，从不被一劳永逸地定义。他的教学本身就是一种“不要在欲望的问题上让步”的实践，他要求听众面对自己在能指链条中的位置，而不是提供一套可供复述的学说。而当这种教学被转写为教材之后，现场的对抗性被删去了，剩下的是一组条目化的技术规范；听众被替换成读者，读者被替换成学生，学生又被替换成督导中的考生。这一链条中的每一环，都在把一种对抗性的思想实践转化为一种可考核的知识。概念工具化与机械标签化，就是这一转化在阅读层面的最终形态。现场性的对抗，最终被折算成了可以打分的条目。</w:t>
      </w:r>
    </w:p>
    <w:p w14:paraId="4717F6FE">
      <w:pPr>
        <w:ind w:firstLine="440" w:firstLineChars="200"/>
      </w:pPr>
      <w:r>
        <w:rPr>
          <w:rFonts w:hint="eastAsia"/>
        </w:rPr>
        <w:t>这一转化在当代的训练文献里有一个完整的形态。美国心理学会出过一本动力学治疗的训练手册，把临床能力拆成十四个可以反复演练的单元。这十四个单元是：治疗性探询、反移情反应的觉察、深化情感体验、作过程评论、指认防御并探询其下的恐惧、介绍治疗原理、作移情解释、使用隐喻、探索幻想、在案例表述中收集循环适应不良模式的数据、用督导识别重演、提供矫正性情感体验，最后以带注的会谈逐字稿与模拟会谈收束[59]133。手册把“刻意练习”界定为一个五项构成的循环：观察自己的工作，获得专家反馈，设定略高于现有水平的小目标，对特定技能作重复的行为演练，持续评估表现。它还说明，这一循环与医学、体育、音乐、棋类、计算机编程和数学等领域的专家表现相关[59]7。附录里还附了一份把练习单元嵌进去的教学大纲，和一张练习日记表[59]247。</w:t>
      </w:r>
    </w:p>
    <w:p w14:paraId="7D6B4663">
      <w:pPr>
        <w:ind w:firstLine="440" w:firstLineChars="200"/>
      </w:pPr>
      <w:r>
        <w:rPr>
          <w:rFonts w:hint="eastAsia"/>
        </w:rPr>
        <w:t>三样东西合起来说明的是同一件事：临床能力被处理成一组可命名、可重复、可评分、可记录的技能。研讨班现场那种对抗性在这套结构里没有位置，它并没有被否定，只是没有任何一项能够被写成一个单元、被打分、被记进日记表。1.3.1 所说的“整理即选择”，到这里落到了最具体的形态：被写进大纲的才是可传授的，可传授的才是可考核的。</w:t>
      </w:r>
    </w:p>
    <w:p w14:paraId="1778352F">
      <w:pPr>
        <w:keepNext w:val="1"/>
        <w:keepLines w:val="1"/>
        <w:spacing w:before="100" w:beforeAutospacing="1" w:after="100" w:afterAutospacing="1"/>
        <w:outlineLvl w:val="2"/>
        <w:rPr>
          <w:sz w:val="32"/>
          <w:szCs w:val="32"/>
        </w:rPr>
      </w:pPr>
      <w:r>
        <w:rPr>
          <w:rFonts w:hint="eastAsia"/>
          <w:b w:val="1"/>
          <w:sz w:val="32"/>
        </w:rPr>
        <w:t>1.3.3　“缝合”：一个概念史例证</w:t>
      </w:r>
    </w:p>
    <w:p w14:paraId="799D113B">
      <w:pPr>
        <w:ind w:firstLine="440" w:firstLineChars="200"/>
      </w:pPr>
      <w:r>
        <w:rPr>
          <w:rFonts w:hint="eastAsia"/>
        </w:rPr>
        <w:t>上文所论的两重机制需要一处具体的印证，此处通过一个概念史的修正来切入。</w:t>
      </w:r>
    </w:p>
    <w:p w14:paraId="19AAF760">
      <w:pPr>
        <w:ind w:firstLine="440" w:firstLineChars="200"/>
      </w:pPr>
      <w:r>
        <w:rPr>
          <w:rFonts w:hint="eastAsia"/>
        </w:rPr>
        <w:t>“缝合”（suture）这个概念，经常被回溯性地归到拉康名下。这一归属需要一点分辨：它是一个拉康派的概念，却不是拉康本人的概念。巴迪欧对这一点的表述是，米勒的《缝合》是“第一个不由拉康本人写出的伟大拉康派文本”[17]。这个词在拉康本人的文本里极为罕见。常被引用的一种说法是它“只出现过一次”[18]152，这个说法并不准确。就《著作集》英译全套而言，它至少留下了四处痕迹，分布在三页上：《论一个目的》第 307 页一处[83]，那里说的是一次在接缝处完成的“缝合”担保了我们以科学方式获得的东西；《科学与真理》第 731 页两处、第 744 页一处，其中较集中的一处把科学界定为“缝合主体”这一努力陷入僵局之处[16]731，另一处说科学所给定的知识形式包含一种交流方式，“缝合”了它所蕴含的主体[16]744。它的理论地位完全来自米勒 1966 年发表于《分析手册》（Cahiers pour l'Analyse）创刊号的论文《缝合：能指逻辑的要素》[7][8]。这篇文章的首次宣读，是在 1965 年 2 月 24 日拉康主持的研讨班第十二卷“精神分析的关键问题”上[7]。有意思的是，米勒本人在文章开头就说得很清楚：他所要阐明的这个概念，虽然未曾被拉康明确地如此命名，却始终存在于拉康的体系之中[8]。米勒在这篇论文中讨论的是能指与主体之间的逻辑关系：主体如何在能指的链条中被代表，又如何在这一代表中错失自身，这是一个关于能指逻辑的形式化分析，而不是一个临床操作术语。</w:t>
      </w:r>
    </w:p>
    <w:p w14:paraId="4EE0E9ED">
      <w:pPr>
        <w:ind w:firstLine="440" w:firstLineChars="200"/>
      </w:pPr>
      <w:r>
        <w:rPr>
          <w:rFonts w:hint="eastAsia"/>
        </w:rPr>
        <w:t>此后，“缝合”经让-皮埃尔·乌达尔（Jean-Pierre Oudart，1969 年将其引入电影理论）与斯蒂芬·希斯（Stephen Heath）等人的工作进入了文化研究。在电影理论里，“缝合”用来描述观众怎么被缝进影片所安排的主体位置。镜头的切换、正反打、视点结构，都在不知不觉中把观众缝进一个“全知观察者”的位置，让他误以为影片的意义来自自身。这一用法已经离开了米勒原初的能指逻辑问题，转向了主体位置的建构问题。再往后，经齐泽克、拉克劳（Ernesto Laclau）一路被政治化，“缝合”被用来描述社会对抗中的意识形态缝合。社会并没有最终被缝合的完整性；意识形态的工作，就是通过一系列等值链条，把漂浮的能指缝进某一固定的社会想象，从而掩盖社会对抗的根本性质[12]。在齐泽克那里，“缝合”不是一个成功的完成式，它是一个永远在进行、永远失败的操作；社会的缝合从来没有真正完成过，它的失败本身就是政治斗争的场所。</w:t>
      </w:r>
    </w:p>
    <w:p w14:paraId="257B10F3">
      <w:pPr>
        <w:ind w:firstLine="440" w:firstLineChars="200"/>
      </w:pPr>
      <w:r>
        <w:rPr>
          <w:rFonts w:hint="eastAsia"/>
        </w:rPr>
        <w:t>汉语学界对这一机制已有较为清晰的概括。韩振江指出，齐泽克是借拉克劳的社会对抗概念来理解拉康的实在界的：在社会层面上，实在界即“不可克服的社会根本对抗”，亦即社会的根本不可能性本身。意识形态幻象的功能，正在于遮蔽这一对抗与不一致[64]178。这一表述恰好厘清了幻象与缝合之间的关系：缝合处理的是能指的固定，幻象处理的是对抗的遮蔽；二者功能有别，却均不取消对抗本身。</w:t>
      </w:r>
    </w:p>
    <w:p w14:paraId="7D460AAC">
      <w:pPr>
        <w:ind w:firstLine="440" w:firstLineChars="200"/>
      </w:pPr>
      <w:r>
        <w:rPr>
          <w:rFonts w:hint="eastAsia"/>
        </w:rPr>
        <w:t>这条概念史值得在本章提出来，不是因为它本身构成了第三重机制，而是因为它同时是 1.3.1 所论“整理即选择”与 1.3.2 所论“概念工具化”的一个具体例证。一个被广泛当成拉康概念的术语，正式把它立起来的人，是制度化路线的领袖米勒。它从精神分析内部的一个能指逻辑概念，演变成电影理论中的主体位置概念，再演变成政治理论里的缝合概念，每一步都伴随着使用范围的扩张和原始论证语境的剥离，而这一条流传路径所依赖的，正是米勒在文本权威上的那个位置。</w:t>
      </w:r>
    </w:p>
    <w:p w14:paraId="031464DF">
      <w:pPr>
        <w:ind w:firstLine="440" w:firstLineChars="200"/>
      </w:pPr>
      <w:r>
        <w:rPr>
          <w:rFonts w:hint="eastAsia"/>
        </w:rPr>
        <w:t>它对本研究还有一层直接的意义。笔者对实操偏离的批评，最终会落到一个判断上：陷于预设性保守的分析家，在结构上成了异化需求的缝合者。这一判断能否成立，取决于“缝合”是否被承认为一个适用于主体与符号秩序之关系的概念。概念史的考察给出了肯定的回答：米勒的原始定义就是主体与其话语链条之间的关系，而“缝合者”所描述的，正是这种关系被固定下来、不再留有裂隙的状态，这不是术语的挪用，它是回到这个概念最初的形式定义。</w:t>
      </w:r>
    </w:p>
    <w:p w14:paraId="406E6035">
      <w:pPr>
        <w:ind w:firstLine="440" w:firstLineChars="200"/>
      </w:pPr>
      <w:r>
        <w:rPr>
          <w:rFonts w:hint="eastAsia"/>
        </w:rPr>
        <w:t>这里还可以往前推一步，提出一个假设。如果后世拉康派临床在理论上把“分析的结束”等同于主体成功缝合进符号秩序，那么这个等式就构成了对拉康“穿越幻象”命题的倒转。穿越幻象要求的是主体与幻象之间关系的根本改变，而不是主体被成功缝进符号秩序。这一倒转之所以值得提出，是因为它把“结束”的定义，从一个主体面对自身欲望位置的事件，变成了一个主体在符号秩序中被安置的事件；二者看似都指向分析的终点，但对终点的理解完全不同。</w:t>
      </w:r>
    </w:p>
    <w:p w14:paraId="656D96A3">
      <w:pPr>
        <w:ind w:firstLine="440" w:firstLineChars="200"/>
      </w:pPr>
      <w:r>
        <w:rPr>
          <w:rFonts w:hint="eastAsia"/>
        </w:rPr>
        <w:t>要让它成立，至少得有一句把“结束”直接写成适应现存秩序的原文；而这样的原文并不存在，能站住的就只有较弱的一支，即“结束”的判据被可核验的替代物顶替了。强弱之别，得由第二章的制度材料来裁定。</w:t>
      </w:r>
    </w:p>
    <w:p w14:paraId="3838E3B3">
      <w:pPr>
        <w:ind w:firstLine="440" w:firstLineChars="200"/>
      </w:pPr>
      <w:r>
        <w:rPr>
          <w:rFonts w:hint="eastAsia"/>
        </w:rPr>
        <w:t>把 1.1 到 1.3 合起来，我们能够得到以下两点。</w:t>
      </w:r>
    </w:p>
    <w:p w14:paraId="798426DC">
      <w:pPr>
        <w:ind w:firstLine="440" w:firstLineChars="200"/>
      </w:pPr>
      <w:r>
        <w:rPr>
          <w:rFonts w:hint="eastAsia"/>
        </w:rPr>
        <w:t>第一，拉康伦理的激进内核系于实在界，它的政治化潜能存在于文本之中，但拉康本人并未把它展开为一种系统的社会批判；把这一潜能展开为政治批判的，是齐泽克及其后继者。</w:t>
      </w:r>
    </w:p>
    <w:p w14:paraId="5DD3C825">
      <w:pPr>
        <w:ind w:firstLine="440" w:firstLineChars="200"/>
      </w:pPr>
      <w:r>
        <w:rPr>
          <w:rFonts w:hint="eastAsia"/>
        </w:rPr>
        <w:t>第二，以芬克教材为代表的北美技术文本，在承认技术规范合理性的同时，在结构上不承接社会—政治维度。这一未承接是技术框架的结构性后果，不是芬克的主观意图；至于这一未承接在理论层面是否意味着“把主体缝合进现存秩序”，本章不能判定。</w:t>
      </w:r>
    </w:p>
    <w:p w14:paraId="20B227F5">
      <w:pPr>
        <w:ind w:firstLine="440" w:firstLineChars="200"/>
      </w:pPr>
      <w:r>
        <w:rPr>
          <w:rFonts w:hint="eastAsia"/>
        </w:rPr>
        <w:t>命题因此可以这样表述：在文本与教学上，拉康伦理的激进内核与临床实操之间存在一处可辨识的偏离；这一偏离的形态是“未承接”而不是“主动截断”。与它同源的是内核在传承中的收束，收束的机制是概念的整理、学院化与工具化。一个落在操作规范上，一个落在文本传承上，两件事不宜并成一条因果。</w:t>
      </w:r>
    </w:p>
    <w:p w14:paraId="6DB3A6C9">
      <w:pPr>
        <w:ind w:firstLine="440" w:firstLineChars="200"/>
      </w:pPr>
      <w:r>
        <w:rPr>
          <w:rFonts w:hint="eastAsia"/>
        </w:rPr>
        <w:t>这里把三个词分开用。激进内核本身在传承的过程中被窄化，笔者称之为收束；实操与内核之间出现的可辨识的差距，是本章所论的偏离；而这一偏离在技术框架里的具体形态，则是未承接。三者分别落在文本、实操关系与操作规范三处，不宜混用，三个词语在此要是搅成一团，后面所有的判断都会跟着混乱。（“未承接”是术语；作动词时写作“不承接”，如“框架不承接社会维度”，指同一件事。）</w:t>
      </w:r>
    </w:p>
    <w:p w14:paraId="2012637C">
      <w:pPr>
        <w:ind w:firstLine="440" w:firstLineChars="200"/>
        <w:rPr>
          <w:szCs w:val="22"/>
        </w:rPr>
      </w:pPr>
      <w:r>
        <w:rPr>
          <w:rFonts w:hint="eastAsia"/>
          <w:szCs w:val="22"/>
        </w:rPr>
        <w:t>结论停在这里是有意的。从“操作上不处理社会—政治维度”到“理论上把主体缝合进现存秩序”，中间还有一次滑动没有完成。换句话说，本章只把这两重机制在文本与教学上描述出来，并不把它们进一步读作“制度共谋”。培训体制、通过制度与大学话语这三笔证据，得留给第二章。</w:t>
      </w:r>
    </w:p>
    <w:p w14:paraId="7C7F4643">
      <w:pPr>
        <w:pStyle w:val="000012"/>
        <w:widowControl w:val="1"/>
        <w:spacing w:before="60" w:after="60"/>
        <w:ind w:firstLine="440" w:firstLineChars="200"/>
        <w:rPr>
          <w:sz w:val="22"/>
          <w:szCs w:val="22"/>
        </w:rPr>
      </w:pPr>
      <w:r>
        <w:rPr>
          <w:rFonts w:hint="eastAsia"/>
          <w:sz w:val="22"/>
          <w:szCs w:val="22"/>
        </w:rPr>
        <w:t>最后还有一点要提前说明。本章所立的伦理内核，与本研究最终要论证的“临床实践本身就是一种政治实践”之间，还隔着整个一项名曰实操重建的工作。本章不承担这一主张的论证，更加不主张拉康本人的文本已经提供了它的依据。它只为这一主张在文本上准备一个可站立的位置：既然伦理选择的锚点在符号秩序无法吸收的硬核上，那么任何把这个硬核翻译回既有秩序的临床操作，就都不再是一个无害的技术选择了——它成了一次翻译，一次把“说不出口的”翻成“说得出口的”的翻译；而任何一次这样的翻译，都相当于替那口填不满的井，重新盖上一块水泥封板。</w:t>
      </w:r>
    </w:p>
    <w:p w14:paraId="39B77DB7">
      <w:pPr>
        <w:keepNext w:val="1"/>
        <w:keepLines w:val="1"/>
        <w:spacing w:before="100" w:beforeAutospacing="1" w:after="100" w:afterAutospacing="1"/>
        <w:outlineLvl w:val="0"/>
        <w:rPr>
          <w:sz w:val="44"/>
          <w:szCs w:val="44"/>
        </w:rPr>
      </w:pPr>
      <w:bookmarkStart w:id="5" w:name="_Toc243148891"/>
      <w:r>
        <w:rPr>
          <w:rFonts w:hint="eastAsia"/>
          <w:b w:val="1"/>
          <w:sz w:val="44"/>
        </w:rPr>
        <w:t>第二章　偏离的制度机制及其后果</w:t>
      </w:r>
      <w:bookmarkEnd w:id="5"/>
    </w:p>
    <w:p w14:paraId="4F5E953E">
      <w:pPr>
        <w:ind w:firstLine="440" w:firstLineChars="200"/>
      </w:pPr>
      <w:r>
        <w:rPr>
          <w:rFonts w:hint="eastAsia"/>
        </w:rPr>
        <w:t>上一章在文本与教学上敲定了一处偏离：拉康伦理的激进内核跟后世临床实操之间，存在着可辨识的差距——它的形态是未承接，它的发生机制是概念的整理、学院化与工具化。而在这一章内需要阐明的是：培训体制里关于“分析结束”的明文定义、通过制度里对通过者的认证标准、大学话语在拉康派机构里的实际位置。</w:t>
      </w:r>
    </w:p>
    <w:p w14:paraId="7A905B77">
      <w:pPr>
        <w:ind w:firstLine="440" w:firstLineChars="200"/>
      </w:pPr>
      <w:r>
        <w:rPr>
          <w:rFonts w:hint="eastAsia"/>
        </w:rPr>
        <w:t>相应的命题则分强弱两支。强的一支是：以芬克教材为代表的北美技术文本，是不是在理论上把“分析的结束”等同于主体成功缝合进符号秩序，从而构成对“穿越幻象”的倒转。弱的一支是：这一框架是不是用可核验的替代物顶替了“结束”，而对“结束”本身不给出判据。</w:t>
      </w:r>
    </w:p>
    <w:p w14:paraId="0F11CC4F">
      <w:pPr>
        <w:ind w:firstLine="440" w:firstLineChars="200"/>
      </w:pPr>
      <w:r>
        <w:rPr>
          <w:rFonts w:hint="eastAsia"/>
        </w:rPr>
        <w:t>这一章得进行两个步骤。先看三处装置，由此回答偏离由谁承担、怎么被再生产；再看偏离的后果，回答它对从业者、对精神分析自己产生了什么后果。相应的材料限于制度文本与公开文件，临床个案留待第四章说明。</w:t>
      </w:r>
    </w:p>
    <w:p w14:paraId="38D7B1B7">
      <w:pPr>
        <w:ind w:firstLine="440" w:firstLineChars="200"/>
      </w:pPr>
      <w:r>
        <w:rPr>
          <w:rFonts w:hint="eastAsia"/>
        </w:rPr>
        <w:t xml:space="preserve">有一底本需在此交代。本章所引的拉康文本有两种：研讨班第十七卷据 </w:t>
      </w:r>
      <w:r>
        <w:rPr>
          <w:rFonts w:hint="eastAsia"/>
          <w:i w:val="1"/>
        </w:rPr>
        <w:t>The Other Side of Psychoanalysis</w:t>
      </w:r>
      <w:r>
        <w:rPr>
          <w:rFonts w:hint="eastAsia"/>
        </w:rPr>
        <w:t xml:space="preserve">（trans. R. Grigg, Norton, 2007），1967 年提案据同名英译（原刊 </w:t>
      </w:r>
      <w:r>
        <w:rPr>
          <w:rFonts w:hint="eastAsia"/>
          <w:i w:val="1"/>
        </w:rPr>
        <w:t>Scilicet</w:t>
      </w:r>
      <w:r>
        <w:rPr>
          <w:rFonts w:hint="eastAsia"/>
        </w:rPr>
        <w:t>, 1968(1): 14-30）。</w:t>
      </w:r>
    </w:p>
    <w:p w14:paraId="45C98A1A">
      <w:pPr>
        <w:keepNext w:val="1"/>
        <w:keepLines w:val="1"/>
        <w:spacing w:before="100" w:beforeAutospacing="1" w:after="100" w:afterAutospacing="1"/>
        <w:outlineLvl w:val="1"/>
        <w:rPr>
          <w:sz w:val="32"/>
          <w:szCs w:val="32"/>
        </w:rPr>
      </w:pPr>
      <w:bookmarkStart w:id="6" w:name="_Toc243148892"/>
      <w:r>
        <w:rPr>
          <w:rFonts w:hint="eastAsia"/>
          <w:b w:val="1"/>
          <w:sz w:val="32"/>
        </w:rPr>
        <w:t>2.1　三处装置</w:t>
      </w:r>
      <w:bookmarkEnd w:id="6"/>
    </w:p>
    <w:p w14:paraId="5FC3F25E">
      <w:pPr>
        <w:keepNext w:val="1"/>
        <w:keepLines w:val="1"/>
        <w:spacing w:before="100" w:beforeAutospacing="1" w:after="100" w:afterAutospacing="1"/>
        <w:outlineLvl w:val="2"/>
        <w:rPr>
          <w:sz w:val="32"/>
          <w:szCs w:val="32"/>
        </w:rPr>
      </w:pPr>
      <w:r>
        <w:rPr>
          <w:rFonts w:hint="eastAsia"/>
          <w:b w:val="1"/>
          <w:sz w:val="32"/>
        </w:rPr>
        <w:t>2.1.1　培训体制：被回避掉的那个“分析结束”</w:t>
      </w:r>
    </w:p>
    <w:p w14:paraId="7B35E1B4">
      <w:pPr>
        <w:ind w:firstLine="440" w:firstLineChars="200"/>
      </w:pPr>
      <w:r>
        <w:rPr>
          <w:rFonts w:hint="eastAsia"/>
        </w:rPr>
        <w:t>只要一个体制需要颁发分析家的牌照，它就得先回答一个操作性的问题：分析到什么时候算结束。这个问题因此不是个理论趣味，而是资格发放的前提。任何一份结业评审、任何一次督导结论，都在暗地里依赖一个关于“结束”的答案，回答不出来，印章就无法落下。</w:t>
      </w:r>
    </w:p>
    <w:p w14:paraId="5D20A343">
      <w:pPr>
        <w:ind w:firstLine="440" w:firstLineChars="200"/>
      </w:pPr>
      <w:r>
        <w:rPr>
          <w:rFonts w:hint="eastAsia"/>
        </w:rPr>
        <w:t>有意思的地方在于，拉康本人设计制度时，偏偏把这个前提当成尚未解决的问题来处理。他把从被分析者到分析家的过渡称为一团暗云，并说学派能做的事就是把它驱散：</w:t>
      </w:r>
    </w:p>
    <w:p w14:paraId="48241855">
      <w:pPr>
        <w:ind w:firstLine="440" w:firstLineChars="200"/>
      </w:pPr>
      <w:r>
        <w:rPr>
          <w:rFonts w:hint="eastAsia"/>
        </w:rPr>
        <w:t>这团覆盖着我在这里要处理的这个关节点的暗云，即被分析者向分析家过渡的那一点，正是我们的学派可以着手驱散的。[11]7</w:t>
      </w:r>
    </w:p>
    <w:p w14:paraId="2BC64A4C">
      <w:pPr>
        <w:ind w:firstLine="440" w:firstLineChars="200"/>
      </w:pPr>
      <w:r>
        <w:rPr>
          <w:rFonts w:hint="eastAsia"/>
        </w:rPr>
        <w:t>紧接着，他承认这一过渡本身并不清澈：</w:t>
      </w:r>
    </w:p>
    <w:p w14:paraId="711D2225">
      <w:pPr>
        <w:ind w:firstLine="440" w:firstLineChars="200"/>
      </w:pPr>
      <w:r>
        <w:rPr>
          <w:rFonts w:hint="eastAsia"/>
        </w:rPr>
        <w:t>分析的终结于是含有素朴性，这就提出了一个问题：它是否应当被当作通往成为分析家之欲望的途中的一种担保。[11]8</w:t>
      </w:r>
    </w:p>
    <w:p w14:paraId="05B3CBCC">
      <w:pPr>
        <w:ind w:firstLine="440" w:firstLineChars="200"/>
      </w:pPr>
      <w:r>
        <w:rPr>
          <w:rFonts w:hint="eastAsia"/>
        </w:rPr>
        <w:t>这两句话的关系值得停一下。很显然是，拉康没有给“结束”下定义，他把它指派为学派的工作对象。在他那里，“结束”是一个要被思的问题，不是一条可核验的标准。</w:t>
      </w:r>
    </w:p>
    <w:p w14:paraId="5D9E0961">
      <w:pPr>
        <w:ind w:firstLine="440" w:firstLineChars="200"/>
      </w:pPr>
      <w:r>
        <w:rPr>
          <w:rFonts w:hint="eastAsia"/>
        </w:rPr>
        <w:t>拉康对“结束”的表述还有更晚的一次。Deauville 会议结束后的第二天，1978 年 1 月 10 日的研讨班上，他给出了一个直接的提法：</w:t>
      </w:r>
    </w:p>
    <w:p w14:paraId="12DAB7E4">
      <w:pPr>
        <w:ind w:firstLine="440" w:firstLineChars="200"/>
      </w:pPr>
      <w:r>
        <w:rPr>
          <w:rFonts w:hint="eastAsia"/>
        </w:rPr>
        <w:t>分析的终结，这个是可以定义的。分析的终结，就是人绕着圈子转了两遍，也就是说，重新找到了他所囚禁于其中的东西。……只要人看到自己被什么所俘获就够了，而无意识就是这个东西。（据速记稿，version Chollet）[31]</w:t>
      </w:r>
    </w:p>
    <w:p w14:paraId="6BCD5DA6">
      <w:pPr>
        <w:ind w:firstLine="440" w:firstLineChars="200"/>
      </w:pPr>
      <w:r>
        <w:rPr>
          <w:rFonts w:hint="eastAsia"/>
        </w:rPr>
        <w:t>这一处值得与前面的“暗云”并读。它既不是一条可核验的标准，也不是把“结束”悬置起来，它是一个指示：把“结束”系于主体看见自己被什么俘获，而不系于任何可计量的状态。它与 2.1.2 将要说到的通过制度所接收的那种证词指向同一件事。但它同时表明，在拉康那里，“结束”始终是一个被反复重新提出、每次提法都略有不同的对象，而不是一个可以就此结案的定义。换言之，他自己一辈子都没把这张答卷交付出来。</w:t>
      </w:r>
    </w:p>
    <w:p w14:paraId="408E8F82">
      <w:pPr>
        <w:ind w:firstLine="440" w:firstLineChars="200"/>
      </w:pPr>
      <w:r>
        <w:rPr>
          <w:rFonts w:hint="eastAsia"/>
        </w:rPr>
        <w:t>值得再次说明的是，任何训练体制，只要有向外颁布资格许可的意图，就需要有一条能核验的标准。结构性的替换就发生在这里：被制度化的往往是“结束的操作性判据”，而不是“对结束的追问”。这一替换不需要谁有意为之，它为授权资格这件事本身所逼。坦白来说，一个要发证书的机构，能不能不发证书？这个问题在体制内几乎无法回答，因为答案在提问之前就已经被给定。第一章 1.2.2 所论的未承接，到这里才得到制度上的解释。一套技术规范之所以能不处理社会结构，是因为它得先把“结束”处理成一个可判定的状态。而可判定性天然偏爱那些可观察、可复述、可写进评语的东西——它无比偏爱能打钩的那一栏。</w:t>
      </w:r>
    </w:p>
    <w:p w14:paraId="38243EC6">
      <w:pPr>
        <w:ind w:firstLine="440" w:firstLineChars="200"/>
      </w:pPr>
      <w:r>
        <w:rPr>
          <w:rFonts w:hint="eastAsia"/>
        </w:rPr>
        <w:t>这一替换在文本证据上已开始显形，让我们先看看对照项上的第一栏。</w:t>
      </w:r>
    </w:p>
    <w:p w14:paraId="618915E2">
      <w:pPr>
        <w:ind w:firstLine="440" w:firstLineChars="200"/>
      </w:pPr>
      <w:r>
        <w:rPr>
          <w:rFonts w:hint="eastAsia"/>
        </w:rPr>
        <w:t>弗洛伊德 1937 年那篇《可终结的分析与不可终结的分析》，是这个问题的最初形式。它一开头就承认，精神分析治疗是一项漫长的工作，为此不断有人试图缩短它，而这些尝试都没能经受检验。[22]209 他把精神分析列入“不可能的职业”，与教育和治理并列，理由是从事者事先就可以确知结果不会令人满意。[22]248 关于“结束”，他给过一个具体的经验办法，即给分析定下一个期限，并称之为“英雄式的措施”；但结论是保留的：这一办法有效，前提是时机恰当，它并不能保证把任务完成。[22]218-219</w:t>
      </w:r>
    </w:p>
    <w:p w14:paraId="631964C7">
      <w:pPr>
        <w:ind w:firstLine="440" w:firstLineChars="200"/>
      </w:pPr>
      <w:r>
        <w:rPr>
          <w:rFonts w:hint="eastAsia"/>
        </w:rPr>
        <w:t>更值得留意的是这篇文章的后半部分，因为它把“分析的结束”与“分析家的训练”接在了一起。在弗洛伊德那里，一个人有资格成为分析家，依据不在年限上，而在于分析所引发的自我改造没有随着分析的结束而停止。他“指望他在自己的分析中受到的刺激不会随着分析的结束而停止，指望自我改造的过程在受过分析的人身上自发地继续下去”。紧接着的一句却转向反面：不幸的是还有别的事同时发生——一些分析家学会了把分析的要求转嫁给别人，从而使自己保持原样，避开分析的批判与纠正作用。[22]249 为此他提出，分析家应当每隔五年左右重新接受一次分析。[22]249</w:t>
      </w:r>
    </w:p>
    <w:p w14:paraId="603C12CA">
      <w:pPr>
        <w:ind w:firstLine="440" w:firstLineChars="200"/>
      </w:pPr>
      <w:r>
        <w:rPr>
          <w:rFonts w:hint="eastAsia"/>
        </w:rPr>
        <w:t>最后是这篇论文为“结束”给出的判据，它需要被仔细阅读：</w:t>
      </w:r>
    </w:p>
    <w:p w14:paraId="7BA9A9D1">
      <w:pPr>
        <w:ind w:firstLine="440" w:firstLineChars="200"/>
      </w:pPr>
      <w:r>
        <w:rPr>
          <w:rFonts w:hint="eastAsia"/>
        </w:rPr>
        <w:t>分析的工作是为自我的功能确保尽可能好的心理条件；做到这一点，它就算完成了自己的任务。[22]250</w:t>
      </w:r>
    </w:p>
    <w:p w14:paraId="36E4C058">
      <w:pPr>
        <w:ind w:firstLine="440" w:firstLineChars="200"/>
      </w:pPr>
      <w:r>
        <w:rPr>
          <w:rFonts w:hint="eastAsia"/>
        </w:rPr>
        <w:t>同一页上，弗洛伊德明确拒绝把这一任务读成正常化：分析的目标不是“为了一个示意图式的‘正常性’而磨掉人格的每一个特点”，也不是要求一个“被彻底分析过”的人不再有激情、不再发生内心冲突。[22]250</w:t>
      </w:r>
    </w:p>
    <w:p w14:paraId="00B3CEE8">
      <w:pPr>
        <w:ind w:firstLine="440" w:firstLineChars="200"/>
      </w:pPr>
      <w:r>
        <w:rPr>
          <w:rFonts w:hint="eastAsia"/>
        </w:rPr>
        <w:t>这一处对照的价值在于，第一章批评的“适应功能”判据，在这里找到了谱系上的起点，同时也标出了漂移发生的位置。以“功能”为判据的经典表述原本附带着一个禁止，即不得把它读成“正常性”；而后世的“高功能／低功能”之分（第一章 1.2.2 所引芬克第九章的批评对象），正是把被弗洛伊德否定的那一半给找了回来。很显然规矩为他所定，而后人只捡对自己方便的那半句。</w:t>
      </w:r>
    </w:p>
    <w:p w14:paraId="0D155315">
      <w:pPr>
        <w:ind w:firstLine="440" w:firstLineChars="200"/>
      </w:pPr>
      <w:r>
        <w:rPr>
          <w:rFonts w:hint="eastAsia"/>
        </w:rPr>
        <w:t>再看本土制度。成都精神分析中心现行的会员与分析家制度，是目前可公开查证的中国本土机构文本之一。这家中心的国内成员由“会员（含普通会员、专业会员）和分析家（含预备分析家、分析家、督导分析家）”组成，构成一条五级序列；在取得分析家资格的硬性条件中，与“结束”直接相关的只有一条：</w:t>
      </w:r>
    </w:p>
    <w:p w14:paraId="0620F3F9">
      <w:pPr>
        <w:ind w:firstLine="440" w:firstLineChars="200"/>
      </w:pPr>
      <w:r>
        <w:rPr>
          <w:rFonts w:hint="eastAsia"/>
        </w:rPr>
        <w:t>完成个人分析：须在中心分析家处接受 5 年以上个人分析，且分析家及分析者双方同意分析结束。[21]</w:t>
      </w:r>
    </w:p>
    <w:p w14:paraId="393C3DEF">
      <w:pPr>
        <w:ind w:firstLine="440" w:firstLineChars="200"/>
      </w:pPr>
      <w:r>
        <w:rPr>
          <w:rFonts w:hint="eastAsia"/>
        </w:rPr>
        <w:t>它给“结束”规定了两个要件：一个时长下限，一个同意的主体（分析家与分析者双方）。除此之外，文件没有设置第三方裁决，没有给出任何可观察的指标，也没有规定结束之后的复核或撤销。也就是说，“结束”在这里由分析关系内部的双方认定。结束与否是一间屋子里两个人的私事，屋子外面没有人进行复核，也无需他人签字。</w:t>
      </w:r>
    </w:p>
    <w:p w14:paraId="5720CAEF">
      <w:pPr>
        <w:ind w:firstLine="440" w:firstLineChars="200"/>
      </w:pPr>
      <w:r>
        <w:rPr>
          <w:rFonts w:hint="eastAsia"/>
        </w:rPr>
        <w:t>这一条并非孤立的规定，它落在一道递增的年限阶梯的顶端。普通会员无年限要求；专业会员须“接受 3 年个人分析，且仍处在分析中”；预备分析家须“接受 4 年个人分析，且仍处在分析中”；分析家则须“接受 5 年以上个人分析”并完成分析。再往上的督导分析家，又要求“分析家资格 5 年以上，并同时继续从事分析临床工作五年以上”。[21] 也就是说，在整份制度中，唯一贯穿各层级并以数字形式出现的要求，是年限。每一级与上一级的差别，主要就表现为多一年与多一份报告。</w:t>
      </w:r>
    </w:p>
    <w:p w14:paraId="20161189">
      <w:pPr>
        <w:ind w:firstLine="440" w:firstLineChars="200"/>
      </w:pPr>
      <w:r>
        <w:rPr>
          <w:rFonts w:hint="eastAsia"/>
        </w:rPr>
        <w:t>还有一处互指值得记下。这一制度在开头为“个人分析”下了一个定义：“个人分析是指在中心所承认的分析家处接受的、按照《成都精神分析中心的分析设置（成人）》来进行的个人分析。”[21] 制度文本与操作文本因此互为条件：前者规定谁算分析家，后者规定分析如何做；而 2.1.1 所引的“结束”正横亘在这两份文件的交界处，在制度里是资格条件，在设置里是每次会谈的收束。</w:t>
      </w:r>
    </w:p>
    <w:p w14:paraId="09AB7F07">
      <w:pPr>
        <w:ind w:firstLine="440" w:firstLineChars="200"/>
      </w:pPr>
      <w:r>
        <w:rPr>
          <w:rFonts w:hint="eastAsia"/>
        </w:rPr>
        <w:t>此中心另一份文件《分析设置（成人）》给出了操作上的细节。一般频率是“一周三次的弹性时间的个人分析”，其中“一次分析可以是 5 分钟、10 分钟，直至 45 分钟，甚至 1 个小时”；并且“在每次分析中，分析家可以根据分析的进展，提前结束分析或者延长分析时间”。分析室内双方的关系“仅仅是言说与倾听的关系，而不能有身体的接触”。此外还设有远程分析的规定，包括“最初的十次分析应是在场分析”。[23]</w:t>
      </w:r>
    </w:p>
    <w:p w14:paraId="1334E33F">
      <w:pPr>
        <w:ind w:firstLine="440" w:firstLineChars="200"/>
      </w:pPr>
      <w:r>
        <w:rPr>
          <w:rFonts w:hint="eastAsia"/>
        </w:rPr>
        <w:t>这里出现了一个值得单独标出的用语问题。上引条款中“提前结束分析”指的是单次会谈的提前收束，而“双方同意分析结束”指的是整个分析进程的终结；同一份制度在同一个词上承担了两个层面的含义。这一含混不是文字疏漏，它说明制度文本尚未把“一次会面”与“一段分析”在术语上分开，而“结束”这一概念的两个层次正好共用了一个词。这有点像用同一个“关门”去指“关一次门”和“关门停业”——词语是一个，事情是两件。</w:t>
      </w:r>
    </w:p>
    <w:p w14:paraId="6EFEA819">
      <w:pPr>
        <w:ind w:firstLine="440" w:firstLineChars="200"/>
      </w:pPr>
      <w:r>
        <w:rPr>
          <w:rFonts w:hint="eastAsia"/>
        </w:rPr>
        <w:t>时长的来源也可以查。《霍大同访谈》里有一段自述：中心的分析者“每个人都保持每周三次的频率在霍大同教授家里的分析室作分析，不少人已经坚持了 5 年以上。而按照国际上精神分析领域的行规，作精神分析 5 年以上的人就有资格作精神分析家了”；霍大成本人 1986 年赴法，也是按每周三次的频率在一位法国分析家处做了五年分析。[24] 也就是说，本土制度里的“5 年”并非从任何关于“分析结束”的论证中推出，而是从法国惯例与国际行规中移用的时长标准。</w:t>
      </w:r>
    </w:p>
    <w:p w14:paraId="3A83BA79">
      <w:pPr>
        <w:ind w:firstLine="440" w:firstLineChars="200"/>
      </w:pPr>
      <w:r>
        <w:rPr>
          <w:rFonts w:hint="eastAsia"/>
        </w:rPr>
        <w:t>这里还有一处纯文本上的对照值得记下，但不宜引申为渊源。同样是“5 年”，在弗洛伊德那里指的是分析家每隔五年左右重新接受一次分析的复训周期；在本土制度里，它指的是取得资格所需的分析年限下限。而且这个下限在本土制度中出现了两次，一次是对分析家的分析年限，一次是对督导分析家的资格年限。[22]249[21] 同一个数字在两种制度里承担着方向相反的功能。</w:t>
      </w:r>
    </w:p>
    <w:p w14:paraId="6A95834E">
      <w:pPr>
        <w:ind w:firstLine="440" w:firstLineChars="200"/>
      </w:pPr>
      <w:r>
        <w:rPr>
          <w:rFonts w:hint="eastAsia"/>
        </w:rPr>
        <w:t>由此也许可以对本节的论点作一处“修正”。被制度化的并不是“可核验的标准”本身；被制度化的是标准的替代物：时长、双方同意、票决通过、论文。这些东西都可核验，但它们可核验的性质并不在于它们指向“结束”，而在于它们可以被记录、被计数、被表决。偏离的入口正在这里：当替代物成了条件，追问“结束”就不再是制度必须做的事。很显然是，制度要的从来不是那个想不清楚的问题的答案，而是一栏能填上数字的空格。</w:t>
      </w:r>
    </w:p>
    <w:p w14:paraId="04DB2EE4">
      <w:pPr>
        <w:ind w:firstLine="440" w:firstLineChars="200"/>
      </w:pPr>
      <w:r>
        <w:rPr>
          <w:rFonts w:hint="eastAsia"/>
        </w:rPr>
        <w:t>芬克 1997 年的《拉康派精神分析临床导论》在讨论技术的变化时，把分析的终结落在了欲望与享乐之间的纽结上。分析的目标不再是解开被分析者欲望中的结，而是解开其享乐中的结，也就是欲望与享乐相互关系之间形成的那些结。在这一读法里，结束意味着驱力从他者的要求与欲望的支配中解脱出来，转向对象 a。[9]209-216 原文里的措辞值得一并引出。这类临床工作的目标，是“转化那个支撑其欲望的幻象”，因为这一欲望妨碍了对满足的追求。被分析者必须“不再依据大他者的要求或欲望、而是依据那个带来满足的部分对象来重构自身：对象 a”。[9]209 这一表述与弗洛伊德那句“为自我的功能确保尽可能好的心理条件”分属两种语汇：前者谈的是驱力与享乐的经济学，后者谈的是自我的功能。二者的差别，正是“结束”这一问题在两个时代的落点之差。</w:t>
      </w:r>
    </w:p>
    <w:p w14:paraId="67A2955A">
      <w:pPr>
        <w:ind w:firstLine="440" w:firstLineChars="200"/>
      </w:pPr>
      <w:r>
        <w:rPr>
          <w:rFonts w:hint="eastAsia"/>
        </w:rPr>
        <w:t>本土这一板块还有一份材料可以补它的实际形态。成都精神分析中心的创办者霍大同把培养分成三块：分析、精神分析的理论训练、以及中国文化的学习，他的分析者们把这套安排称为“三点结”。[69] 其中两块都指向同一个来源。理论文献是在大学的教学计划之外读的，而他的分析者本身来自大学：“上大学”被他读作中国文化的一大集体症状，父母对孩子唯一的要求是“好好学习”，读书的终点是一张文凭与一个好职位。[69] 由此可以引出一句判断：正是通过对从幼儿园到大学所做的一切的质疑的言说，他们所实践的精神分析“才获得了一个相对于大学而言独立而纯粹的地位……尽管我们的精神分析诞生于大学校园内”。[69]</w:t>
      </w:r>
    </w:p>
    <w:p w14:paraId="63488432">
      <w:pPr>
        <w:ind w:firstLine="440" w:firstLineChars="200"/>
      </w:pPr>
      <w:r>
        <w:rPr>
          <w:rFonts w:hint="eastAsia"/>
        </w:rPr>
        <w:t>这一段值得与 2.1.3 对读。大学话语在这里不只环绕在机构外面，它同时是分析者的来处和理论文献的出处。创办者对此有明确的自觉，他甚至把它记成了一处需要反复处理的东西。在《在中国（成都）培养精神分析家的独特性》的下篇里，他指出，分析者为接受理论训练去读基本文献，“又将我的分析者们带回到主仆辞说和大学辞说中”。这一回转“强化了他们的压抑并扭曲了其症状”，于是形成一个从压抑到症状、到分析、到辨认欲望、再回到压抑的循环。[69] 大学话语的作用因此不限于教学现场，它也能沿着理论文献这条线重新进入分析。人从大学的门出去了，又顺着课本那条线走回来，兜了个大圈，站在原处。</w:t>
      </w:r>
    </w:p>
    <w:p w14:paraId="70045E95">
      <w:pPr>
        <w:ind w:firstLine="440" w:firstLineChars="200"/>
      </w:pPr>
      <w:r>
        <w:rPr>
          <w:rFonts w:hint="eastAsia"/>
        </w:rPr>
        <w:t>由此，2.1.1 的对照表三栏齐了：弗洛伊德给出的是功能判据并附一条禁止（不得读成正常性）；拉康派的技术文本给出的是享乐纽结的解结；本土制度给出的是年限与双方同意。三者的共同点是都没有给出“结束”本身的判据，区别只在于用什么替代了它。本土那一栏还要补上一项：一条把分析、理论与中国文化绑在一起的三点结，以及它对大学话语的一处自觉防守。</w:t>
      </w:r>
    </w:p>
    <w:p w14:paraId="72AD73F6">
      <w:pPr>
        <w:keepNext w:val="1"/>
        <w:keepLines w:val="1"/>
        <w:spacing w:before="100" w:beforeAutospacing="1" w:after="100" w:afterAutospacing="1"/>
        <w:outlineLvl w:val="2"/>
        <w:rPr>
          <w:sz w:val="32"/>
          <w:szCs w:val="32"/>
        </w:rPr>
      </w:pPr>
      <w:r>
        <w:rPr>
          <w:rFonts w:hint="eastAsia"/>
          <w:b w:val="1"/>
          <w:sz w:val="32"/>
        </w:rPr>
        <w:t>2.1.2　通过制度：用证词来判定过渡</w:t>
      </w:r>
    </w:p>
    <w:p w14:paraId="03468BB3">
      <w:pPr>
        <w:ind w:firstLine="440" w:firstLineChars="200"/>
      </w:pPr>
      <w:r>
        <w:rPr>
          <w:rFonts w:hint="eastAsia"/>
        </w:rPr>
        <w:t>1967 年 10 月 9 日的提案是拉康唯一一次系统设计“分析家如何被认证”的文本，也是通过制度（la passe）的出处。</w:t>
      </w:r>
    </w:p>
    <w:p w14:paraId="4469F1B9">
      <w:pPr>
        <w:ind w:firstLine="440" w:firstLineChars="200"/>
      </w:pPr>
      <w:r>
        <w:rPr>
          <w:rFonts w:hint="eastAsia"/>
        </w:rPr>
        <w:t>它的起点是一条不依赖任何外部权威的原则：“分析家只从他本人那里获得授权。”（the psychoanalyst derives his authorisation only from himself，[11]1）这条原则并不取消学派。紧接的一句是：它“并不排除学派为这样一件事提供担保，即某位分析家确曾从它的训练中走出来”。[11]1</w:t>
      </w:r>
    </w:p>
    <w:p w14:paraId="2F6B19AE">
      <w:pPr>
        <w:ind w:firstLine="440" w:firstLineChars="200"/>
      </w:pPr>
      <w:r>
        <w:rPr>
          <w:rFonts w:hint="eastAsia"/>
        </w:rPr>
        <w:t>由此分出两级。学派分析家成员（A.M.S.）“仅仅由学派承认他是一位已经证明了自己的分析家这一事实所构成”。学派分析家（A.S.／A.E.）则“能够就分析中出现的那些关键而尖锐的问题作证，尤其是在这些问题已经到达的那个生死攸关之点上作证”。[11]1</w:t>
      </w:r>
    </w:p>
    <w:p w14:paraId="3AC50007">
      <w:pPr>
        <w:ind w:firstLine="440" w:firstLineChars="200"/>
      </w:pPr>
      <w:r>
        <w:rPr>
          <w:rFonts w:hint="eastAsia"/>
        </w:rPr>
        <w:t>装置的着力点被指定得很清楚，而且指定得出人意料：</w:t>
      </w:r>
    </w:p>
    <w:p w14:paraId="329EE1E3">
      <w:pPr>
        <w:ind w:left="240" w:firstLine="220" w:firstLineChars="100"/>
      </w:pPr>
      <w:r>
        <w:rPr>
          <w:rFonts w:hint="eastAsia"/>
        </w:rPr>
        <w:t>我们的担保机关得以运作的接合点，是人人都知道的：那就是精神分析的开端与终结，如同下棋一样。（it is the beginning and the end of psychoanalysis, as in chess，[11]3）</w:t>
      </w:r>
    </w:p>
    <w:p w14:paraId="144C9709">
      <w:pPr>
        <w:ind w:firstLine="440" w:firstLineChars="200"/>
      </w:pPr>
      <w:r>
        <w:rPr>
          <w:rFonts w:hint="eastAsia"/>
        </w:rPr>
        <w:t>程序是如此运行的。一位被分析者要向若干被称为“传递者”（p assers／passeurs）的人讲述自己的分析。这些人与他处在同等位置，不是他的前辈。传递者从自身“通过”的核心接收证词，而这种证词“是任何意见一致的陪审团都收集不到的”[11]8。传递者“当然不是裁判”[11]8。他们再把自己听到的东西报告给陪审团，由陪审团决定是否承认其为学派分析家。而运作中的陪审团除筛选之外，“不能不尽到推进学说的工作”。[11]9</w:t>
      </w:r>
    </w:p>
    <w:p w14:paraId="594AF861">
      <w:pPr>
        <w:ind w:firstLine="440" w:firstLineChars="200"/>
      </w:pPr>
      <w:r>
        <w:rPr>
          <w:rFonts w:hint="eastAsia"/>
        </w:rPr>
        <w:t>这套安排有些反常识：它要的不是考试，不是论文，甚至不是年限；它要的是有人愿意站到同行面前，把自己那一段分析说一遍。听上去几乎天真。它想做成的事，是让一个人当众交代“我是怎么成为分析家的”，然后由平辈来判断这段交代算不算数——不问对错，只问听见与否。</w:t>
      </w:r>
    </w:p>
    <w:p w14:paraId="2C277F5A">
      <w:pPr>
        <w:ind w:firstLine="440" w:firstLineChars="200"/>
      </w:pPr>
      <w:r>
        <w:rPr>
          <w:rFonts w:hint="eastAsia"/>
        </w:rPr>
        <w:t>传递者的人数在各处记述中并不一致，这一点需要先交代，否则会被读成一个引证错误。拉康 1967 年提案所设计的是三人，Nobus 的记述即据此写作“三位传递者”[32]199-200。而芬克在描述这一装置的实际运行时，写的是让被分析者与“另外两位被分析者”详细讨论自己的分析，后者再把他们听到的东西报告给一组有经验的分析家。[9]213 两个数字都不是笔误：它恰好与后文所引的一个判断相合，即 EFP 于 1969 年实际采用的程序与 1967 年提案所提议的显著不同。因此本章在指称这一位置时统一用“传递者”而不锁死人数，凡是必须给数的地方一律以出处为准。</w:t>
      </w:r>
    </w:p>
    <w:p w14:paraId="024D5892">
      <w:pPr>
        <w:ind w:firstLine="440" w:firstLineChars="200"/>
      </w:pPr>
      <w:r>
        <w:rPr>
          <w:rFonts w:hint="eastAsia"/>
        </w:rPr>
        <w:t>这套安排有几处刻意的设计，值得逐一记下。候选人与决策机构之间没有直接接触；他不必向长辈证明自己会是个有用的分析家，也不必通过任何形式的考试，只需在同行面前为一段经验作证。陪审团要评判的并非候选人呈现的某种知识；它要评判的是那些在整个程序中谈不上得失的人所说出的知识；陪审团成员与传递者，分别从分析家名单和分析者名单中随机抽取。[32]199-200</w:t>
      </w:r>
    </w:p>
    <w:p w14:paraId="6C4B8758">
      <w:pPr>
        <w:ind w:firstLine="440" w:firstLineChars="200"/>
      </w:pPr>
      <w:r>
        <w:rPr>
          <w:rFonts w:hint="eastAsia"/>
        </w:rPr>
        <w:t>这里可以交付三点判断。</w:t>
      </w:r>
    </w:p>
    <w:p w14:paraId="28941E8D">
      <w:pPr>
        <w:ind w:firstLine="440" w:firstLineChars="200"/>
      </w:pPr>
      <w:r>
        <w:rPr>
          <w:rFonts w:hint="eastAsia"/>
        </w:rPr>
        <w:t>第一，通过制度与通常的培训体系在性质上不同。它没有回避“分析结束”这个难题，而是把它制度化为一桩需要被公开作证的事件。就这一点看，第一章 1.2.3 悬置的那次滑动，在装置的原初设计上并不成立：装置所要求的判据是“能够就关键问题作证”，即主体与其问题位置之间的关系，而不是主体在符号秩序中被安置得多好。</w:t>
      </w:r>
    </w:p>
    <w:p w14:paraId="5564E110">
      <w:pPr>
        <w:ind w:firstLine="440" w:firstLineChars="200"/>
      </w:pPr>
      <w:r>
        <w:rPr>
          <w:rFonts w:hint="eastAsia"/>
        </w:rPr>
        <w:t>第二，装置内部有一处张力。作证要求一个判据，而“传递者不是裁判”取消了法官，却把判据交给了在场者的听。判定因此从“标准”转为“传递”：算不算通过，取决于证词能否被另一个人从自身通过的经验出发接收。这一转化不是设计缺陷，它是拉康刻意保留的位置；但它同时使判定高度依赖运行者的水准与共识。</w:t>
      </w:r>
    </w:p>
    <w:p w14:paraId="1A1AF47D">
      <w:pPr>
        <w:ind w:firstLine="440" w:firstLineChars="200"/>
      </w:pPr>
      <w:r>
        <w:rPr>
          <w:rFonts w:hint="eastAsia"/>
        </w:rPr>
        <w:t>第三，装置的判定之所以可能，靠的是一个否定性的规定：它不设预设判据。每位分析都是独特的，因此不存在可供陪审团比对的评价标准。这一点值得与 2.1.1 并读：本土制度同样不设客观判据，区别只在于它把一个可以记录的外在替代物（年限）放进了条件里，而通过制度连替代物也不放。一个放了个年限当垫脚石，一个干脆什么也不垫——两边的差别，就系在这块石头上。</w:t>
      </w:r>
    </w:p>
    <w:p w14:paraId="17221270">
      <w:pPr>
        <w:ind w:firstLine="440" w:firstLineChars="200"/>
      </w:pPr>
      <w:r>
        <w:rPr>
          <w:rFonts w:hint="eastAsia"/>
        </w:rPr>
        <w:t>这一装置的当代描述还给出了它的名称和它所检验的东西。</w:t>
      </w:r>
    </w:p>
    <w:p w14:paraId="112A20EA">
      <w:pPr>
        <w:ind w:firstLine="440" w:firstLineChars="200"/>
      </w:pPr>
      <w:r>
        <w:rPr>
          <w:rFonts w:hint="eastAsia"/>
        </w:rPr>
        <w:t>装置内部的这处张力，在拉康派内部有过一场专门的讨论，其中的辨析把偏离这个词的用法限定得更准。珀雷尔松（Simone Perelson）指出，通过制度同时承担着三件事：从被分析者到分析家的位置转换这一单一经验，一套制度性的命名机制，以及一种新的社会联结。而它与“分析家只从他本人那里获得授权”这条原则，是在同一份提案里被提出来的。[70] 命名程序与自主原则因此看上去互相抵触：一边要求分析家只凭自己授权，一边又要求由机构来确认他。她把这个矛盾称为通过制度的二律背反，并梳理了两种回应。[70]</w:t>
      </w:r>
    </w:p>
    <w:p w14:paraId="183D7CC3">
      <w:pPr>
        <w:ind w:firstLine="440" w:firstLineChars="200"/>
      </w:pPr>
      <w:r>
        <w:rPr>
          <w:rFonts w:hint="eastAsia"/>
        </w:rPr>
        <w:t>一种回应认为原则与程序不可兼容，程序应当废止。米勒的回应相反，他否认这里有矛盾，理由是“通过的程序并不二律背反，它合乎通过的时刻”；真正悖谬的地方在别处，即一个被分析者如何采纳分析家的位置这件事本身。[70] 更关键的是他对“自己授权”这一说法的限定：它是一项要求，不是一份许可。一个人不能因为“拉康这么说”就自我授权；凡是自称分析家的人都得被这句话逼着去问，自己有没有真的从自己那里获得授权。[70] 拉康本人对这一层差别有一句更短的表述，写在 1973 年致三位意大利分析家的信里：“自我授权并不等于自我授衔。”[71]</w:t>
      </w:r>
    </w:p>
    <w:p w14:paraId="09E810D2">
      <w:pPr>
        <w:ind w:firstLine="440" w:firstLineChars="200"/>
      </w:pPr>
      <w:r>
        <w:rPr>
          <w:rFonts w:hint="eastAsia"/>
        </w:rPr>
        <w:t>这一辨析对本章颇有裨益。它把 2.1.1 所论的那个替换限定在一个更窄的位置上：自主原则本身已经是一项要求，而不是一份自由的许可；要求与制度从一开始就是一起被提出的。偏离因此不发生在“制度取代了自主”这一步，它发生在要求被执行成一个可计数的条件时：年限、票决与论文替下了“有没有真的从自己那里获得授权”这个无法记账的问题。珀雷尔松还从另一头作了一处提示：若按她的读法，机构不必是自由的丧失，拉康所设想的联结建立在相互依赖之上，而不建立在对自由的让渡之上。[70] 这一提示与本章的判断不冲突，它只是把问题的位置说清楚：值得追问的不在机构本身，而在机构用什么替代了它无法结算的那个东西。</w:t>
      </w:r>
    </w:p>
    <w:p w14:paraId="26DA02CF">
      <w:pPr>
        <w:ind w:firstLine="440" w:firstLineChars="200"/>
      </w:pPr>
      <w:r>
        <w:rPr>
          <w:rFonts w:hint="eastAsia"/>
        </w:rPr>
        <w:t>芬克把通过称为“一种验证程序”（a kind of verification procedure），并说明它要收集的正是拉康所谓“分析之彼岸”，也就是“一个穿越了其最基本幻象的主体如何活出驱力”。[9]213 也就是说，装置所要检验的，既非候选人掌握的知识，也非他在现行秩序中的位置；它要检验的是他与自身幻象的关系是否已经改变。这一点与第一章 1.2.3 扣下的那个命题正好相对：第一章追问的是后世是否把“分析的结束”付诸成功缝入符号秩序，而装置的原初设计以幻象的穿越为判据。</w:t>
      </w:r>
    </w:p>
    <w:p w14:paraId="14AA93B9">
      <w:pPr>
        <w:ind w:firstLine="440" w:firstLineChars="200"/>
      </w:pPr>
      <w:r>
        <w:rPr>
          <w:rFonts w:hint="eastAsia"/>
        </w:rPr>
        <w:t>客观来说，装置后来的运行状况有迹可循。1978 年 1 月 8 日，在 Deauville 召开的会议上，拉康作了一次题为《通过的经验》的发言。他要的是证词，却没有收到证词：</w:t>
      </w:r>
    </w:p>
    <w:p w14:paraId="6EF1CF7C">
      <w:pPr>
        <w:ind w:firstLine="440" w:firstLineChars="200"/>
      </w:pPr>
      <w:r>
        <w:rPr>
          <w:rFonts w:hint="eastAsia"/>
        </w:rPr>
        <w:t>唯一重要的事情是被通过者，而被通过者，就是我所提的那个问题：什么东西可以进入某个人的头脑，使他授权自己去做分析家？我本来想要一些证词，自然，我一份也没有得到——关于这件事是如何发生的证词。当然，这是一次彻底的失败，这个通过。（C'est un échec complet, cette passe.）[25]180-181</w:t>
      </w:r>
    </w:p>
    <w:p w14:paraId="4DB1B97D">
      <w:pPr>
        <w:ind w:firstLine="440" w:firstLineChars="200"/>
      </w:pPr>
      <w:r>
        <w:rPr>
          <w:rFonts w:hint="eastAsia"/>
        </w:rPr>
        <w:t>同一时期，他在给 Roudinesco 的信中另有交代：这一风险在通过之中并不是必须承担的，进入者是自愿地去冒它。[26] 这两处合起来看，可以确定评判的性质：设计者本人并没有把通过制度视为一项已经成功的制度，他把它看作一次仍在进行的试验，而试验的结果在十一年后被他判定为失败。一句“彻底的失败”，是设计者自己下的判词，旁人不必替他打圆场。</w:t>
      </w:r>
    </w:p>
    <w:p w14:paraId="3625CA8D">
      <w:pPr>
        <w:ind w:firstLine="440" w:firstLineChars="200"/>
      </w:pPr>
      <w:r>
        <w:rPr>
          <w:rFonts w:hint="eastAsia"/>
        </w:rPr>
        <w:t>这一判断并不孤立。研究拉康派训练制度的权威二手著作给出的结论是：通过制度“尽管抱着民主的意图，却没有像它被设计的那样运作”（did not work as it was intended to）。而在 EFP 内部，以及它解散之后的 ECF 内部，关于通过的设计与实施的争论，激烈程度超过其他任何议题。[32]200 设计者本人的否定与独立研究者的结论在此吻合，2.1.2 第三点的判断因此有两重支撑。</w:t>
      </w:r>
    </w:p>
    <w:p w14:paraId="62D84A67">
      <w:pPr>
        <w:ind w:firstLine="440" w:firstLineChars="200"/>
      </w:pPr>
      <w:r>
        <w:rPr>
          <w:rFonts w:hint="eastAsia"/>
        </w:rPr>
        <w:t>同一篇发言里还有两处细节，对理解装置的运行方式很关键。</w:t>
      </w:r>
    </w:p>
    <w:p w14:paraId="1EAB40B0">
      <w:pPr>
        <w:ind w:firstLine="440" w:firstLineChars="200"/>
      </w:pPr>
      <w:r>
        <w:rPr>
          <w:rFonts w:hint="eastAsia"/>
        </w:rPr>
        <w:t>其一是关于传递者的资格。拉康说：“不需要是 A.E. 才能当传递者”，并认为只有 A.E. 才有资格指定传递者是一种“疯狂的想法”。[25]180 也就是说，装置在选任传递者时，并不要求传递者本人已经通过；这一点可与 ECF 现行的程序（传递者由抽签产生）并读。</w:t>
      </w:r>
    </w:p>
    <w:p w14:paraId="2ADD6FAA">
      <w:pPr>
        <w:ind w:firstLine="440" w:firstLineChars="200"/>
      </w:pPr>
      <w:r>
        <w:rPr>
          <w:rFonts w:hint="eastAsia"/>
        </w:rPr>
        <w:t>其二是他随后给出的判断。他说，一个人“要成为分析家，必须被狠狠地咬住；主要是被弗洛伊德咬住，也就是说，相信那个绝对疯狂的东西——无意识”。而他对 A.M.E. 前来作证并不特别感兴趣，理由是“A.M.E. 做这件事是习惯使然”。[25]181 这两句话把装置的两难摆得很清楚：装置要收集的，是一个人“授权自己”的那个念头；而它实际能够收集到的，往往是习惯性的证词。2.1.2 第三点的判断在这里得到了设计者本人的印证。</w:t>
      </w:r>
    </w:p>
    <w:p w14:paraId="0C118A6D">
      <w:pPr>
        <w:ind w:firstLine="440" w:firstLineChars="200"/>
      </w:pPr>
      <w:r>
        <w:rPr>
          <w:rFonts w:hint="eastAsia"/>
        </w:rPr>
        <w:t>装置的运行史同样有据可查。就在《通过的经验》的同一篇书目文献里，与通过制度相关的文本逐条排开：1967 年 10 月 9 日的两个版本，1967 年 12 月 6 日在学派内的讲话，1973 年与 1976 年的两次学派大会，1978 年 7 月关于“传递”的大会，1980 年 1 月的解散通告。[26] 也就是说，从制度设立到学派解散，通过制度始终是一个被反复检讨的对象。</w:t>
      </w:r>
    </w:p>
    <w:p w14:paraId="17F83DE2">
      <w:pPr>
        <w:ind w:firstLine="440" w:firstLineChars="200"/>
      </w:pPr>
      <w:r>
        <w:rPr>
          <w:rFonts w:hint="eastAsia"/>
        </w:rPr>
        <w:t>这两个版本并不相同。1967 年 10 月 9 日会上宣读的原始版含 4845 词，但迟至 1978 年才刊于 Ornicar? Analytica 第 8 卷——也就是说，学界先读到的是经过整理的第二版。通行本即这第二版，含 5059 词，首刊于 Scilicet 第 1 期（1968 年），第 14-30 页，后收入 Autres Écrits（2001）。[72] 本节所引为通行本，页码据其英译本。1980 年 1 月 EFP 解散，同年 2 月“弗洛伊德事业”（La Cause freudienne）宣告成立，1981 年定形为 ECF；1992 年雅克-阿兰·米勒（Jacques-Alain Miller）再以 ECF 为核心组建 WAP，通过（passe）这一装置由此在后继学派中延续。2023 年 10 月 7 日，ECF 召开第一次“通过日”，会议记录以电子小册子形式由 ECF 自编发行，法语原题为 Le redépart de la passe（《通过的重启》）。[27]</w:t>
      </w:r>
    </w:p>
    <w:p w14:paraId="296AC91D">
      <w:pPr>
        <w:ind w:firstLine="440" w:firstLineChars="200"/>
      </w:pPr>
      <w:r>
        <w:rPr>
          <w:rFonts w:hint="eastAsia"/>
        </w:rPr>
        <w:t>偏离并不始于 1978 年。EFP 于 1969 年实际采用的通过程序，与拉康 1967 年提案中所提议的显著不同。[32]201n 也就是说，装置在第一次落地时就已经变形。这一条把本节的判断往前推了九年：偏离并不是装置老化的结果，它是装置一开始的运行条件。很显然是，这不是一件用久了才走形的家具，它出厂时就带着这道缝。</w:t>
      </w:r>
    </w:p>
    <w:p w14:paraId="00B2385A">
      <w:pPr>
        <w:ind w:firstLine="440" w:firstLineChars="200"/>
      </w:pPr>
      <w:r>
        <w:rPr>
          <w:rFonts w:hint="eastAsia"/>
        </w:rPr>
        <w:t>现行形态的来源也需交代。ECF 后来从“ECF—1”转为“ECF—2”，其核心差别正是实施所谓“通过的第二提案”，即拉康 1974 年致三位意大利分析家的信中提出的方案。第二提案意味着通过程序的用途被扩大：它不再只用于承认新的分析家，还用于招募学派的新成员，作为对更常见的那些标准，也就是候选人的会谈次数、学位、一叠论文、对学界的贡献等等的替代。[32]184</w:t>
      </w:r>
    </w:p>
    <w:p w14:paraId="50288DDD">
      <w:pPr>
        <w:ind w:firstLine="440" w:firstLineChars="200"/>
      </w:pPr>
      <w:r>
        <w:rPr>
          <w:rFonts w:hint="eastAsia"/>
        </w:rPr>
        <w:t>这一扩充针对的是一个具体的对手。同年，Serge Leclaire 提议建立一种“分析家行会”（analytical order），类比“医生行会”，由分析家自己制定的规则在欧洲范围内规管精神分析的执业。ECF 成员接受第二提案，正是对 Leclaire 提议的直接回应：它代表一种拒绝，即拒绝把精神分析与某种统一的国家法令绑在一起，后者的形态是，谁只要符合预先公布的分析能力标准，谁就取得执业资格。[32]184-185</w:t>
      </w:r>
    </w:p>
    <w:p w14:paraId="3ED747D4">
      <w:pPr>
        <w:ind w:firstLine="440" w:firstLineChars="200"/>
      </w:pPr>
      <w:r>
        <w:rPr>
          <w:rFonts w:hint="eastAsia"/>
        </w:rPr>
        <w:t>现行的运行状况有一份可以直接引用的材料。ECF 2024 年 6 月的官方名录开篇写明这一学派三类成员的区别：</w:t>
      </w:r>
    </w:p>
    <w:p w14:paraId="63EB6E93">
      <w:pPr>
        <w:ind w:left="240" w:firstLine="220" w:firstLineChars="100"/>
      </w:pPr>
      <w:r>
        <w:rPr>
          <w:rFonts w:hint="eastAsia"/>
        </w:rPr>
        <w:t>执业分析家（A.P.）：声明从事精神分析的成员。</w:t>
      </w:r>
    </w:p>
    <w:p w14:paraId="59FDE015">
      <w:pPr>
        <w:ind w:left="240" w:firstLine="220" w:firstLineChars="100"/>
      </w:pPr>
      <w:r>
        <w:rPr>
          <w:rFonts w:hint="eastAsia"/>
        </w:rPr>
        <w:t>学派分析家成员（A.M.E.）：由“执业保证委员会”授予的资格，授予那些证明其训练出自本学派所传授之训练的成员。</w:t>
      </w:r>
    </w:p>
    <w:p w14:paraId="7B8A67EE">
      <w:pPr>
        <w:ind w:left="240" w:firstLine="220" w:firstLineChars="100"/>
      </w:pPr>
      <w:r>
        <w:rPr>
          <w:rFonts w:hint="eastAsia"/>
        </w:rPr>
        <w:t>学派分析家（A.E.）：由分析家通过“通过”程序而获得的资格，这一装置由拉康创设于 1967 年。与前两类不同，这一资格的使用是有期限的。[28]</w:t>
      </w:r>
    </w:p>
    <w:p w14:paraId="07C221A8">
      <w:pPr>
        <w:ind w:firstLine="440" w:firstLineChars="200"/>
      </w:pPr>
      <w:r>
        <w:rPr>
          <w:rFonts w:hint="eastAsia"/>
        </w:rPr>
        <w:t>名录所列人数为：A.P. 345 人，A.M.E. 121 人，A.E. 9 人。[28] 这一组数字与 2.1.1 所整理的成都中心名录恰好可以并置，但并置时得说明口径之差：ECF 的 A.E. 因资格限期、到期需要重新走程序，故人数极少，而 A.M.E. 是长期资格且人数众多；成都中心的“分析家”（11 人）是常设资格，对应当参照的是 A.M.E. 一栏，而非 A.E.。这一差别本身有分析价值：通过制度在当代的运行，恰好以一种可数量化的方式，把“限期的、需要重新取得的承认”与“长期的、一次取得的承认”区分开来。</w:t>
      </w:r>
    </w:p>
    <w:p w14:paraId="3D91D7D0">
      <w:pPr>
        <w:ind w:firstLine="440" w:firstLineChars="200"/>
      </w:pPr>
      <w:r>
        <w:rPr>
          <w:rFonts w:hint="eastAsia"/>
        </w:rPr>
        <w:t xml:space="preserve">名录的标注方式把这一时限直接落在纸面上。九位A.E.的名字后面，各自缀着一个取得资格的月份：最早是居伊·波布洛姆（Guy Poblome，2020年9月），最晚是卡罗利娜·科雷茨基（Carolina Koretzky，2023年7月）；其余七人——亚历山德拉·马科维亚克（Alexandra Makowiak）、奥迈拉·梅塞格（Omaïra Meseguer）、韦罗妮克·潘蒂耶（Véronique Pannetier）、维多利亚·帕斯（Victoria Paz）、利利亚娜·萨拉萨尔-雷东（Liliana Salazar-Redon）、萨内·蒂罗（Sane Thireau），连同名录中未及列入的另一位——全部落在2021年。[28] </w:t>
      </w:r>
    </w:p>
    <w:p w14:paraId="1F111FBB">
      <w:pPr>
        <w:ind w:firstLine="440" w:firstLineChars="200"/>
      </w:pPr>
      <w:r>
        <w:rPr>
          <w:rFonts w:hint="eastAsia"/>
        </w:rPr>
        <w:t>名录因此不是一份单纯的名单，而是一本关于时限的账：承认既然有期限，就得记账。数量本身也是可核验的事实：在 345 名执业分析家之中，持有这一通过程序所授予之资格者为九人。[28] 本节不解释这个比例，只标出它的意义边界：通过制度在制度设计上的重要性，与它在当代的运行规模并不相称。 这一落差与前引 1978 年的判词可以并置，但两者之间的关系需要更多材料才能判断，本章不作推测。</w:t>
      </w:r>
    </w:p>
    <w:p w14:paraId="6EFB0240">
      <w:pPr>
        <w:ind w:firstLine="440" w:firstLineChars="200"/>
      </w:pPr>
      <w:r>
        <w:rPr>
          <w:rFonts w:hint="eastAsia"/>
        </w:rPr>
        <w:t>这里要插一处限定，以免行文越界：WAP 的章程正文并没有关于通过制度的条款，它只在序言中声明采纳 1967 年提案所含的原则。[29] 因此不能写成“WAP 章程规定了通过制度”，只能说这一原则为其章程所援引。话说回来，一处“采纳”，本身就已经够说明态度了。</w:t>
      </w:r>
    </w:p>
    <w:p w14:paraId="2E924FBB">
      <w:pPr>
        <w:ind w:firstLine="440" w:firstLineChars="200"/>
      </w:pPr>
      <w:r>
        <w:rPr>
          <w:rFonts w:hint="eastAsia"/>
        </w:rPr>
        <w:t>由此，第三点可以从条件句写成判断句了：偏离若在装置上发生，不发生在其设计上，而发生在它的运行中；这一点有设计者本人的否定判断作为最直接的证据，而设计者随后给出的修正方式，是把这一资格改为有期限、需要重新取得的承认。</w:t>
      </w:r>
    </w:p>
    <w:p w14:paraId="3E0983CA">
      <w:pPr>
        <w:ind w:firstLine="440" w:firstLineChars="200"/>
      </w:pPr>
      <w:r>
        <w:rPr>
          <w:rFonts w:hint="eastAsia"/>
        </w:rPr>
        <w:t>这套装置的原初设计与它的失败说明，在本土最早的制度讨论里被完整地摆出来过。2002 年 4 月，科朗（Cornaz）在成都做过一轮关于精神分析与哲学的讲座，第十讲的下午场讨论的正是通过制度。霍大同在场上提的问题与本节的题目几乎重合：“IPA 和欧洲都有他们自己的一套，随着我们队伍的壮大，我们这个队伍如何立规？我们不想追随 IPA，也不想和欧洲有同一传统，那我们应该怎么做？”[68] 科朗的回答分三步：拉康为什么建立通过制度、它如何在他的学校里运转、以及它如何在后继的学会里被运作起来。[68]</w:t>
      </w:r>
    </w:p>
    <w:p w14:paraId="0E11A178">
      <w:pPr>
        <w:ind w:firstLine="440" w:firstLineChars="200"/>
      </w:pPr>
      <w:r>
        <w:rPr>
          <w:rFonts w:hint="eastAsia"/>
        </w:rPr>
        <w:t>同一次回答里有两处内容与本节直接相关。其一，拉康在这一装置运转十来年之后终止了它，并把它判定为失败；科朗转述的失败原因有两条，学校里的某些成员具有特权，以及判断者从来没有说出自己听到了什么。[68] 其二，他给判准的说法比传世记述更干净：判断者要回答的只是听到还是没有听到，“如果没有听到，不能说是通过者不是分析家，而仅说通过者未被听见”。[68] 这一句与前文所引的“传递者当然不是裁判”同调，差别在于它把“未被听见”与“不合格”明确切开了。科朗还给出一句讲公众面的判断：“分析家自己管自己对于公众来说是不够的，因为公众要知道他是和谁一起做分析的。”[68] 2.1.1 所论的替代物压力，来源正在这一句上：机构要面对公众，公众要一个可查证的名字，而“有没有真的从自己那里获得授权”不是一个能查证的名字。</w:t>
      </w:r>
    </w:p>
    <w:p w14:paraId="556C3E33">
      <w:pPr>
        <w:ind w:firstLine="660" w:firstLineChars="300"/>
      </w:pPr>
      <w:r>
        <w:rPr>
          <w:rFonts w:hint="eastAsia"/>
        </w:rPr>
        <w:t>最后要标出一处本土对照。前述本土机构的文件中并未出现 la passe、通过制度或任何对应的结项装置，也没有设置“分析者本人向同行陈述、并由其接收证词”的环节，评审主体一律是“在场”的内部成员。[21] 换言之，在中国语境中，通过制度并未被移植。这一缺项有两重后果：其一，本章对这一装置运行状况的检验只能依据欧洲学派的材料，不能由本土材料代偿；其二，2.1.1 所论“标准的替代物”因此在本土制度中表现得更为直接——当证词程序缺席，剩下的就只能是年限、票决与论文。一套不设证词的程序，最后能拿来换名分的，也就只剩那一叠能数得清的纸。</w:t>
      </w:r>
    </w:p>
    <w:p w14:paraId="349B20EA">
      <w:pPr>
        <w:ind w:firstLine="440" w:firstLineChars="200"/>
      </w:pPr>
      <w:r>
        <w:rPr>
          <w:rFonts w:hint="eastAsia"/>
        </w:rPr>
        <w:t>把这一处缺项与上面那段记录并读，事情会清楚一些：这套装置的原始设计与它的失败说明都曾在场，而它没有被接下来的制度采用。</w:t>
      </w:r>
    </w:p>
    <w:p w14:paraId="3E4A8A8C">
      <w:pPr>
        <w:ind w:firstLine="440" w:firstLineChars="200"/>
      </w:pPr>
      <w:r>
        <w:rPr>
          <w:rFonts w:hint="eastAsia"/>
        </w:rPr>
        <w:t>转述中另有一处需要留意，它是这一装置的症候性表述：Miller 说“通过是两件事：它是一个事件，也是一套程序”。[30] 事件不可制度化，程序必须可追责，二者的接缝正是偏离最可能发生的地方。不言自明，一间屋子既要装下一个人的当下，又要挂上一套能对账的表格，这两件东西迟早要在墙上打架。</w:t>
      </w:r>
    </w:p>
    <w:p w14:paraId="4CB1F905">
      <w:pPr>
        <w:keepNext w:val="1"/>
        <w:keepLines w:val="1"/>
        <w:spacing w:before="100" w:beforeAutospacing="1" w:after="100" w:afterAutospacing="1"/>
        <w:outlineLvl w:val="2"/>
        <w:rPr>
          <w:sz w:val="32"/>
          <w:szCs w:val="32"/>
        </w:rPr>
      </w:pPr>
      <w:r>
        <w:rPr>
          <w:rFonts w:hint="eastAsia"/>
          <w:b w:val="1"/>
          <w:sz w:val="32"/>
        </w:rPr>
        <w:t>2.1.3　大学话语：整理与工具化的共同来路</w:t>
      </w:r>
    </w:p>
    <w:p w14:paraId="62AB1EB0">
      <w:pPr>
        <w:ind w:firstLine="440" w:firstLineChars="200"/>
      </w:pPr>
      <w:r>
        <w:rPr>
          <w:rFonts w:hint="eastAsia"/>
        </w:rPr>
        <w:t>前面提到的两处装置需要一个场域来负载，此场域由大学话语提供。</w:t>
      </w:r>
    </w:p>
    <w:p w14:paraId="59C53907">
      <w:pPr>
        <w:ind w:firstLine="440" w:firstLineChars="200"/>
      </w:pPr>
      <w:r>
        <w:rPr>
          <w:rFonts w:hint="eastAsia"/>
        </w:rPr>
        <w:t>拉康在研讨班第十七卷中把四种话语按同一组四个位置的轮换排开，大学、主人、歇斯底里与分析家之间的区分，只在于“那四个根本项各自的各种位置”。[5]42-43 大学话语的特征是知识（S₂）居于动因位置。</w:t>
      </w:r>
    </w:p>
    <w:p w14:paraId="7E299B61">
      <w:pPr>
        <w:ind w:firstLine="440" w:firstLineChars="200"/>
      </w:pPr>
      <w:r>
        <w:rPr>
          <w:rFonts w:hint="eastAsia"/>
        </w:rPr>
        <w:t>他对大学话语的批评有一处很少被援引，却正对着本课题的问题。他说，那个理想的“我”的神话，那个“我在说话、因而至少有一件事与自身同一”的神话：</w:t>
      </w:r>
    </w:p>
    <w:p w14:paraId="1D3AD047">
      <w:pPr>
        <w:ind w:left="240" w:firstLine="220" w:firstLineChars="100"/>
      </w:pPr>
      <w:r>
        <w:rPr>
          <w:rFonts w:hint="eastAsia"/>
        </w:rPr>
        <w:t>恰恰是大学话语无法从它的真理所在的那个位置上排除掉的东西。出自任何哲学的学术陈述，甚至出自那种严格说来可以被指认为最反哲学的哲学的陈述，我之统治（I-cracy）都不可还原地浮现出来。[5]63</w:t>
      </w:r>
    </w:p>
    <w:p w14:paraId="7454E6F7">
      <w:pPr>
        <w:ind w:firstLine="440" w:firstLineChars="200"/>
      </w:pPr>
      <w:r>
        <w:rPr>
          <w:rFonts w:hint="eastAsia"/>
        </w:rPr>
        <w:t>大学话语并不禁止谈欲望、谈实在界、谈临床；它只是无法排除说话的那个“我”占据真理位置，而这恰好是理论教学能稳定进行的前提。讲课的人站在台上，就算句句讲的是别人的思想，坐进真理位置的，仍是那个正在说话的“我”。</w:t>
      </w:r>
    </w:p>
    <w:p w14:paraId="782D9441">
      <w:pPr>
        <w:ind w:firstLine="440" w:firstLineChars="200"/>
      </w:pPr>
      <w:r>
        <w:rPr>
          <w:rFonts w:hint="eastAsia"/>
        </w:rPr>
        <w:t>此段直接连接第一章。第一章说明了整理与工具化这两重机制（1.3.1、1.3.2），这一节要说的是它们的共同结构。当研讨班被编订为标准文本、被指定为教材、被纳入考核，发生的不只是内容的流失，还有话语位置的替换：讲述者退场，知识的持有者登场。概念之所以能被削平为标签，正是因为大学话语已经预先安排好了那个贴标签的位置。</w:t>
      </w:r>
    </w:p>
    <w:p w14:paraId="079D6BA4">
      <w:pPr>
        <w:ind w:firstLine="440" w:firstLineChars="200"/>
      </w:pPr>
      <w:r>
        <w:rPr>
          <w:rFonts w:hint="eastAsia"/>
        </w:rPr>
        <w:t>这一位置替换在教材上有可以直接查证的形态。同一部《精神分析教科书》把全书分成若干大部分，其中第三部分题为“学派”（Schools of Thought）。属下依次是古典精神分析、客体关系、克莱因与比昂、自体心理学、关系精神分析、拉康。拉康的专章在印刷第 225 页[58]225。拉康在这里是这一串并列项中的一章，与它左右的学派处在同一层级，篇幅也与其他学派相当。</w:t>
      </w:r>
    </w:p>
    <w:p w14:paraId="3D3726F4">
      <w:pPr>
        <w:ind w:firstLine="440" w:firstLineChars="200"/>
      </w:pPr>
      <w:r>
        <w:rPr>
          <w:rFonts w:hint="eastAsia"/>
        </w:rPr>
        <w:t>把这一编排与 1.3.1 所述米勒的编订并读，两件事接得上：编订把研讨班变成可流通的标准文本，教材编排再把它安置为可供讲授、可供比较的一个学派条目。知识的位置并不只在讲授现场形成，它也在目录里形成。目录是一张座位表，谁坐在哪一排，翻开就能找着。</w:t>
      </w:r>
    </w:p>
    <w:p w14:paraId="07DE3736">
      <w:pPr>
        <w:ind w:firstLine="440" w:firstLineChars="200"/>
      </w:pPr>
      <w:r>
        <w:rPr>
          <w:rFonts w:hint="eastAsia"/>
        </w:rPr>
        <w:t>拉康在同一处还给了一句几乎是为本课题写的判断：</w:t>
      </w:r>
    </w:p>
    <w:p w14:paraId="72F8BA8D">
      <w:pPr>
        <w:ind w:left="240" w:firstLine="220" w:firstLineChars="100"/>
      </w:pPr>
      <w:r>
        <w:rPr>
          <w:rFonts w:hint="eastAsia"/>
        </w:rPr>
        <w:t>在寻求逃离大学话语的过程中，人不可动摇地重新踏了进去。（in seeking to escape from the university discourse one implacably reenters it，[5]64）</w:t>
      </w:r>
    </w:p>
    <w:p w14:paraId="4B19AC4E">
      <w:pPr>
        <w:ind w:firstLine="440" w:firstLineChars="200"/>
      </w:pPr>
      <w:r>
        <w:rPr>
          <w:rFonts w:hint="eastAsia"/>
        </w:rPr>
        <w:t>这句话可以照原样移用到本研究上：对偏离的批判本身，一旦只在学术陈述中进行，就仍然是大学话语的一部份。这并不是要取消批判；打圆场的说法是，批判若要有落点，必须在装置上而不只在陈述上动手。</w:t>
      </w:r>
    </w:p>
    <w:p w14:paraId="32F41A8E">
      <w:pPr>
        <w:ind w:firstLine="440" w:firstLineChars="200"/>
      </w:pPr>
      <w:r>
        <w:rPr>
          <w:rFonts w:hint="eastAsia"/>
        </w:rPr>
        <w:t>他另外从一侧说明了这一困境的位置：面对“大学话语中构成本质者、构成支配者者”究竟是什么，回答的困难“必须使我们意识到我们研究中的某种东西”。[5]45 也就是说，大学话语的中心是空的，它无法从自身内部说出自己由什么支配。</w:t>
      </w:r>
    </w:p>
    <w:p w14:paraId="59AB9AD7">
      <w:pPr>
        <w:ind w:firstLine="440" w:firstLineChars="200"/>
      </w:pPr>
      <w:r>
        <w:rPr>
          <w:rFonts w:hint="eastAsia"/>
        </w:rPr>
        <w:t>这一困境还可以再往下推一层。同一部研究在讨论学派组织时指出，拉康想要的是一个按“分析家话语”而非权力话语组织起来的团体，而这件事极其困难：</w:t>
      </w:r>
    </w:p>
    <w:p w14:paraId="27602178">
      <w:pPr>
        <w:ind w:left="240" w:firstLine="220" w:firstLineChars="100"/>
      </w:pPr>
      <w:r>
        <w:rPr>
          <w:rFonts w:hint="eastAsia"/>
        </w:rPr>
        <w:t>也许这就是一个试图按分析家话语的原则来组织自身的学派的基本困境。当成员不被要求行使权力，而被要求去引发大他者的欲望时，其效果就是大他者被歇斯底里化，并转而把大他者安置为主人，无论他是否愿意。分析家话语的主要困难，如果不是它的不可能性的话，与其说在于占据分析家本身的位置，不如说在于阻止被分析者把主人的位置归于分析家。[32]201</w:t>
      </w:r>
    </w:p>
    <w:p w14:paraId="2DF0B9A2">
      <w:pPr>
        <w:ind w:firstLine="440" w:firstLineChars="200"/>
      </w:pPr>
      <w:r>
        <w:rPr>
          <w:rFonts w:hint="eastAsia"/>
        </w:rPr>
        <w:t>这一段解释了 2.1.2 所见那个现像为何反复出现：判定退回到在场者的共识，并非某一届委员会的疏忽，它来自分析家话语自身携带的结构性困难。大学话语之所以能轻易占据机构内部的场域，正因为它提供的那个“知识持有者”的位置，恰好接住了这份被推让出去的主人位置。</w:t>
      </w:r>
    </w:p>
    <w:p w14:paraId="070E48CF">
      <w:pPr>
        <w:ind w:firstLine="440" w:firstLineChars="200"/>
      </w:pPr>
      <w:r>
        <w:rPr>
          <w:rFonts w:hint="eastAsia"/>
        </w:rPr>
        <w:t>大学话语在拉康派机构中的实际位置，本土材料给了一个可以直接引证的坐标。成都精神分析中心的制度规定，专业会员须“参加中心基础理论培训课程（6 门，至少通过 5 门课程的考核）”；紧接着的备注却写明：“川大精神分析方向硕士文凭获得者或留法精神分析相关的硕博士文凭获得者可不参加中心基础理论培训课程。”[21] 大学文凭可以直接替代机构内部的课程考核，豁免范围且不止于本校，还包括留法取得的相关学位。知识的位置并不由机构自己独占，它与大学的文凭体系共享；这正是大学话语进入机构的具体方式。这一张文凭在某些场合比一整套培训还管用，这一点写进了它自己的规章。</w:t>
      </w:r>
    </w:p>
    <w:p w14:paraId="4A0BCF37">
      <w:pPr>
        <w:ind w:firstLine="440" w:firstLineChars="200"/>
      </w:pPr>
      <w:r>
        <w:rPr>
          <w:rFonts w:hint="eastAsia"/>
        </w:rPr>
        <w:t>同一份制度的评审环节也值得被记录：晋级要求提交“一篇硕士论文水平的论文”或“一份高水平的理论报告”，通过与否取决于“在场……半数以上通过”，而票数基数与表决程序均未载明。[21] 判据因此落在同行的认可上，这与 2.1.2 所述“传递”的结构恰可对照：凡是无法给出实质判据的地方，判定都会自动退回到在场者的共识。</w:t>
      </w:r>
    </w:p>
    <w:p w14:paraId="42195CA7">
      <w:pPr>
        <w:ind w:firstLine="440" w:firstLineChars="200"/>
      </w:pPr>
      <w:r>
        <w:rPr>
          <w:rFonts w:hint="eastAsia"/>
        </w:rPr>
        <w:t>这一批评并非本研究首倡。帕克（Ian Parker）2001 年即以拉康的大学话语为框架，审查心理治疗培训的认证制度，指出认证把培训标准化为一组可审核的课程单元，其代价是把治疗的多样性压平；他由此认为，以学术机构为准的标准化无法容纳那些自称咨询、心理治疗或精神分析的实践。[90]本节与他的差别在两处。一是对象：他审查的是英国的心理治疗课程认证，本节看的是拉康派内部的培训内容、通过制度与教材编排。二是用法：他把大学话语当作批判框架，用来质疑认证的合法性；本节把它当作解释装置，用来说明为什么偏离不需要任何人的意图就能被生产出来。前一处差别是本研究的材料条件，后一处差别才是它可以被检验的地方。</w:t>
      </w:r>
    </w:p>
    <w:p w14:paraId="62044D2E">
      <w:pPr>
        <w:keepNext w:val="1"/>
        <w:keepLines w:val="1"/>
        <w:spacing w:before="100" w:beforeAutospacing="1" w:after="100" w:afterAutospacing="1"/>
        <w:outlineLvl w:val="2"/>
        <w:rPr>
          <w:sz w:val="32"/>
          <w:szCs w:val="32"/>
        </w:rPr>
      </w:pPr>
      <w:r>
        <w:rPr>
          <w:rFonts w:hint="eastAsia"/>
          <w:b w:val="1"/>
          <w:sz w:val="32"/>
        </w:rPr>
        <w:t>2.1.4　检验下来的结果</w:t>
      </w:r>
    </w:p>
    <w:p w14:paraId="5A11C7BC">
      <w:pPr>
        <w:ind w:firstLine="440" w:firstLineChars="200"/>
      </w:pPr>
      <w:r>
        <w:rPr>
          <w:rFonts w:hint="eastAsia"/>
        </w:rPr>
        <w:t>三处“装置”交代完毕，现在可以回答第一章留下的那个问题了，而答案需要把两支都摆出来。</w:t>
      </w:r>
    </w:p>
    <w:p w14:paraId="772851F5">
      <w:pPr>
        <w:ind w:firstLine="440" w:firstLineChars="200"/>
      </w:pPr>
      <w:r>
        <w:rPr>
          <w:rFonts w:hint="eastAsia"/>
        </w:rPr>
        <w:t>强的一支不成立。所谓强的一支，是“把‘分析的结束’等同于主体成功缝合进符号秩序”，它的证据要求是一句把“结束”直接定义为适应现存秩序的原文。本章在三个位置找过，三处都没有。</w:t>
      </w:r>
    </w:p>
    <w:p w14:paraId="60DD1BF6">
      <w:pPr>
        <w:ind w:firstLine="440" w:firstLineChars="200"/>
      </w:pPr>
      <w:r>
        <w:rPr>
          <w:rFonts w:hint="eastAsia"/>
        </w:rPr>
        <w:t>第一，拉康本人的文本里没有。相反，他把从被分析者到分析家的过渡称为一团暗云，把它指定为学派的工作对象；[11]7-8 而 1978 年他给出的提法也不指向适应，而是“人绕着圈子转了两遍，也就是说，重新找到了他所囚禁于其中的东西”。[31]</w:t>
      </w:r>
    </w:p>
    <w:p w14:paraId="1D86A53B">
      <w:pPr>
        <w:ind w:firstLine="440" w:firstLineChars="200"/>
      </w:pPr>
      <w:r>
        <w:rPr>
          <w:rFonts w:hint="eastAsia"/>
        </w:rPr>
        <w:t>第二，技术教材里没有。芬克对“结束”的表述落在基本幻象的重构上：被分析者对阉割、对被牺牲掉的那份享乐的态度发生改变，失落的对象最终被放弃，而这一放弃是“基本幻象的一次重构”；[9]70-71 在更晚的一处，他把分析的目标表述为“转化那个支撑其欲望的幻象”，使主体“不再依据大他者的要求或欲望、而是依据那个带来满足的部分对象来重构自身”。[9]209 这与“缝合进符号秩序”的方向正好相反。</w:t>
      </w:r>
    </w:p>
    <w:p w14:paraId="517D7B62">
      <w:pPr>
        <w:ind w:firstLine="440" w:firstLineChars="200"/>
      </w:pPr>
      <w:r>
        <w:rPr>
          <w:rFonts w:hint="eastAsia"/>
        </w:rPr>
        <w:t>第三，本土制度里也没有。成都中心对“结束”的规定是时长与双方同意，这是两个可核验的替代物，而不是一句关于“结束”应当是什么的界定。[21]</w:t>
      </w:r>
    </w:p>
    <w:p w14:paraId="55F34C38">
      <w:pPr>
        <w:ind w:firstLine="440" w:firstLineChars="200"/>
      </w:pPr>
      <w:r>
        <w:rPr>
          <w:rFonts w:hint="eastAsia"/>
        </w:rPr>
        <w:t>因此强的一支应当撤回。</w:t>
      </w:r>
    </w:p>
    <w:p w14:paraId="71BFF694">
      <w:pPr>
        <w:ind w:firstLine="440" w:firstLineChars="200"/>
      </w:pPr>
      <w:r>
        <w:rPr>
          <w:rFonts w:hint="eastAsia"/>
        </w:rPr>
        <w:t>坦白来说，撤回一个自己先提出来的强命题，在写作上是有代价的。强的那一支更有力，也更好讲：它能把后面的批判一次性抬到“理论被背叛”的高度。把它撤下来之后，剩下的只是一件可以计数的事——判据被替代了；但这一步不能不走。一个不能被材料兑现的强命题，会在第一个反问面前垮掉，而它垮掉的时候带走的不是它自己，是整条论证的可信度。</w:t>
      </w:r>
    </w:p>
    <w:p w14:paraId="6C637DBB">
      <w:pPr>
        <w:ind w:firstLine="440" w:firstLineChars="200"/>
      </w:pPr>
      <w:r>
        <w:rPr>
          <w:rFonts w:hint="eastAsia"/>
        </w:rPr>
        <w:t>但弱的一支成立，而且它的分量并不轻。弱的一支是：这一框架用可核验的替代物顶替了“结束”，而对“结束”本身不给出判据。</w:t>
      </w:r>
    </w:p>
    <w:p w14:paraId="3FDB536A">
      <w:pPr>
        <w:ind w:firstLine="440" w:firstLineChars="200"/>
      </w:pPr>
      <w:r>
        <w:rPr>
          <w:rFonts w:hint="eastAsia"/>
        </w:rPr>
        <w:t>这一判断有三重支撑，且三处互相独立。弗洛伊德给出的判据落在自我功能上，并附带一条禁止：不得把它读成“正常性”；[22]250 技术教材给出的“结束”内容落在幻象的重构上，但它不提供任何可判定的形态；[9]70-71 本土制度给出的两个要件，五年与双方同意，都是可记录、可计数、可表决的东西。[21] 三者的共同点恰在于都没有给出“结束”本身的判据，区别只在于用什么替代了它。</w:t>
      </w:r>
    </w:p>
    <w:p w14:paraId="5C1BD350">
      <w:pPr>
        <w:ind w:firstLine="440" w:firstLineChars="200"/>
      </w:pPr>
      <w:r>
        <w:rPr>
          <w:rFonts w:hint="eastAsia"/>
        </w:rPr>
        <w:t>这里需要停一下，说明“替代”凭什么构成批判，否则弱命题会被读成对制度化的泛泛不满。用可核验的标准发放资格，本身并不是问题：教师资格、律师执照都以可考核的项为准，没有人因此指责师范教育或法学院。那么问题出在哪里？</w:t>
      </w:r>
    </w:p>
    <w:p w14:paraId="32867AAE">
      <w:pPr>
        <w:ind w:firstLine="440" w:firstLineChars="200"/>
      </w:pPr>
      <w:r>
        <w:rPr>
          <w:rFonts w:hint="eastAsia"/>
        </w:rPr>
        <w:t>出在对象的错位。教师与律师的资格考核，考核的是可通用的技能——能不能备课、能不能起草文书。这些能力在原则上可以向任何一个受训者描述、传授、复核，判据与对象是对得上的。而“分析的结束”对应的是一件不可一般化的东西：主体与自身幻象的关系是否改变。这件事没有通用的形态，每一个主体的结束都是独一份的；把它塞进一套可通用、可复核的判据，错的不是“可核验”，是对象被换掉了——一个原则上不可通用化的东西，被要求交出通用化的凭证。</w:t>
      </w:r>
    </w:p>
    <w:p w14:paraId="6C1D3E26">
      <w:pPr>
        <w:ind w:firstLine="440" w:firstLineChars="200"/>
      </w:pPr>
      <w:r>
        <w:rPr>
          <w:rFonts w:hint="eastAsia"/>
        </w:rPr>
        <w:t>弗洛伊德 1937 年那篇文本恰好留下了这道痕迹。他给出的功能判据并不是裸的，它附带一条禁止：不得把分析的结果读成“正常性”。[22]250 这条禁令的意思是，判据可以被使用，但它不能冒充它所判定的东西。后世的制度性使用把禁令剥掉了，只留下可操作的那半句——于是替代不是发生在“要不要有标准”，而是发生在“标准被当成了它测量的东西”。弱命题的分量正在这里：它不指控任何人的动机，只指出一次偷换，替身坐了本人的位置。</w:t>
      </w:r>
    </w:p>
    <w:p w14:paraId="38E628F2">
      <w:pPr>
        <w:ind w:firstLine="440" w:firstLineChars="200"/>
      </w:pPr>
      <w:r>
        <w:rPr>
          <w:rFonts w:hint="eastAsia"/>
        </w:rPr>
        <w:t>把这一结论与第一章的两支命题对应起来：笔者裁定的是弱的那一支。这同时解释了第一章 1.2.3 所悬的那次滑动为什么不能完成——从“操作上不处理社会—政治维度”到“理论上把主体缝合进现存秩序”，缺口不在证据的分量上，单纯在于那句原文本身不存在。</w:t>
      </w:r>
    </w:p>
    <w:p w14:paraId="70BDB08A">
      <w:pPr>
        <w:ind w:firstLine="440" w:firstLineChars="200"/>
      </w:pPr>
      <w:r>
        <w:rPr>
          <w:rFonts w:hint="eastAsia"/>
        </w:rPr>
        <w:t>可检验的命题在检验之后收窄，这正是它作为命题的意义；收窄之后的判断仍然成立，而且比原来的强判断更难反驳：不需要假设任何人有把它缝合进秩序的意图，只需要指出“结束”的判据被替代了这一事实。第三章要在这一收窄之后的基础上，重新估价通过制度的当代意义。</w:t>
      </w:r>
    </w:p>
    <w:p w14:paraId="382A9C2A">
      <w:pPr>
        <w:keepNext w:val="1"/>
        <w:keepLines w:val="1"/>
        <w:spacing w:before="100" w:beforeAutospacing="1" w:after="100" w:afterAutospacing="1"/>
        <w:outlineLvl w:val="1"/>
        <w:rPr>
          <w:sz w:val="32"/>
          <w:szCs w:val="32"/>
        </w:rPr>
      </w:pPr>
      <w:bookmarkStart w:id="7" w:name="_Toc243148893"/>
      <w:r>
        <w:rPr>
          <w:rFonts w:hint="eastAsia"/>
          <w:b w:val="1"/>
          <w:sz w:val="32"/>
        </w:rPr>
        <w:t>2.2　从业者的异化困境与实践局限</w:t>
      </w:r>
      <w:bookmarkEnd w:id="7"/>
    </w:p>
    <w:p w14:paraId="55B5BED0">
      <w:pPr>
        <w:ind w:firstLine="440" w:firstLineChars="200"/>
      </w:pPr>
      <w:r>
        <w:rPr>
          <w:rFonts w:hint="eastAsia"/>
        </w:rPr>
        <w:t>2.1 看的是三处装置怎么运转，这里要看的是装置在人身上留下了什么。异化在这三节里指的是一件很具体的事：被制度收走的不只是求助者的处境，还有分析家自己的一种能力：把症状放回生产它的那个秩序里去追问。这样收走不需要谁表态，也不需要谁动手，它是安排本身的结果。</w:t>
      </w:r>
    </w:p>
    <w:p w14:paraId="38661D4F">
      <w:pPr>
        <w:keepNext w:val="1"/>
        <w:keepLines w:val="1"/>
        <w:spacing w:before="100" w:beforeAutospacing="1" w:after="100" w:afterAutospacing="1"/>
        <w:outlineLvl w:val="2"/>
        <w:rPr>
          <w:sz w:val="32"/>
          <w:szCs w:val="32"/>
        </w:rPr>
      </w:pPr>
      <w:r>
        <w:rPr>
          <w:rFonts w:hint="eastAsia"/>
          <w:b w:val="1"/>
          <w:sz w:val="32"/>
        </w:rPr>
        <w:t>2.2.1　预设性保守的制度安装</w:t>
      </w:r>
    </w:p>
    <w:p w14:paraId="407F412E">
      <w:pPr>
        <w:ind w:firstLine="440" w:firstLineChars="200"/>
      </w:pPr>
      <w:r>
        <w:rPr>
          <w:rFonts w:hint="eastAsia"/>
        </w:rPr>
        <w:t>第一章 1.2.2 已经辨明两件事：芬克的教材反对正常化，却没有把社会结构列为操作对象；这是结构性后果，不是他的主观意图，本节补的是这个结构从哪里来。</w:t>
      </w:r>
    </w:p>
    <w:p w14:paraId="6CF4679C">
      <w:pPr>
        <w:ind w:firstLine="440" w:firstLineChars="200"/>
      </w:pPr>
      <w:r>
        <w:rPr>
          <w:rFonts w:hint="eastAsia"/>
        </w:rPr>
        <w:t>一份要能通过认证、能进入执业、能被督导的技术文本，天然会优先处理可操作之物。第一章所引芬克第九章那句判断可以再读一次：当临床工作者使用“高功能”与“低功能”这类术语时，“关于个人和社会之间的关系的，所有伦理和政治的观点，似乎都被置之度外了”。[10]225 这不只是他个人的取向，更是一种可被制度持续要求的姿态，因为规程无法考核一个分析家是否追问了症状的社会成因，却可以考核他是否守住了设置。考得了的写进入表格，考不了被置于一旁——制度认的从来是赤裸裸的分数，而非所谓的心思。</w:t>
      </w:r>
    </w:p>
    <w:p w14:paraId="7737CD12">
      <w:pPr>
        <w:ind w:firstLine="440" w:firstLineChars="200"/>
      </w:pPr>
      <w:r>
        <w:rPr>
          <w:rFonts w:hint="eastAsia"/>
        </w:rPr>
        <w:t>这种偏好谈不上谁不认真，它是福柯所说的检查的逻辑。检查在他那里是一套“能够提取和建构知识的权力关系”，它“不仅发生在意识、观念的层面上和人们自以为了解的事物中，而且发生在能够造就知识，使知识变为政治干预的事物的层面上”[84]209。检查的产物是个案：“由各种文牍技术所包围的检查把每一个人变成一个‘个案’”，而这个个案“就是那个可描述、判断、度量及与他人比较的具有个性的人”[84]215。“能打钩的那一栏”因此不只是一个表格栏位，它是一整套记录、分类与矫正装置的入口。进不了这一栏的东西没有被否定，它只是从未被记录；而在这套装置里，未被记录等于不存在。</w:t>
      </w:r>
    </w:p>
    <w:p w14:paraId="32C3200E">
      <w:pPr>
        <w:ind w:firstLine="440" w:firstLineChars="200"/>
      </w:pPr>
      <w:r>
        <w:rPr>
          <w:rFonts w:hint="eastAsia"/>
        </w:rPr>
        <w:t>这一姿态在学科史里有它的来路。同一部教科书收有瓦勒斯坦（Robert S. Wallerstein）写的一章，专讲精神分析与心理动力治疗的关系演变。他把起点定在弗洛伊德那里：精神分析在当时是作为一件“纯化产物”（a purified product）从流行的各类暗示性疗法中析出来的[58]367。接下来的一步被学界称为“拓宽范围”（the widening scope），分析的对象从适合分析的人扩展到儿童、老人与更宽的心理状态[58]368。把这两步连起来看，可以说清一件事：这门治疗在确立自身时，先把方法收窄到一组可保证的条件上；随后再逐步放宽适用范围。两次动作都发生在方法内部，都不涉及求助者所处的社会结构。制度要求分析家守住设置，正是那一次收紧在操作层面的延续。</w:t>
      </w:r>
    </w:p>
    <w:p w14:paraId="02B17DF3">
      <w:pPr>
        <w:ind w:firstLine="440" w:firstLineChars="200"/>
      </w:pPr>
      <w:r>
        <w:rPr>
          <w:rFonts w:hint="eastAsia"/>
        </w:rPr>
        <w:t>于是“不冲击现有认知”成为隐性原则。它不写在任何规程里，但它以同样方式在每一份督导记录、每一次结业评审中起作用。本土制度文本给了这一原则一个可查的形态：晋级所核验的是个人分析的年限与对象范围、个案督导的年限与频率（“一周一次”）、以及在场成员的票决结果，症状的社会成因不在任何一条核验项之内。[21] 核验什么、不核验什么，本身就是一次不可见的伦理决定。</w:t>
      </w:r>
    </w:p>
    <w:p w14:paraId="6E3983FA">
      <w:pPr>
        <w:ind w:firstLine="440" w:firstLineChars="200"/>
      </w:pPr>
      <w:r>
        <w:rPr>
          <w:rFonts w:hint="eastAsia"/>
        </w:rPr>
        <w:t>这一决定能一直不可见，布尔迪厄有一个现成的说法：象征性暴力。制度把自己建构出来的分类当作中性的技术标准来使用，而参与者对这一建构的误认，正是它顺利运行的条件[85]52。只要所有人都把这道程序看成专业的分内之事，它就不会被当成问题提出来。</w:t>
      </w:r>
    </w:p>
    <w:p w14:paraId="2F891093">
      <w:pPr>
        <w:ind w:firstLine="440" w:firstLineChars="200"/>
      </w:pPr>
      <w:r>
        <w:rPr>
          <w:rFonts w:hint="eastAsia"/>
        </w:rPr>
        <w:t>这里还有一处文本依据要补上，它把“妥协”这个词从后世的合理化措辞还原为拉康本人的用词。</w:t>
      </w:r>
    </w:p>
    <w:p w14:paraId="384DA075">
      <w:pPr>
        <w:ind w:firstLine="440" w:firstLineChars="200"/>
      </w:pPr>
      <w:r>
        <w:rPr>
          <w:rFonts w:hint="eastAsia"/>
        </w:rPr>
        <w:t>《奠基行为》（1964）为 EFP 规定的任务之一是：通过持续的批判，去“谴责那些钝化其进步、贬低其用途的偏离与妥协”（denounces the deviations and compromises that blunt its progress while degrading its use）。[32]198 二十多年后，一位研究拉康派训练的学者用同一个词来描述当下的处境：心理治疗的专业化正在带来“新的形式主义”，而这些形式主义“完全可以被谴责为钝化分析进步的妥协”。[32]200</w:t>
      </w:r>
    </w:p>
    <w:p w14:paraId="1511862B">
      <w:pPr>
        <w:ind w:firstLine="440" w:firstLineChars="200"/>
      </w:pPr>
      <w:r>
        <w:rPr>
          <w:rFonts w:hint="eastAsia"/>
        </w:rPr>
        <w:t>这一处引证对本课题有一层直接的意义。前面的内容把“妥协论”指认为一种认知闭合，它把临床中的保守操作解释为执业风险下的必然产物，从而使保守性被合理化。现在可以补上的是：在拉康那里，“妥协”是一个被点名谴责的对象，谈不上是中性的必然。 妥协论的错误因此不在于使用了“妥协”这个概念，而在于把拉康要求谴责的东西，翻译成了一种无需追问的常态。很显然一个被他持续责骂的词完成了自己的洗白。</w:t>
      </w:r>
    </w:p>
    <w:p w14:paraId="5C54D50B">
      <w:pPr>
        <w:keepNext w:val="1"/>
        <w:keepLines w:val="1"/>
        <w:spacing w:before="100" w:beforeAutospacing="1" w:after="100" w:afterAutospacing="1"/>
        <w:outlineLvl w:val="2"/>
        <w:rPr>
          <w:sz w:val="32"/>
          <w:szCs w:val="32"/>
        </w:rPr>
      </w:pPr>
      <w:r>
        <w:rPr>
          <w:rFonts w:hint="eastAsia"/>
          <w:b w:val="1"/>
          <w:sz w:val="32"/>
        </w:rPr>
        <w:t>2.2.2　认知缺失</w:t>
      </w:r>
    </w:p>
    <w:p w14:paraId="3D7DF464">
      <w:pPr>
        <w:ind w:firstLine="440" w:firstLineChars="200"/>
      </w:pPr>
      <w:r>
        <w:rPr>
          <w:rFonts w:hint="eastAsia"/>
        </w:rPr>
        <w:t>芬克关于政治无共识的判断（对“什么对人类有利”这类问题，政治理论家、经济学者与哲学家之间“并不存在一致意见”，[10]234）在一名教材作者那里是一种立场；放到训练体制里，它就是一个空位。</w:t>
      </w:r>
    </w:p>
    <w:p w14:paraId="241581A9">
      <w:pPr>
        <w:ind w:firstLine="440" w:firstLineChars="200"/>
      </w:pPr>
      <w:r>
        <w:rPr>
          <w:rFonts w:hint="eastAsia"/>
        </w:rPr>
        <w:t>这一空缺在训练内容上有一份可以直接查证的形态。中心官网所列的常规活动是三块：周末精神分析理论讨论班、周末临床个案讨论班、外国精神分析学家专题讲座。[48] 已结束的讨论班另有一份逐条的清单，其中占篇幅最大的是弗洛伊德原著选读：从 1994 年到 2001 年，逐部读过《释梦》《论自恋》《本能及其命运》《压抑》《论无意识》《日常生活的心理病理学》《癔症研究》《少女杜拉的故事》与《精神分析引论》；此外有拉康理论入门（以《语言与精神分析》为文献）、精神分析的技术（以《精神分析的实践原理》为文献），以及弗洛伊德原著个案讨论班。[48]</w:t>
      </w:r>
    </w:p>
    <w:p w14:paraId="681C085C">
      <w:pPr>
        <w:ind w:firstLine="440" w:firstLineChars="200"/>
      </w:pPr>
      <w:r>
        <w:rPr>
          <w:rFonts w:hint="eastAsia"/>
        </w:rPr>
        <w:t>这份清单值得逐条读，它是一份完整的培训内容记录：包含精神分析的理论、技术与个案，但不包含任何关于社会结构、意识形态或政治经济学的文本。讨论班的实际形式把这一点说得更清楚：按官网所记的最近若干次活动，讨论班的内容是对法国《精神分析辞典》词条的逐字翻译，公告上写明条目与译者，例如“Phobie（书目：Dictionnaire de la Psychanalyse，作者 R. Chemama），翻译：谭羽辰”，以及“noeud（同书）”。[49] 培训的直接形式，因此是术语的翻译与记诵。</w:t>
      </w:r>
    </w:p>
    <w:p w14:paraId="167994B4">
      <w:pPr>
        <w:ind w:firstLine="440" w:firstLineChars="200"/>
      </w:pPr>
      <w:r>
        <w:rPr>
          <w:rFonts w:hint="eastAsia"/>
        </w:rPr>
        <w:t>这个空位谈不上被谁否决，它是被“什么算知识”的定义方式排除掉的。阿普尔在《意识形态与课程》里把教育机构称为“各类知识与应当传授知识之间冲突的发源地”，是“谁的知识是‘法定的’和谁有传授知识的法定权”冲突的发生地[86]中文版序。他那个比照斯宾塞提出的问题可以原样搬到这里：不问“什么知识最有价值”，改问“谁的知识最有价值”。以此衡量，成都中心的安排并不特殊：弗洛伊德原著是取得合法身份的知识单元，《精神分析辞典》的词条也是；意识形态批判的问题不在合法性不够，它在这套单位制里找不到自己的位置。阿普尔还提醒过一层：学校不只在教显性内容，它还通过组织方式教一套“理所当然”的东西，他把这一层称为潜在课程[86]95。中心培训的显性课程是清单上那些书与词条；它的潜在课程，是关于什么算一个问题、什么不算。</w:t>
      </w:r>
    </w:p>
    <w:p w14:paraId="514A8AB7">
      <w:pPr>
        <w:ind w:firstLine="440" w:firstLineChars="200"/>
      </w:pPr>
      <w:r>
        <w:rPr>
          <w:rFonts w:hint="eastAsia"/>
        </w:rPr>
        <w:t>柯林斯给这套单位制补上了另一半解释。他在《文凭社会》里推翻了那个流行的说法，即教育内容跟着技术需求走：细究下去，“技术管治模型几乎浑身都是漏洞。它的支柱是教育管治主义，但这更像是官僚系统中的大话，而并不是在生产真正的技能”[87]12。真正规定课程怎么组织的，是凭证的逻辑：能考核的进课程，不能考核的进不了。这条逻辑对培训机构同样有效：一家面向执业资格的机构，它的课程表得产出“可被证明学过”的东西，而“问题”不产出这种证明。</w:t>
      </w:r>
    </w:p>
    <w:p w14:paraId="33B879B4">
      <w:pPr>
        <w:ind w:firstLine="440" w:firstLineChars="200"/>
      </w:pPr>
      <w:r>
        <w:rPr>
          <w:rFonts w:hint="eastAsia"/>
        </w:rPr>
        <w:t>这一形态与第一章 1.3.2 所论的“概念工具化”正好衔接：概念被固定为标准译法，而这一固定过程本身就是可被考核的知识形成的过程。至于意识形态批判为什么不在其中，原因不在于它被否决，而在于整份安排的组织单位是文本与术语，而不是问题。清单上每一项都是一本书、一个词条，就是没有一样东西叫做“问题”。</w:t>
      </w:r>
    </w:p>
    <w:p w14:paraId="4721C575">
      <w:pPr>
        <w:ind w:firstLine="440" w:firstLineChars="200"/>
      </w:pPr>
      <w:r>
        <w:rPr>
          <w:rFonts w:hint="eastAsia"/>
        </w:rPr>
        <w:t>语汇的缺失一旦出现，以资本异化为内容的症状就必然被翻译成个体材料。第一章 1.2.2 所举的“消费主义成瘾”在此得到解释：问题不在分析家关不关心，在于翻译的方向被对应的训练给预先决定了。</w:t>
      </w:r>
    </w:p>
    <w:p w14:paraId="75A0F5E3">
      <w:pPr>
        <w:keepNext w:val="1"/>
        <w:keepLines w:val="1"/>
        <w:spacing w:before="100" w:beforeAutospacing="1" w:after="100" w:afterAutospacing="1"/>
        <w:outlineLvl w:val="2"/>
        <w:rPr>
          <w:sz w:val="32"/>
          <w:szCs w:val="32"/>
        </w:rPr>
      </w:pPr>
      <w:r>
        <w:rPr>
          <w:rFonts w:hint="eastAsia"/>
          <w:b w:val="1"/>
          <w:sz w:val="32"/>
        </w:rPr>
        <w:t>2.2.3　执业风险与伦理责任的错置</w:t>
      </w:r>
    </w:p>
    <w:p w14:paraId="3B06043E">
      <w:pPr>
        <w:ind w:firstLine="440" w:firstLineChars="200"/>
      </w:pPr>
      <w:r>
        <w:rPr>
          <w:rFonts w:hint="eastAsia"/>
        </w:rPr>
        <w:t>所谓的“保守”，其合理性必得先被承认（第一章 1.2.2 已作此让步），问题出在它此后的用法。合理性论证在制度运作中会被转换为一种免责装置：风险被管理起来，伦理被搁置下来，而两者在文本上共用同一批措辞，边界、设置、适应功能。</w:t>
      </w:r>
    </w:p>
    <w:p w14:paraId="70DDA53F">
      <w:pPr>
        <w:ind w:firstLine="440" w:firstLineChars="200"/>
      </w:pPr>
      <w:r>
        <w:rPr>
          <w:rFonts w:hint="eastAsia"/>
        </w:rPr>
        <w:t>这层替换不需要谁下决心，它有现成的路径。规程要的是能写进记录的东西：边界守没守、设置稳不稳、督导做了几小时，这几样写得下、查得到、认得出；“有没有真的向欲望让步”这件事，没有记录形态，也就没有考核形态。于是发生了一次无人主持的替换：可考核的合规物，替下了不可考核的追问。</w:t>
      </w:r>
    </w:p>
    <w:p w14:paraId="02196338">
      <w:pPr>
        <w:ind w:firstLine="440" w:firstLineChars="200"/>
      </w:pPr>
      <w:r>
        <w:rPr>
          <w:rFonts w:hint="eastAsia"/>
        </w:rPr>
        <w:t>同一部研究对这一动机另有一处不留情面的描述：当代分析家力图加入心理治疗行业的隐含目的，“也许与其说与提升身份有关，不如说与赚钱有关”（has perhaps less to do with raising identity and more with raising dough）。[32]186 这句话出自一部以临床技术为题的著作，语气是嘲讽的，但它点出的机制是严肃的：当执业资格与经济生存绑在一起，保守化就不再只是一个认识论上的选择，而同时是一笔划算的买卖。当饭碗和立场绑在一根绳上，立场似乎总得给饭碗让半个身子。</w:t>
      </w:r>
    </w:p>
    <w:p w14:paraId="22FFFC3D">
      <w:pPr>
        <w:ind w:firstLine="440" w:firstLineChars="200"/>
      </w:pPr>
      <w:r>
        <w:rPr>
          <w:rFonts w:hint="eastAsia"/>
        </w:rPr>
        <w:t>要避免一个反向错误，不能把执业风险的考量说成借口。真正的问题是：当风险考量被写进规程，而伦理追问没有被并列写进去时，规程就在事实上替分析家作了一次伦理决定，而且是不可见的决定。被换掉的与其说是良心，不如说是那个必须由本人承受的追问位置。规程违反了伦理吗？没有。它只是替分析家把伦理问题预先回答掉了。</w:t>
      </w:r>
    </w:p>
    <w:p w14:paraId="517C8009">
      <w:pPr>
        <w:keepNext w:val="1"/>
        <w:keepLines w:val="1"/>
        <w:spacing w:before="100" w:beforeAutospacing="1" w:after="100" w:afterAutospacing="1"/>
        <w:outlineLvl w:val="1"/>
        <w:rPr>
          <w:sz w:val="32"/>
          <w:szCs w:val="32"/>
        </w:rPr>
      </w:pPr>
      <w:bookmarkStart w:id="8" w:name="_Toc243148894"/>
      <w:r>
        <w:rPr>
          <w:rFonts w:hint="eastAsia"/>
          <w:b w:val="1"/>
          <w:sz w:val="32"/>
        </w:rPr>
        <w:t>2.3　价值的消解与效能的自我阻碍</w:t>
      </w:r>
      <w:bookmarkEnd w:id="8"/>
    </w:p>
    <w:p w14:paraId="3048BBE0">
      <w:pPr>
        <w:keepNext w:val="1"/>
        <w:keepLines w:val="1"/>
        <w:spacing w:before="100" w:beforeAutospacing="1" w:after="100" w:afterAutospacing="1"/>
        <w:outlineLvl w:val="2"/>
        <w:rPr>
          <w:sz w:val="32"/>
          <w:szCs w:val="32"/>
        </w:rPr>
      </w:pPr>
      <w:r>
        <w:rPr>
          <w:rFonts w:hint="eastAsia"/>
          <w:b w:val="1"/>
          <w:sz w:val="32"/>
        </w:rPr>
        <w:t>2.3.1　反异化功能的丧失</w:t>
      </w:r>
    </w:p>
    <w:p w14:paraId="715C5BB6">
      <w:pPr>
        <w:ind w:firstLine="440" w:firstLineChars="200"/>
      </w:pPr>
      <w:r>
        <w:rPr>
          <w:rFonts w:hint="eastAsia"/>
        </w:rPr>
        <w:t>从“不要在欲望的问题上让步”到“适应功能”，中间不需要一次背叛，只需要一系列连续的小步替换。第一章所说的工具化（1.3.2）在临床端表现为一道门槛：求助者的痛苦要先成为可归类的材料，才被允许进入分析。</w:t>
      </w:r>
    </w:p>
    <w:p w14:paraId="7F373F10">
      <w:pPr>
        <w:ind w:firstLine="440" w:firstLineChars="200"/>
      </w:pPr>
      <w:r>
        <w:rPr>
          <w:rFonts w:hint="eastAsia"/>
        </w:rPr>
        <w:t>有一件事得先说清楚：在今天，“异化”这个词本身已经不太好用。马尔库塞在《单向度的人》里有一个判断：当人们“似乎活在他们的商品之中”，当“把个人束缚于社会的机制已经改变，而社会控制就是在它所产生的新的需要中得以稳定的”，“异化概念本身就成了问题”[78]9。异化没有消失，它普及到了不容易辨认的程度。同一本书还描述了批判内容的另一种命运：社会的吸收能力“通过同化其对抗性内容而消去艺术的向度”[78]53；异化作品“被纳入了这个社会”[78]55，“被剥夺了曾是其真理向度的对抗性力量和疏离性特征”[78]56。被吸收的东西，内容还在，对抗性没了。这个形态对本章的题目很要紧：精神分析的批判语汇不必被禁止，它只需要被吸收，就会自己安静下来。</w:t>
      </w:r>
    </w:p>
    <w:p w14:paraId="057B4306">
      <w:pPr>
        <w:ind w:firstLine="440" w:firstLineChars="200"/>
      </w:pPr>
      <w:r>
        <w:rPr>
          <w:rFonts w:hint="eastAsia"/>
        </w:rPr>
        <w:t>这一替换在中国语境中有一处直接的文本。中心创办人霍大同在访谈中对精神分析的核心界定是：人本身有缺失，缺失带来欲望，“人们所有的痛苦和症状都是由自身欲望和社会文化的冲突导致的”；因此精神分析要做的是“让人重新审视自己的欲望和文化规则之间的关系，找到一个平衡点，重新作出选择”，并且“不是像心理医生一样告诉病人你该怎样做，给病人一套新的规则，而是帮助分析者找到欲望和社会的矛盾点，从而自发地做出新选择”。[24]（此为访谈记录，系记者转述，引用时按转载处理。）</w:t>
      </w:r>
    </w:p>
    <w:p w14:paraId="64C6FA8B">
      <w:pPr>
        <w:ind w:firstLine="440" w:firstLineChars="200"/>
      </w:pPr>
      <w:r>
        <w:rPr>
          <w:rFonts w:hint="eastAsia"/>
        </w:rPr>
        <w:t>这段话里，“社会文化”是在场的，而且被放在了冲突的一端，这一点不应被抹掉。但接下来的处理方式需要逐字看：目标被表述为“找到一个平衡点”。也就是说，社会文化这一端被设定为给定项——它是冲突的来源，却不是可以被处理的一端；要调整的是主体与其欲望的关系。反异化的功能正是在这里被替换掉的：结构性的冲突被转写为个人的调适问题。这算不上任何人的疏忽，它是一个尚未取得社会理论语汇的临床传统所能给出的最诚实的回答。第三章 3.5.2 所立的方向与这句话构成的差别，不在于谁更关心社会，而在于“平衡点”这个词是否还需要被保留。很显然是，“平衡点”这个词一旦说出口，那个不能被摆平的硬核就已经被悄悄摆平了。</w:t>
      </w:r>
    </w:p>
    <w:p w14:paraId="40869DA2">
      <w:pPr>
        <w:keepNext w:val="1"/>
        <w:keepLines w:val="1"/>
        <w:spacing w:before="100" w:beforeAutospacing="1" w:after="100" w:afterAutospacing="1"/>
        <w:outlineLvl w:val="2"/>
        <w:rPr>
          <w:sz w:val="32"/>
          <w:szCs w:val="32"/>
        </w:rPr>
      </w:pPr>
      <w:r>
        <w:rPr>
          <w:rFonts w:hint="eastAsia"/>
          <w:b w:val="1"/>
          <w:sz w:val="32"/>
        </w:rPr>
        <w:t>2.3.2　效果的自限</w:t>
      </w:r>
    </w:p>
    <w:p w14:paraId="075A225A">
      <w:pPr>
        <w:ind w:firstLine="440" w:firstLineChars="200"/>
      </w:pPr>
      <w:r>
        <w:rPr>
          <w:rFonts w:hint="eastAsia"/>
        </w:rPr>
        <w:t>2.1.4 检验的是命题；这里看的是效果。既有框架在实际运行中走起来，它的限度就显出来了：不在技术上，在它给“社会”安排的位置上。</w:t>
      </w:r>
    </w:p>
    <w:p w14:paraId="27E489A6">
      <w:pPr>
        <w:ind w:firstLine="440" w:firstLineChars="200"/>
      </w:pPr>
      <w:r>
        <w:rPr>
          <w:rFonts w:hint="eastAsia"/>
        </w:rPr>
        <w:t>先看三份临床文献怎么处理这一维。卡巴尼斯（Cabaniss）等人在《心理动力心理治疗：临床手册》的评估清单里专设一项，叫“资源与社会矩阵”（Resources and social matrix）：治疗师要评估的“不只是求助者的问题与内在资源，还有他的外部资源与社会处境”[57]22。社会在这里是被清点、被动员的对象；用不上的，还会影响候选资格。巴特曼（Bateman）等人在《心理治疗导论》里谈发展阶段，把“工作不稳定与失业”列入会延迟亲密关系建立的因素[60]55；在同一本书的系统论部分，社会条件被摆得更明确，但摆法是问它是否“加剧了家庭关系的恶化、从而加剧了他的情绪困扰”[60]67-68。雷德蒙（Redmond）在《寻常精神病与身体》开篇批评 DSM 的分类学：它以妄想、幻觉这类明显现象为轴心，把精神病收窄成一张症状清单，身体现象在其中几乎不被提及[61]1。</w:t>
      </w:r>
    </w:p>
    <w:p w14:paraId="05816C91">
      <w:pPr>
        <w:ind w:firstLine="440" w:firstLineChars="200"/>
      </w:pPr>
      <w:r>
        <w:rPr>
          <w:rFonts w:hint="eastAsia"/>
        </w:rPr>
        <w:t>三处合起来，形态就清楚了：社会并没有缺席，它是被处理成了“环境”。环境有环境的语法：它可以是资源，可以是背景，可以是加剧某个问题的因素；它可被评估、被支持、被动员、也被适应。结构没有这些语法：结构不是清单上的一格，也不是关系网里的一层，它只能被分析。一套把社会译成环境的框架，会在议程里保留前者、删掉后者。这谈不上立场问题，这是词汇表的问题：当一个框架只备好了“资源”“背景”“压力”这几个词，就没有哪个位置放得下“生产条件”。</w:t>
      </w:r>
    </w:p>
    <w:p w14:paraId="512EA02F">
      <w:pPr>
        <w:ind w:firstLine="440" w:firstLineChars="200"/>
      </w:pPr>
      <w:r>
        <w:rPr>
          <w:rFonts w:hint="eastAsia"/>
        </w:rPr>
        <w:t>回到消费主义成瘾的例子，这一点就落在实处。症状的个体史、它在移情中的位置、它在幻想结构里的功能，这三样既有框架都能做，而且做得专业。做不到的是第四样：这个症状在生产它的秩序里占什么位置。2.3.1 说的“平衡点”在这里有了临床上的对应物：如果社会只是环境，分析的目标自动落在“主体如何与环境相处得更好”上；“这个环境本身是怎么被生产出来的”从来不在议程里。效能的自限因此不在于技术不足（技术在它认领的那三样上确实做到了），而在于框架不承认第四样是它的对象，于是它既不必处理，也无法报告自己略过了什么。</w:t>
      </w:r>
    </w:p>
    <w:p w14:paraId="04C41D0B">
      <w:pPr>
        <w:keepNext w:val="1"/>
        <w:keepLines w:val="1"/>
        <w:spacing w:before="100" w:beforeAutospacing="1" w:after="100" w:afterAutospacing="1"/>
        <w:outlineLvl w:val="2"/>
        <w:rPr>
          <w:sz w:val="32"/>
          <w:szCs w:val="32"/>
        </w:rPr>
      </w:pPr>
      <w:r>
        <w:rPr>
          <w:rFonts w:hint="eastAsia"/>
          <w:b w:val="1"/>
          <w:sz w:val="32"/>
        </w:rPr>
        <w:t>2.3.3　再生产：偏离为什么不必依赖恶意</w:t>
      </w:r>
    </w:p>
    <w:p w14:paraId="729AED09">
      <w:pPr>
        <w:ind w:firstLine="440" w:firstLineChars="200"/>
      </w:pPr>
      <w:r>
        <w:rPr>
          <w:rFonts w:hint="eastAsia"/>
        </w:rPr>
        <w:t>前面几节收在一起：训练提供语汇，认证提供标准，大学话语提供位置。三者互相印证，任何一个环节的参与者都可以是善意的，而偏离照样被生产出来。这就是本章对第一章那笔账的答复：制度共谋成立，但“共谋”一词指的是一种无主体的相互支撑，不是任何人的密谋。“无主体的相互支撑”听上去绕，布尔迪厄把它说得更直：在《国家精英》的序言里，他描述教学机构里的分类工作，每个人各按各的位置判断、分类、筛选，而“他们行动着，就像无数台认知机器，彼此之间既相互独立，但在客观上又配合默契”[85]序言2。配合默契，但没有人开会，这就是“无主体”的意思：不需要一个统一的意志在背后，每个人手里那点判断合起来，就是一台机器。举个例子，（冬天北风呼啸气温低迷时）屋内三个人各自把门关好，屋子照样会闷，虽然没有人故意要闷死谁。</w:t>
      </w:r>
    </w:p>
    <w:p w14:paraId="3C845B65">
      <w:pPr>
        <w:ind w:firstLine="440" w:firstLineChars="200"/>
      </w:pPr>
      <w:r>
        <w:rPr>
          <w:rFonts w:hint="eastAsia"/>
        </w:rPr>
        <w:t>“如何被再生产”这一问，到这里答完了。</w:t>
      </w:r>
    </w:p>
    <w:p w14:paraId="3CB30589">
      <w:pPr>
        <w:ind w:firstLine="440" w:firstLineChars="200"/>
      </w:pPr>
      <w:r>
        <w:rPr>
          <w:rFonts w:hint="eastAsia"/>
        </w:rPr>
        <w:t>接下来的问题是反异化的资源从哪里来：齐泽克对拉康的政治化拓展、剩余快感与剩余价值的同构、资本主义话语对这一话语循环的中断。这三样，第三章接着做。第一章已经完成的区分（拉康原初的伦理思想与齐泽克的政治化拓展不是一回事）不再重复；大学话语在本章用于解释制度场域，也不代表拉康被读成了资本主义批判家。</w:t>
      </w:r>
    </w:p>
    <w:p w14:paraId="3AE83C6D">
      <w:pPr>
        <w:pStyle w:val="000006"/>
        <w:spacing w:before="100" w:beforeAutospacing="0" w:after="100" w:afterAutospacing="0"/>
        <w:rPr>
          <w:rFonts w:cs="宋体"/>
          <w:sz w:val="44"/>
          <w:szCs w:val="44"/>
        </w:rPr>
      </w:pPr>
      <w:bookmarkStart w:id="9" w:name="_Toc243148895"/>
      <w:r>
        <w:rPr>
          <w:rFonts w:hint="eastAsia" w:cs="宋体"/>
          <w:color w:val="333333"/>
          <w:sz w:val="44"/>
          <w:szCs w:val="44"/>
        </w:rPr>
        <w:t>第三章　政治化的接续与反异化的方向</w:t>
      </w:r>
      <w:bookmarkEnd w:id="9"/>
    </w:p>
    <w:p w14:paraId="7A62EB6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本章的话题是：反异化的资源在何处，以及它为何不至于落空。</w:t>
      </w:r>
    </w:p>
    <w:p w14:paraId="3FEDA509">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前两章做的事情是“破”。第一章在文本上立起了拉康伦理的激进内核，指出后世临床在操作上对社会—政治维度未予承接，并把这一未承接拆为两重机制与一个概念史例证；第二章接着往下求索，把未承接落实为三处制度装置，即培训体制、通过制度与大学话语，并给出了“无主体共谋”的诊断。第二章末尾对两项议题进行了叙述：一是“分析的结束”是否在这条路线中被等同于主体成功缝合进符号秩序，这一问题有待制度材料判定；二是反异化的资源从何而来，此问题留给本章。</w:t>
      </w:r>
    </w:p>
    <w:p w14:paraId="1AE1233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前者在第二章已部分明晰：通过制度的原初设计并不以“被安置得好”为判据，其判据是“能就关键问题作证”，后一笔账则是本章的事。</w:t>
      </w:r>
    </w:p>
    <w:p w14:paraId="4A10996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问题有两个：反异化的资源在哪里？它为什么不会掉进割裂论——只承认理论的政治潜能，却不解释这一潜能如何可能进入临床？打破完了，总得有人拿出能用的器具；这一章就是去工具箱里面翻找。</w:t>
      </w:r>
    </w:p>
    <w:p w14:paraId="79D99C2B">
      <w:pPr>
        <w:pStyle w:val="000007"/>
        <w:spacing w:before="100" w:beforeAutospacing="0" w:after="100" w:afterAutospacing="0"/>
        <w:rPr>
          <w:rFonts w:cs="宋体"/>
          <w:sz w:val="32"/>
          <w:szCs w:val="32"/>
        </w:rPr>
      </w:pPr>
      <w:bookmarkStart w:id="10" w:name="_Toc243148896"/>
      <w:r>
        <w:rPr>
          <w:rFonts w:hint="eastAsia" w:cs="宋体"/>
          <w:color w:val="333333"/>
          <w:sz w:val="32"/>
          <w:szCs w:val="32"/>
        </w:rPr>
        <w:t>3.0　反异化：这个词在什么意义上还能用</w:t>
      </w:r>
      <w:bookmarkEnd w:id="10"/>
    </w:p>
    <w:p w14:paraId="2C490DB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首先需要把“反异化”这个词语界定清楚，它决定了本章的分寸。</w:t>
      </w:r>
    </w:p>
    <w:p w14:paraId="099FF522">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拉康所说的异化是构成性的，不是可以超越的事故。研讨班第十一卷第十六课（1964 年 5 月 27 日）把它界定为一个 vel，即拉丁语的“或”：主体在这一选择中无论怎么选都要丢东西。拉康用的例子是“钱袋还是性命”——如果我选择钱袋，我就两者都失去；如果我选择性命，我就拥有没有钱袋的性命，也就是说，一种“受损的生命”。紧接着的一句才是关键：“这个异化的‘或’绝不是一种任意的发明……它就在语言之中。这个‘或’是存在的。”[33]（第十六课；研讨班第十一卷引文均以英译本课次标注，页码从略，下同）这不是一道可以两个都要的选择题，它是一道怎么答都得撕掉一角的题。</w:t>
      </w:r>
    </w:p>
    <w:p w14:paraId="588BD00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这一界定在另一组表述中得到了几乎是同义的印证。拉康的剩余快感（plus-de-jouir）在字面上就写着同一件事：这个词中的 plus 既是“更多”，也是“不再”。齐泽克把它挑得很明白，他指出这个法语表述“既可以指‘享乐的剩余’，也可以指‘没有享乐’”；而它“是由‘压抑’本身所产生的过剩，正因如此，取消压抑反而会使我们失去它”[35]308。</w:t>
      </w:r>
    </w:p>
    <w:p w14:paraId="06B94D2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一正一反两条依据合起来，“消除异化”这个读法就被堵死了。既然异化在语言之中，取消它的前提是取消语言；既然剩余快感是压抑本身所生产的，那么取消压抑并不通向解放，它通向失去。因此本章的“反异化”不作“消除异化”解，而取其窄义：抵抗特定形式的异化，即在资本逻辑与符号秩序的双重规训下被固定为特定认同的那一种。既然“消除”这条路已经堵死，那还要反对什么呢？能反的又剩下多少？这个问题不好回答，但至少不能假装它不存在——把“消除”当口号喊得最响的人，往往连要反对的是哪一种异化都尚未分清。</w:t>
      </w:r>
    </w:p>
    <w:p w14:paraId="0DD0ACA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此处需要交代一处思想史位置。本章不用“额外压抑”（surplus-repression）式的框架。马尔库塞在《爱欲与文明》中区分“基本压抑”与“额外压抑”，后者暗示存在一种非压抑的文明；齐泽克在同一处批评了这一区分[35]308。本研究不接受这一框架，理由与齐泽克相同：一旦设想存在一个可以去掉的“额外”部分，就等于预设异化可以整体解除，而这一预设与研讨班十一第十六课的界定正相反对。很显然，只要还留着“去掉那一块就好了”的念头，就无法从这道选择题里出来。</w:t>
      </w:r>
    </w:p>
    <w:p w14:paraId="197B547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与“反异化”配对的操作，拉康给出的是分离（séparation），而不是破除。分离在第十六课中也有界定：它基于交集，从两个缺失的相互覆盖中涌现；而拉康说，正是在这里，“我们将会看到移情的场域开始显现”[33]（第十六课）。这一句对本章极重要，因为它说明分离并不是主体单方面的觉悟，它发生在分析关系之中，本章 3.5 的三个方向，都可归到这一操作之下。</w:t>
      </w:r>
    </w:p>
    <w:p w14:paraId="2B6400A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几条线先划出来。这一章给出的是理论重构的方向，不是所谓的实操方案：方向在真实临床里能不能被辨认出来，需要依靠下一章的案例回溯；再往外走的场景拓展，本文无法承担。所论一切，均据已发表的文本，不引入新的临床材料。</w:t>
      </w:r>
    </w:p>
    <w:p w14:paraId="36798240">
      <w:pPr>
        <w:pStyle w:val="000007"/>
        <w:spacing w:before="100" w:beforeAutospacing="0" w:after="100" w:afterAutospacing="0"/>
        <w:rPr>
          <w:rFonts w:cs="宋体"/>
          <w:sz w:val="32"/>
          <w:szCs w:val="32"/>
        </w:rPr>
      </w:pPr>
      <w:bookmarkStart w:id="11" w:name="_Toc243148897"/>
      <w:r>
        <w:rPr>
          <w:rFonts w:hint="eastAsia" w:cs="宋体"/>
          <w:color w:val="333333"/>
          <w:sz w:val="32"/>
          <w:szCs w:val="32"/>
        </w:rPr>
        <w:t>3.1　接口及其边界</w:t>
      </w:r>
      <w:bookmarkEnd w:id="11"/>
    </w:p>
    <w:p w14:paraId="6E868F9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第一章 1.1.3 已经确立了政治化接口的存在，并划定了它的外边界：拉康本人没有把这一议题发展成系统的社会理论，它停留在一个待展开的接口位置上。这一节要做的，是 1.1.3 没有做的事：辨明齐泽克从这个接口里借了什么、改了什么、添了什么，并交代为什么是他。</w:t>
      </w:r>
    </w:p>
    <w:p w14:paraId="3B3F727E">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本节不会复述那两组结构。康德同萨德与四种话语拓扑，第一章已经完整讲过，此处只作定位式的提及。</w:t>
      </w:r>
    </w:p>
    <w:p w14:paraId="0C180F23">
      <w:pPr>
        <w:pStyle w:val="000008"/>
        <w:spacing w:before="100" w:beforeAutospacing="0" w:after="100" w:afterAutospacing="0"/>
        <w:rPr>
          <w:rFonts w:cs="宋体"/>
          <w:sz w:val="32"/>
          <w:szCs w:val="32"/>
        </w:rPr>
      </w:pPr>
      <w:r>
        <w:rPr>
          <w:rFonts w:hint="eastAsia" w:cs="宋体"/>
          <w:color w:val="333333"/>
          <w:sz w:val="32"/>
          <w:szCs w:val="32"/>
        </w:rPr>
        <w:t>3.1.1　借：两组结构而非结论</w:t>
      </w:r>
    </w:p>
    <w:p w14:paraId="12097082">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齐泽克从拉康那里借走的从来不是结论，他借的是两组结构关系。</w:t>
      </w:r>
    </w:p>
    <w:p w14:paraId="0F2DE6F3">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其一是道德法则与其所排除的快感之间的结构关系。这一关系解释了意识形态为什么需要一个被排除的外部，也解释了为什么纯粹形式可以被任何内容填入[2]648-649。其二是四种话语的拓扑[5]。在这一拓扑里，四个位置是固定的，四种话语按位置的轮换构成一个循环；而同一位列上发生的两种变化尤其值得留意：大学话语以知识坐动因位，而资本主义话语则是对这一循环本身的中断。</w:t>
      </w:r>
    </w:p>
    <w:p w14:paraId="6F01A2D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之所以说“借的是结构而不是结论”，是因为这一区别决定了后文能否成立。如果齐泽克借的是结论，那么他把这些结论移到社会领域就是一个非法的挪用；正因为他借的是结构关系，这些关系才可以被整体地换一个场域来运行。</w:t>
      </w:r>
    </w:p>
    <w:p w14:paraId="2CD0CC2D">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齐泽克对这一点的自述落在方法而非结论上。在《视差之见》的引论里，他列出了一份“完整系列的视差模式”，并说它们“出现在各种现代理论领域中”：量子物理学中的波粒二象性、神经生物学中从面部审视脑壳时所见的落差、存有论差异、实在界、以及欲望与驱力之间的分裂[34]9-10。这份清单同时跨自然科学、本体论与精神分析，被反复使用的因此是那个结构，而不是任何一条具体的内容判断。本研究在 3.2 以下所做的，是把同一结构移到临床与社会领域。</w:t>
      </w:r>
    </w:p>
    <w:p w14:paraId="6135AB7E">
      <w:pPr>
        <w:pStyle w:val="000008"/>
        <w:spacing w:before="100" w:beforeAutospacing="0" w:after="100" w:afterAutospacing="0"/>
        <w:rPr>
          <w:rFonts w:cs="宋体"/>
          <w:sz w:val="32"/>
          <w:szCs w:val="32"/>
        </w:rPr>
      </w:pPr>
      <w:r>
        <w:rPr>
          <w:rFonts w:hint="eastAsia" w:cs="宋体"/>
          <w:color w:val="333333"/>
          <w:sz w:val="32"/>
          <w:szCs w:val="32"/>
        </w:rPr>
        <w:t>3.1.2　改：从个体与符号秩序到社会对抗与缝合</w:t>
      </w:r>
    </w:p>
    <w:p w14:paraId="6300F61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关键的改动只有一处，但它是全部政治化的前提：齐泽克引入了社会对抗（antagonism），这个概念在拉康文本里本不存在。它来自拉克劳与墨菲的《领导权与社会主义的策略》：“对抗构成每个被展现为局部的、不稳定客观化的客观性的限度”[88]141。</w:t>
      </w:r>
    </w:p>
    <w:p w14:paraId="36EE7B3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有了对抗，符号秩序的“不完整”就发生了性质上的变化：在拉康那里它是主体的缺失，在齐泽克那里它变成了社会的不可能闭合。随之，缝合也从主体化的机制变成了意识形态的机制，3.2 要接的正是这一点。</w:t>
      </w:r>
    </w:p>
    <w:p w14:paraId="75FAE904">
      <w:pPr>
        <w:pStyle w:val="000008"/>
        <w:spacing w:before="100" w:beforeAutospacing="0" w:after="100" w:afterAutospacing="0"/>
        <w:rPr>
          <w:rFonts w:cs="宋体"/>
          <w:sz w:val="32"/>
          <w:szCs w:val="32"/>
        </w:rPr>
      </w:pPr>
      <w:r>
        <w:rPr>
          <w:rFonts w:hint="eastAsia" w:cs="宋体"/>
          <w:color w:val="333333"/>
          <w:sz w:val="32"/>
          <w:szCs w:val="32"/>
        </w:rPr>
        <w:t>3.1.3　添：制度与政治行动两个维度</w:t>
      </w:r>
    </w:p>
    <w:p w14:paraId="35CA231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拉康文本里没有这两样，齐泽克添的正是它们。制度这一侧，他处理的是律令与官僚机器：信仰并不藏在心内，它“早已物化（materialized）在我们有效的社会行为中”[12]37。政治行动这一侧，他重读的是本雅明：革命行动“通过重复，回溯性地拯救过去”[12]198；这一线索延伸到以“行动”为核心的政治理论，本章对它的取舍见 3.5.4。这一条同时规定了本章的限度：从齐泽克那里能得到的只能是理论资源，不是技术规范。</w:t>
      </w:r>
    </w:p>
    <w:p w14:paraId="26B0B45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这与第二章 2.1.2 的判断是一致的。齐泽克是理论家，不是执业分析家，他给不出可落地的实操路径，这算不上他的失职，而是由他的位置所决定。因此，本章凡是涉及所谓的实操处，都不会真正展开。</w:t>
      </w:r>
    </w:p>
    <w:p w14:paraId="64046EE3">
      <w:pPr>
        <w:pStyle w:val="000008"/>
        <w:spacing w:before="100" w:beforeAutospacing="0" w:after="100" w:afterAutospacing="0"/>
        <w:rPr>
          <w:rFonts w:cs="宋体"/>
          <w:sz w:val="32"/>
          <w:szCs w:val="32"/>
        </w:rPr>
      </w:pPr>
      <w:r>
        <w:rPr>
          <w:rFonts w:hint="eastAsia" w:cs="宋体"/>
          <w:color w:val="333333"/>
          <w:sz w:val="32"/>
          <w:szCs w:val="32"/>
        </w:rPr>
        <w:t>3.1.4　为什么是齐泽克</w:t>
      </w:r>
    </w:p>
    <w:p w14:paraId="191ED428">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同期对拉康的政治化不止一条路径，选择齐泽克需要理由。</w:t>
      </w:r>
    </w:p>
    <w:p w14:paraId="4EBDC64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巴迪欧从数学本体论进入，他的实在界是数学化的。他并非没有伦理学，但那是一种“事件的伦理学”[37]3：主体在其中被界定为“对真理事件之能动忠诚”（an active fidelity to the event of truth）[37]153；它的坐标是事件、真理程序与忠实，而不是法则与快感。因此他接不住“康德同萨德”所提供的法则—快感结构。拉克劳从话语理论进入，等值链条与霸权是其核心，他基本不处理伦理那一端，因此接不住“不要在欲望的问题上让步”。只有齐泽克同时站在两端：他既以“康德同萨德”说明意识形态为什么需要一个被排除的外部，又以四种话语与剩余快感说明这一结构在资本主义条件下如何被固定下来[12]59-60。</w:t>
      </w:r>
    </w:p>
    <w:p w14:paraId="616C005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坦白来说，选择齐泽克，理由不在他的声望，而在于他是唯一能接住第一章所立伦理内核的那一个。说到底，这是一场接力赛，前面几棒递到谁手里都不肯走，只有他两只手都接得住。</w:t>
      </w:r>
    </w:p>
    <w:p w14:paraId="0755B0B9">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本节到这里暂告一段落。以下全部分析均标注为齐泽克的拓展；凡是涉及拉康本人的地方，一律只会谈他所提供的“接口”。</w:t>
      </w:r>
    </w:p>
    <w:p w14:paraId="7D6955A3">
      <w:pPr>
        <w:pStyle w:val="000007"/>
        <w:spacing w:before="100" w:beforeAutospacing="0" w:after="100" w:afterAutospacing="0"/>
        <w:rPr>
          <w:rFonts w:cs="宋体"/>
          <w:sz w:val="32"/>
          <w:szCs w:val="32"/>
        </w:rPr>
      </w:pPr>
      <w:bookmarkStart w:id="12" w:name="_Toc243148898"/>
      <w:r>
        <w:rPr>
          <w:rFonts w:hint="eastAsia" w:cs="宋体"/>
          <w:color w:val="333333"/>
          <w:sz w:val="32"/>
          <w:szCs w:val="32"/>
        </w:rPr>
        <w:t>3.2　缝合：从主体到社会</w:t>
      </w:r>
      <w:bookmarkEnd w:id="12"/>
    </w:p>
    <w:p w14:paraId="4D07436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第一章 1.3.3 已经考订了“缝合”的概念史：它由米勒在 1966 年形式化，此后经电影理论进入文化研究，再经齐泽克与拉克劳被政治化。这一段概念史需要被使用起来，说明异化在个体与系统两个层面以同一结构运行；不过在进入之前，得先补一步。</w:t>
      </w:r>
    </w:p>
    <w:p w14:paraId="2AB1A38E">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本节所论的“异化”取 3.0 已立的含义：构成性的、不可消除的。因此所谓“两层”并不是两种可以分别清除的异化，它是同一个构成性结构在两个场域中的运行方式。</w:t>
      </w:r>
    </w:p>
    <w:p w14:paraId="7BDC4FF4">
      <w:pPr>
        <w:pStyle w:val="000008"/>
        <w:spacing w:before="100" w:beforeAutospacing="0" w:after="100" w:afterAutospacing="0"/>
        <w:rPr>
          <w:rFonts w:cs="宋体"/>
          <w:sz w:val="32"/>
          <w:szCs w:val="32"/>
        </w:rPr>
      </w:pPr>
      <w:r>
        <w:rPr>
          <w:rFonts w:hint="eastAsia" w:cs="宋体"/>
          <w:color w:val="333333"/>
          <w:sz w:val="32"/>
          <w:szCs w:val="32"/>
        </w:rPr>
        <w:t>3.2.1　先行补充：是类比而非同一机制</w:t>
      </w:r>
    </w:p>
    <w:p w14:paraId="4DF44DE2">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米勒 1966 年的“缝合”定义的是主体与其话语链条之间的关系，它是一个主体化机制[7][8]。齐泽克与拉克劳所用的“缝合”则指社会领域的意识形态缝合，即等值链条把漂浮的能指固定进某种社会想象[12]123-124。</w:t>
      </w:r>
    </w:p>
    <w:p w14:paraId="305CB5E3">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从前者到后者是一次类比性转移，不是同一机制换了个规模；这一步不作交代就直接并列，等于把类比当成了既定前提。要点明的中介是这一条：大他者的缺失（拉康）转换为社会没有最终闭合的完整性（齐泽克），有了这一步，“两层”才站得住。</w:t>
      </w:r>
    </w:p>
    <w:p w14:paraId="6FBA96A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这里还要划清一处术语，否则 3.2 与 3.3 的交界处会出现裂缝。马克思的异化（Entfremdung）指劳动产品与劳动者的分离，《1844 年经济学哲学手稿》中“［异化劳动和私有财产］”一节有系统论述[39]39；拉康的异化（aliénation）指主体进入能指链条的代价[33]（第十六课），两者不是同一个概念。本节的“两层”只在后一个含义上使用；马克思的那一端在 3.3 才出现，且只作为同构的一端，不作为本节论据。</w:t>
      </w:r>
    </w:p>
    <w:p w14:paraId="6433B3E1">
      <w:pPr>
        <w:pStyle w:val="000008"/>
        <w:spacing w:before="100" w:beforeAutospacing="0" w:after="100" w:afterAutospacing="0"/>
        <w:rPr>
          <w:rFonts w:cs="宋体"/>
          <w:sz w:val="32"/>
          <w:szCs w:val="32"/>
        </w:rPr>
      </w:pPr>
      <w:r>
        <w:rPr>
          <w:rFonts w:hint="eastAsia" w:cs="宋体"/>
          <w:color w:val="333333"/>
          <w:sz w:val="32"/>
          <w:szCs w:val="32"/>
        </w:rPr>
        <w:t>3.2.2　个体层面：穿越幻象</w:t>
      </w:r>
    </w:p>
    <w:p w14:paraId="2E88A5C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个体层面对应的是拉康本人的临床概念，即穿越幻象（traversée du fantasme）。这一概念出自研讨班第十一卷第二十课（1964 年 6 月 24 日），是全书收束处[33]（第二十课）。</w:t>
      </w:r>
    </w:p>
    <w:p w14:paraId="4B4C20AD">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里有一处流行的读法要修正。常有一种说法，把穿越幻象表述为“主体承认幻象就是幻象”。这是一个认知性的说法，它会退回到祛魅，而祛魅就是意识形态正常运转的状态。齐泽克的核心命题是意识形态不在“不知道”，而在“明知而为”：人们知道货币是拜物教、知道消费需求是被制造的，然后照样照做[12]33。因此“承认它是幻象”本身就处在幻象的运转之中，不构成穿越。有一种读法干脆把这里的“穿越”当成政治行动的等价物，在与齐泽克相关的通俗写作里这种读法很常见，本研究不予采纳。</w:t>
      </w:r>
    </w:p>
    <w:p w14:paraId="428E69D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准确的表述是关系性的：从“幻象支撑我的欲望”到“我认出幻象是在填补大他者的缺失”。主体并没有看破幻象，他只是不再需要幻象来回答“大他者要我什么”。这里的分寸在于，“看破”仍是一种认知成绩，“不再需要”才是位置的挪动——一个还在忙着看破的人，其实还站在原来那条线上。</w:t>
      </w:r>
    </w:p>
    <w:p w14:paraId="6C7EFA2D">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把“穿越幻象”从临床概念推进到意识形态批判，在汉语学界已有系统的梳理。严泽胜在讨论拉康主体性理论的当代效应时指出，詹明信“结合阿尔都塞和拉康提出了他的‘政治无意识’论”，齐泽克“更是游刃有余地将拉康的晦涩理论运用于当代大众文化的意识形态分析中，充分展示了拉康理论的实践效力”[74]210。他把齐泽克那一节的标题直接写作“穿越意识形态幻象”[74]226，这条路径不是本章的发明，它是拉康派内部已经走通的一条路。</w:t>
      </w:r>
    </w:p>
    <w:p w14:paraId="5E507C78">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这一层的结论与第二章直接相连。第二章 2.1.4 的检验没有走到“把结束等同于缝合进符号秩序”这一步：在拉康文本、技术教材与本土制度三个位置上，都没有一句把“结束”直接定义为适应现存秩序。成立的是较弱的一支，即“结束”的判据被可核验的替代物顶替。这一顶替表现为对穿越幻象的架空：终点被记成年限、双方同意或功能改善，而“主体与幻象的关系是否改变”不再有一个可被写下来的位置。很显然一件事无法被写进表格，它好像就等于从未发生。</w:t>
      </w:r>
    </w:p>
    <w:p w14:paraId="50C3E5A1">
      <w:pPr>
        <w:pStyle w:val="000008"/>
        <w:spacing w:before="100" w:beforeAutospacing="0" w:after="100" w:afterAutospacing="0"/>
        <w:rPr>
          <w:rFonts w:cs="宋体"/>
          <w:sz w:val="32"/>
          <w:szCs w:val="32"/>
        </w:rPr>
      </w:pPr>
      <w:r>
        <w:rPr>
          <w:rFonts w:hint="eastAsia" w:cs="宋体"/>
          <w:color w:val="333333"/>
          <w:sz w:val="32"/>
          <w:szCs w:val="32"/>
        </w:rPr>
        <w:t>3.2.3　系统层：意识形态缝合</w:t>
      </w:r>
    </w:p>
    <w:p w14:paraId="064D29C2">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系统层对应的是齐泽克承接过来并改写过的缝合。社会没有最终被缝合的完整性，意识形态的工作就是通过一系列等值链条，把漂浮的能指缝合进某一固定的社会想象，从而掩盖社会对抗的根本性质[12]123-124。</w:t>
      </w:r>
    </w:p>
    <w:p w14:paraId="5947A9E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意识形态缝合的机制，齐泽克用“构成性例外”作过说明，而这一说明同时把本节与 3.4 打通。任何一个普遍总体性都必然含有“至少一个”被额外对待的特殊要素，也就是所谓的“症状点”；这个点“从普遍性的领域内部，伪装成它的外部而为它服务”，而“正是从这个被排除的点出发，整个场域才把自身设立出来”。齐泽克所用的标准例证是纳粹的“理想”共同体与作为其隐秘敌人的德国犹太人：社会矛盾被全部归结到犹太人身上，通过把这一群体排斥在共同体之外，共同体才获得了自己的认同。普遍性把自身的内在不一致投射到一个被排斥的特例上去，从外部看上去，它便像是具有了整全性与一致性。很显然是，一块地毯想显得干净，最省事的办法不是在屋里找污渍，而是把带污渍的那一角裁掉。</w:t>
      </w:r>
    </w:p>
    <w:p w14:paraId="2D4DE62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被排斥的要素，刘司墨把它定名为外密性（ex-timacy）：符号秩序无法处理自身的内部僵局，于是把自己的一部分强行孤立、排斥出去，当作自己的对立面来建构自己的同一性；而被普遍系统甩出的这个构成性例外，在拉康派与齐泽克的用语里另有名字，就是缝合点（point de capiton）[50]16-23。</w:t>
      </w:r>
    </w:p>
    <w:p w14:paraId="20821FF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这一层对称值得留下。个体层面的对象 a 与系统层面的症状点，在结构上占据的是同一个位置：一个被排除出去、又被用来支撑整体的例外。“判据被替代物顶替”，正是这个位置在制度层面的形态。</w:t>
      </w:r>
    </w:p>
    <w:p w14:paraId="3B11CF8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个结构在政治哲学里有它最著名的一次命名。阿甘本把主权与生命的关系界定为一种“纳入性的排除”：赤裸生命“仍以例外的形式被纳入在政治中，即作为完全经由一个排除而被纳入的东西”[76]59。齐泽克所举的纳粹与犹太人那个例子因此不是孤例，它是同一结构在民族国家这一规模上的标准形态。阿甘本在同一处把两种政治并置起来，一种是“现代极权主义的生命政治”，另一种是“大众享乐主义与消费主义的社会的生命政治”[76]59。后一种与第四章的关系是直接的：消费主义在阿甘本那里算不上生活方式，它是一种生命政治的形态，所做的事正是把主体身上的某些部分排除出去，再以商品的形式把它接纳回来。换句话说，消费主义是资本增殖在主体这一侧的操作方式，它从来不只是一种文化风气。</w:t>
      </w:r>
    </w:p>
    <w:p w14:paraId="355344B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有一点要特别指出：在齐泽克那里，缝合永远是失败的、永远在进行。社会的缝合从来没有真正完成过，而它的失败本身就是政治斗争的场所。这一层与个体层的差别正在这里：个体层的穿越是一个可以被论及终点的事件，系统层的缝合则没有终点。</w:t>
      </w:r>
    </w:p>
    <w:p w14:paraId="5680C034">
      <w:pPr>
        <w:pStyle w:val="000008"/>
        <w:spacing w:before="100" w:beforeAutospacing="0" w:after="100" w:afterAutospacing="0"/>
        <w:rPr>
          <w:rFonts w:cs="宋体"/>
          <w:sz w:val="32"/>
          <w:szCs w:val="32"/>
        </w:rPr>
      </w:pPr>
      <w:r>
        <w:rPr>
          <w:rFonts w:hint="eastAsia" w:cs="宋体"/>
          <w:color w:val="333333"/>
          <w:sz w:val="32"/>
          <w:szCs w:val="32"/>
        </w:rPr>
        <w:t>3.2.4　两层的关系：一种视差关系</w:t>
      </w:r>
    </w:p>
    <w:p w14:paraId="245A77EA">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不能说两层是“同一个动作”，那太强了，它会让临床等于政治，而那是割裂论的镜像。也不能说两层可以互相替代。</w:t>
      </w:r>
    </w:p>
    <w:p w14:paraId="3DB70A8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齐泽克本人给出了一个精确得多的形式。他在《视差之见》的引论中写道：两个视角之间“绝不存在任何综合（synthesis）和调停（mediation）的可能”，“这两个层面无法和睦相处，也没有共享的空间。尽管它们密切相连，甚至在某种程度上完全一致，但它们毕竟处于同一个莫比乌斯带的完全相反的两面”[34]3，这就是他所说的视差关系。</w:t>
      </w:r>
    </w:p>
    <w:p w14:paraId="321A96B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由此，两层的关系有了一个准确的名字：视差。它不是“两种规模下的同一机制”（3.2.1 已否），也不是“互不相干的两个领域”（割裂论的形态），它是同一结构的两个不可通约的视角。这一界定同时解释了 3.2.1 所论的类比合法性：类比之所以正当，正在于两端并不同一，它们之间是不可化约的对应关系。</w:t>
      </w:r>
    </w:p>
    <w:p w14:paraId="41147F29">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实质表述是这样的：不把现存秩序当作完整的、自然的、不可改变的东西接受下来。个体层的穿越幻象不是政治行动，但它与意识形态批判在结构上同源——而现在“同源”可以用“视差”来界定了。</w:t>
      </w:r>
    </w:p>
    <w:p w14:paraId="4A5F26D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齐泽克在同一处把这个关系说得更直白：两个层面“有联系，却是同一现象之两面；因为是同一现象之两面，它们永远无法相交”[34]3。视差因此并不是两个现成领域之间的比较，它是同一个结构在两个不可通约的视角下的显形。同一条莫比乌斯带，你站在哪儿，看到的就是哪一面；可无论站多久，你也走不到另一面去。这不是走错了路，这是陷入了此地本身形状所构成的牢笼。</w:t>
      </w:r>
    </w:p>
    <w:p w14:paraId="3F61722D">
      <w:pPr>
        <w:pStyle w:val="000007"/>
        <w:spacing w:before="100" w:beforeAutospacing="0" w:after="100" w:afterAutospacing="0"/>
        <w:rPr>
          <w:rFonts w:cs="宋体"/>
          <w:sz w:val="32"/>
          <w:szCs w:val="32"/>
        </w:rPr>
      </w:pPr>
      <w:bookmarkStart w:id="13" w:name="_Toc243148899"/>
      <w:r>
        <w:rPr>
          <w:rFonts w:hint="eastAsia" w:cs="宋体"/>
          <w:color w:val="333333"/>
          <w:sz w:val="32"/>
          <w:szCs w:val="32"/>
        </w:rPr>
        <w:t>3.3　剩余快感与剩余价值：同构的边界</w:t>
      </w:r>
      <w:bookmarkEnd w:id="13"/>
    </w:p>
    <w:p w14:paraId="1865F60D">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要守住的一个分寸是：同构不是等同。同时可以用这个同构去解释第二章给出的一个诊断。</w:t>
      </w:r>
    </w:p>
    <w:p w14:paraId="1A9D1210">
      <w:pPr>
        <w:pStyle w:val="000008"/>
        <w:spacing w:before="100" w:beforeAutospacing="0" w:after="100" w:afterAutospacing="0"/>
        <w:rPr>
          <w:rFonts w:cs="宋体"/>
          <w:sz w:val="32"/>
          <w:szCs w:val="32"/>
        </w:rPr>
      </w:pPr>
      <w:r>
        <w:rPr>
          <w:rFonts w:hint="eastAsia" w:cs="宋体"/>
          <w:color w:val="333333"/>
          <w:sz w:val="32"/>
          <w:szCs w:val="32"/>
        </w:rPr>
        <w:t>3.3.1　同构在何处</w:t>
      </w:r>
    </w:p>
    <w:p w14:paraId="16CAB24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马克思的剩余价值是工人劳动超出工资所对应必要劳动的部分[38]243-244。拉康的剩余快感是享乐超出快乐原则所能计量的部分[5]。</w:t>
      </w:r>
    </w:p>
    <w:p w14:paraId="792605B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后一个界定在齐泽克参与主编的一本论文集里也有同型的表述。他在讨论骑士之爱与贵妇形象时写道，正是在那里，人们才最终遭遇到作为“物”（Thing）的大他者，而它使“享乐超出单纯快乐的那一部分”获得形体（gives body to the excess of enjoyment over mere pleasure）[63]211。剩余快感的位置因此被指认为“超出快乐的那一部分”，而这一部分必须被赋予某种形体，才能进入经验。</w:t>
      </w:r>
    </w:p>
    <w:p w14:paraId="42B51E1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在进入同构之前，先交代一下这一移位的位置是怎么被标出来的。从欲望到享乐的转向并不是本章的发现，它在技术文献里已经作为一次分期在使用。芬克在《拉康派精神分析临床导论》第十章开头即按“早期阶段”与“后期阶段”展开全章，并把这一分期明确归给米勒，说明早期以欲望为中心、后期以驱力与享乐为中心[9]208。这与第一章 1.3.1 所论属同一条线：分期的确立者把拉康的教学排成了一个次序，教材按这一次序排列，剩余快感也就随之在拉康的概念序列里获得了一个固定位置；本章因此只需在这条既有的分期之内工作，不必重新论证它。</w:t>
      </w:r>
    </w:p>
    <w:p w14:paraId="3950E4AD">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两者被安置在同一个缺口里，这是拉康本人的话。汤姆希奇（Samo Tomšič）引述道：“正是在这个缺口里，被称作剩余价值的东西被生产出来并落下。与自身不同一，主体不再享受。某种被称作剩余快感的东西被丢失。”[36]64</w:t>
      </w:r>
    </w:p>
    <w:p w14:paraId="6F6185C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比这一并列更精确的是那个词的构造。plus-de-jouir 中的 plus，既是“更多的享乐”，也是“不再有享乐”；汤姆希奇称之为马克思主义拜物教批判的“精神分析补充”，而它的落点正是这个词自身的同音[36]64。齐泽克在另一处作了同样的分析，并进一步指出这一剩余“是由‘压抑’本身所产生的过剩”[35]308。同构因此不只是“两者都多出一块”，而是同一个词内部就藏着“多出”与“没有”两义。</w:t>
      </w:r>
    </w:p>
    <w:p w14:paraId="0B5627B2">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共同的结构于是可以说清：它既是不能被兑现的（剩余价值不能全部分红，剩余快感不能被满足），也是不能被消除的（消除了它，结构本身即停）。</w:t>
      </w:r>
    </w:p>
    <w:p w14:paraId="033D89A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条线还可以往前追一段。在拉康之前，巴塔耶已经把“过剩必须被耗费”写成一条经济原则。他把人类活动分成两部分，前一部分是“对保存生命和延续生产活动所必需的最少量使用”，后一部分他称为“非生产性耗费”，包括“奢侈、丧事、战争、祭祀、浮华纪念碑的建造、游戏、演出、艺术和反常的性行为”，而这些活动“至少在原始状况下……以其自身为目的”；它们的“共同特征在于任何情况下，重点都是损失，损失必须尽可能最大化，以使活动获取它真正的意义”[75]24-25。他把这称为“损失原则，即无条件耗费的原则”，并明说它与“结算差额的经济原则”直接相悖[75]25。他最后给这一结构起了一个名字：在财富极大增长的状态下，它显形为“被诅咒的部分”[75]82-83。</w:t>
      </w:r>
    </w:p>
    <w:p w14:paraId="6AD6385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步往前追得确实远了一点，但它有它的必要，因为它解释了同构为什么不是巧合，这一步把同构的第三个来源补上了。剩余价值说的是剩余被生产出来，剩余快感说的是剩余不能被兑现，巴塔耶说的是同一件事的第三面：多出来的这一块不但不能被吸收，它还被要求被花掉。三者共同的落点不是“都有一个剩余”，而是这个剩余被不同的系统以不同方式处理，资本把它再投入生产，享乐把它反复错失，耗费把它直接烧掉。三个系统，三只手，抓的都是同一块多出来的东西；区别只在于有人拿去再赚一笔，有人拿去烧掉，有人连碰都没碰着就丢了。</w:t>
      </w:r>
    </w:p>
    <w:p w14:paraId="373C1A5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里还可以把“不能被消除”这一条说得更彻底。齐泽克把享乐的基本悖论表述为“既不可能又不可避免”：“它从未被完全达到，总是被错过，但与此同时，我们又永远无法摆脱它：每一次对享乐的放弃都生成一种放弃中的享乐，每一次对欲望的阻碍都生成一种对阻碍的欲望。”[35]308 这一表述把“不能被消除”从一条结构性的论断落成了主体的处境：放弃并不取消剩余，放弃本身就在生产剩余。</w:t>
      </w:r>
    </w:p>
    <w:p w14:paraId="17CAE64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汉语学界对这一结构另有一处表述，落点更接近语言方面。肖炜静把资本增殖与欲望追逐的同构系在能指链上：“资本增殖与欲望追逐的形式同构建立在能指链的永恒扩张之上”；在她看来，齐泽克的推进在于把“匮乏—满足、压抑—释放”这一组静态的二元对立，转成了“动态化、能指化、无止境的驱力强迫机制”[53]。这与本节的落点相同：同构之所以成立，原因不在两端都“多出一块”，而在两端都只能靠一条不封闭的能指链维持运转。</w:t>
      </w:r>
    </w:p>
    <w:p w14:paraId="5DF00801">
      <w:pPr>
        <w:pStyle w:val="000008"/>
        <w:spacing w:before="100" w:beforeAutospacing="0" w:after="100" w:afterAutospacing="0"/>
        <w:rPr>
          <w:rFonts w:cs="宋体"/>
          <w:sz w:val="32"/>
          <w:szCs w:val="32"/>
        </w:rPr>
      </w:pPr>
      <w:r>
        <w:rPr>
          <w:rFonts w:hint="eastAsia" w:cs="宋体"/>
          <w:color w:val="333333"/>
          <w:sz w:val="32"/>
          <w:szCs w:val="32"/>
        </w:rPr>
        <w:t>3.3.2　二者的边界</w:t>
      </w:r>
    </w:p>
    <w:p w14:paraId="5C6FF7A3">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同构不能是等同，这一点要分两层来说。</w:t>
      </w:r>
    </w:p>
    <w:p w14:paraId="4E7C09E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一层是方法论上的：不存在可以把两者统一起来的元语言。齐泽克在讨论马克思时，把经济层面与政治层面（生产与流通、资本主义的“经济过度”与权力的“政治过度”）的关系界定为视差关系：它们“只要是同一枚硬币之两面，那么，归根结底，它们就是水火不相容的”，因为“不存在这样的元语言，它能使我们把统治的……”[34]473。同构是在不可化约这一前提下成立的，不是在可以被统一的前提下成立的。这一表述比“同构不是等同”精确得多，而且它是齐泽克本人的用语。</w:t>
      </w:r>
    </w:p>
    <w:p w14:paraId="0795772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第二层是归属上的：这一步是谁做的。拉康本人在研讨班第十七卷中只把剩余价值与剩余快感并置了一次，没有展开。第一章 1.1.3 已论过这一点。把它们发展成一套批判纲领的，是齐泽克。</w:t>
      </w:r>
    </w:p>
    <w:p w14:paraId="0C09EE64">
      <w:pPr>
        <w:pStyle w:val="000008"/>
        <w:spacing w:before="100" w:beforeAutospacing="0" w:after="100" w:afterAutospacing="0"/>
        <w:rPr>
          <w:rFonts w:cs="宋体"/>
          <w:sz w:val="32"/>
          <w:szCs w:val="32"/>
        </w:rPr>
      </w:pPr>
      <w:r>
        <w:rPr>
          <w:rFonts w:hint="eastAsia" w:cs="宋体"/>
          <w:color w:val="333333"/>
          <w:sz w:val="32"/>
          <w:szCs w:val="32"/>
        </w:rPr>
        <w:t>3.3.3　此同构能够解释第二章的诊断</w:t>
      </w:r>
    </w:p>
    <w:p w14:paraId="740B1B29">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齐泽克运用这个同构，并不为证明“精神分析就是马克思主义”，他要说明的是：资本主义话语的运行本身就依赖一种快感经济。资本不只靠压榨剩余价值，还靠组织剩余快感来维持主体的欲望位置；前者是它摊在桌面上的那笔账，后者才是它真正管住人的那只大手。</w:t>
      </w:r>
    </w:p>
    <w:p w14:paraId="691DF3D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这一命题有三处原文依据。</w:t>
      </w:r>
    </w:p>
    <w:p w14:paraId="3D21952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其一，是命令你享受，不是压抑。齐泽克指出，“不被压抑”的享乐主义的超我方面在于：“被允许的原乐必然变成强制性的原乐”。其形式是“资本主义的享受指令”（injunction to enjoy）；而这一指令的实际功能并不在维持快乐原则的平衡，它是“打破这些限制，向着过度的享乐奋进”[34]492。</w:t>
      </w:r>
    </w:p>
    <w:p w14:paraId="4C636BD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其二，政治已经成为原乐政治。“我们的政治越来越多地直接成了原乐政治（politics of jouissance）”，“越来越多地涉及乞求、控制、调节原乐的方式”[34]490。</w:t>
      </w:r>
    </w:p>
    <w:p w14:paraId="1D2C977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其三，“选择的自由”是被清空的形式。“选择总是元选择（metachoice），是对选择的模态的选择”。当一切都被化约为主体的个人选择时，选择的内容已经被清空，剩下的只是由我来选这一模态[34]521。这正是“消费主义、身份政治、‘选择’的自由”这一串说法的理论形态。</w:t>
      </w:r>
    </w:p>
    <w:p w14:paraId="52BC200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由此，消费主义成瘾类症状被翻译成个体材料，就不只是“分析家没学过政治经济学”的问题。这里有几处机制要写清楚。</w:t>
      </w:r>
    </w:p>
    <w:p w14:paraId="1624836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翻译”的当代形态被写明了。症状被重新命名为“压力”，而齐泽克把“压力”界定为“必须加以控制的‘过多’”[34]492。一旦完成这一定义，处理方式就只剩调节与压制两种。正因如此，“把精神分析与精神疗法分割开来的鸿沟开始消失”，行为—认知疗法与药物治疗被结合起来[34]492。这与第二章 2.1.1 所论“结束”判据被换成可计数之物，是同一操作在不同层面的形态。</w:t>
      </w:r>
    </w:p>
    <w:p w14:paraId="11D2EE3A">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成瘾的位置也被写明了。齐泽克问：始终轰炸我们的商品所提供的享乐刺激，“难道没有把我们准确推向自闭—自淫的‘非社会’原乐？这种原乐的最高个案就是药物成瘾。”[34]493成瘾因此并不是意志薄弱或病理偏差，它是这一结构在个体身上的完成形态。</w:t>
      </w:r>
    </w:p>
    <w:p w14:paraId="6409E3A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受到组织的并不是满足；受到组织的是欲望的持续。这是斯塔瓦拉基斯（Yannis Stavrakakis）给出的表述。广告“布置了确保我们作为消费者的身份黏附其上的幻象框架”[37]227；而消费主义所揭示的，是“欲望着”本身的享受（the enjoyment entailed in desiring itself）。它与“对购买物的享受”以及“对广告本身的享受”是两回事[37]243。这一句把本节的论点落到了机制上：消费主义并不承诺满足，它把欲望的不满足状态本身维持为可享受之物。同时它与第一章 1.1.2“欲望不等于需要”严格对齐：欲望的维持本身是可以被经济地组织的。</w:t>
      </w:r>
    </w:p>
    <w:p w14:paraId="6A70AEC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最后需要补上一名承担者，否则，“话语结构本身就如此运转”仍只是断言。分析家自己站在哪里？答案是：他的执业本身就在市场之内。他的时间按小时计价，他的资格是市场凭证，他的来访者是客户。把工时、雇佣、消费期待翻译成移情与个人史，使治疗有一个可交付、可计价、可结案的形态，这对分析家不只是认识论上的便利，也是经济上划算的。回头看，第二章 2.2.3 所引的“与其说与提升身份有关，不如说与赚钱有关”[32]，说的正是这一层。很显然是一个按小时收钱的人很难对“时间就是金钱”这套说法真的无动于衷。</w:t>
      </w:r>
    </w:p>
    <w:p w14:paraId="7FECF774">
      <w:pPr>
        <w:pStyle w:val="000007"/>
        <w:spacing w:before="100" w:beforeAutospacing="0" w:after="100" w:afterAutospacing="0"/>
        <w:rPr>
          <w:rFonts w:cs="宋体"/>
          <w:sz w:val="32"/>
          <w:szCs w:val="32"/>
        </w:rPr>
      </w:pPr>
      <w:bookmarkStart w:id="14" w:name="_Toc243148900"/>
      <w:r>
        <w:rPr>
          <w:rFonts w:hint="eastAsia" w:cs="宋体"/>
          <w:color w:val="333333"/>
          <w:sz w:val="32"/>
          <w:szCs w:val="32"/>
        </w:rPr>
        <w:t>3.4　资本主义话语与大学话语</w:t>
      </w:r>
      <w:bookmarkEnd w:id="14"/>
    </w:p>
    <w:p w14:paraId="40DE1913">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本节从话语的拓扑再深入一步，说明大学话语在资本主义条件下的功能。</w:t>
      </w:r>
    </w:p>
    <w:p w14:paraId="2374B22A">
      <w:pPr>
        <w:pStyle w:val="000008"/>
        <w:spacing w:before="100" w:beforeAutospacing="0" w:after="100" w:afterAutospacing="0"/>
        <w:rPr>
          <w:rFonts w:cs="宋体"/>
          <w:sz w:val="32"/>
          <w:szCs w:val="32"/>
        </w:rPr>
      </w:pPr>
      <w:r>
        <w:rPr>
          <w:rFonts w:hint="eastAsia" w:cs="宋体"/>
          <w:color w:val="333333"/>
          <w:sz w:val="32"/>
          <w:szCs w:val="32"/>
        </w:rPr>
        <w:t>3.4.1　资本主义话语怎样中断了循环</w:t>
      </w:r>
    </w:p>
    <w:p w14:paraId="4EE3BAF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资本主义话语并非四种话语循环中的第五种，它是对循环本身的中断。其图式是在主人能指与分裂的主体之间作一次倒转：分裂的主体坐动因位，主人能指退到真理位置[5]。</w:t>
      </w:r>
    </w:p>
    <w:p w14:paraId="1187868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个“倒转”的性质需要说准。汤姆希奇指出，资本主义话语“不挪动要素，而是挪动结构位置”，由此改变诸位置之间的相互关系；它使主体显得像一个自主的动因，一个“无限循环的发动者，而这个循环没有出口”[36]220。而最要紧的是紧接着的一句：</w:t>
      </w:r>
    </w:p>
    <w:p w14:paraId="174157EB">
      <w:pPr>
        <w:pStyle w:val="000012"/>
        <w:widowControl w:val="1"/>
        <w:spacing w:before="60" w:after="60"/>
        <w:ind w:left="240"/>
        <w:rPr>
          <w:rFonts w:hint="eastAsia" w:ascii="黑体" w:hAnsi="黑体" w:eastAsia="黑体" w:cs="黑体"/>
          <w:sz w:val="22"/>
          <w:szCs w:val="22"/>
        </w:rPr>
      </w:pPr>
      <w:r>
        <w:rPr>
          <w:rFonts w:hint="eastAsia" w:ascii="黑体" w:hAnsi="黑体" w:eastAsia="黑体" w:cs="黑体"/>
          <w:color w:val="333333"/>
          <w:sz w:val="22"/>
          <w:szCs w:val="22"/>
        </w:rPr>
        <w:t>这些向量表明，资本主义话语的根基是对其他话语所带有的“总体化之不可能性”的排除（foreclosure）[36]220</w:t>
      </w:r>
    </w:p>
    <w:p w14:paraId="40D6888B">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这一句把本节与第一章打通了。其他话语都以某种不可能性为标记（第一章 1.1.2 所立的那个不可象征化的硬核），资本主义话语的独特之处在于它宣称那个不可能性不存在。它的扭转“声称要建立主体与客体之间那个缺失的关系，甚至提出了这个关系的范式性例子：金融资本”[36]220。这个例子的有分量之处在于它毫不遮掩：把“没有缺口”这句话直接兑现成市场的，正是资本主义话语自己。很显然是，别的话语还在遮遮掩掩地绕着缺口走，它干脆把缺口标成了可交易的品种。</w:t>
      </w:r>
    </w:p>
    <w:p w14:paraId="014122DA">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3.5 的“不填补缺口”因此不只是伦理姿态，而是对这一排除的反向操作。</w:t>
      </w:r>
    </w:p>
    <w:p w14:paraId="3AE2BD5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近年一份专门研究把这一定位推得更远。Pavón-Cuéllar 认为，拉康 1972 至 1975 年间对资本主义话语所作的形式化，本身就是对新自由主义资本主义的批判，其要点有三：内在的犬儒主义、与个人主义的关联、以及资本不受限制的享受；在这套话语里，享受不受任何障碍与切割的限制，正如资本的循环本身[54]。这可以为本节作一个补充：资本主义话语的中断，不只是拓扑上的一处位置调换，它同时还是一种享受的体制。它不靠压服，它靠让人先享受着就范；反抗在这个体制里并不被禁止，它被允许、甚至被鼓励，只要它最后还能够被换算成一次消费。</w:t>
      </w:r>
    </w:p>
    <w:p w14:paraId="2785A82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四种话语的史实序列可被列出。齐泽克给出的对应是：主人话语并不代表前现代的主人，而是代表绝对君主制；癔症话语与大学话语则是主人统治瓦解的两个结果，其一是官僚体制实施的专家统治，在生物政治中达到顶峰，其二是癔症资本主义主体性的爆发；精神分析师话语则代表革命性—解放性的主体性的出现，“解决大学话语与癔症话语的分裂”，其目标是“孤立、摆脱主人能指”[34]473-474。</w:t>
      </w:r>
    </w:p>
    <w:p w14:paraId="4D90389B">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这一序列同时是一处约束：齐泽克把大学话语安置在现代性的史实序列里，而不是把它当作资本主义话语的真理。3.4.2 对两者关系的处理与此一致，这里就是它的依据。</w:t>
      </w:r>
    </w:p>
    <w:p w14:paraId="30D86FBF">
      <w:pPr>
        <w:pStyle w:val="000008"/>
        <w:spacing w:before="100" w:beforeAutospacing="0" w:after="100" w:afterAutospacing="0"/>
        <w:rPr>
          <w:rFonts w:cs="宋体"/>
          <w:sz w:val="32"/>
          <w:szCs w:val="32"/>
        </w:rPr>
      </w:pPr>
      <w:r>
        <w:rPr>
          <w:rFonts w:hint="eastAsia" w:cs="宋体"/>
          <w:color w:val="333333"/>
          <w:sz w:val="32"/>
          <w:szCs w:val="32"/>
        </w:rPr>
        <w:t>3.4.2　大学话语的功能</w:t>
      </w:r>
    </w:p>
    <w:p w14:paraId="7A43B94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大学话语与资本主义话语不是两种并列的东西。资本主义话语把主人话语与大学话语焊接在一起[5]，它自身的运行依赖大学话语的运作。</w:t>
      </w:r>
    </w:p>
    <w:p w14:paraId="13275F7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焊接在拓扑上可以指认。大学话语有它自己的真理位置，占据这个位置的是主人能指；汤姆希奇据拉康原文的直述是：“主人是看似中立的认识主体的真理”[36]219。这里要留意语法位置：“真理”是每一个话语内部四个位置当中的一个，而不是一个话语与另一个话语之间的关系。大学话语与资本主义话语因此只能在“运作上的依赖”这一层上被联系起来，不能在“谁是真理”这一层上被联系起来。</w:t>
      </w:r>
    </w:p>
    <w:p w14:paraId="6886122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具体机制是这样：大学话语把对象 a（欲望的因）处理成可被支配、可被传授、可被考核、可被消费的产物。知识坐在动因位上，对象 a 在产物位置被生产出来。</w:t>
      </w:r>
    </w:p>
    <w:p w14:paraId="7A73254D">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话语的这一性质本身值得留意。芬克在解释四种话语理论时说得很直白：话语不像“可以随手戴上摘下的帽子”，要改变话语通常需要满足某些条件；一个人把自己置于某一话语之中，就要“忍受这一话语特有的障碍与短处所带来的痛楚”。他由此给出一句在本节读来很要紧的话：某一话语“促进某些事并阻碍其他事，容许一个人看到某些事，同时看不到其他事”[65]186。大学话语对分析家的塑造正落在后一句上：它给了他一套语汇，同时规定了他看不见什么。话语像一副配好的眼镜——它让你看清了一些东西，代价是另一些东西从此落在镜片之外，而戴久了的人，早忘了自己还戴着眼镜。</w:t>
      </w:r>
    </w:p>
    <w:p w14:paraId="2E6AF19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汤姆希奇指出，大学话语中被揭示的真理不止于“主人是分裂的”，而是主人被化约为一条绝对命令的三个变体：“享受”“工作”“知道”，它们统一于一句：“服务你赖以存在的系统”[36]219。这一组很有用：它把 3.3.3 的“资本主义享受指令”与本节接在了同一条线上——“享受”是大学话语所发出的诸命令之一，而不是它的对立面。</w:t>
      </w:r>
    </w:p>
    <w:p w14:paraId="57C2CFA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同一页还可以引出另一条：大学话语的指令是“继续知道”（keep on knowing），它包含双重要求：组织知识以服务于“资本主义主体的生产”，并“稳定经济大他者”。用汤姆希奇的一句话概括：“生产将服务于市场与资本主义再生产的知。”[36]219</w:t>
      </w:r>
    </w:p>
    <w:p w14:paraId="67A4EA12">
      <w:pPr>
        <w:pStyle w:val="000008"/>
        <w:spacing w:before="100" w:beforeAutospacing="0" w:after="100" w:afterAutospacing="0"/>
        <w:rPr>
          <w:rFonts w:cs="宋体"/>
          <w:sz w:val="32"/>
          <w:szCs w:val="32"/>
        </w:rPr>
      </w:pPr>
      <w:r>
        <w:rPr>
          <w:rFonts w:hint="eastAsia" w:cs="宋体"/>
          <w:color w:val="333333"/>
          <w:sz w:val="32"/>
          <w:szCs w:val="32"/>
        </w:rPr>
        <w:t>3.4.3　由此回看第二章</w:t>
      </w:r>
    </w:p>
    <w:p w14:paraId="3CB49B6B">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就是“消费主义成瘾”被翻译成个体材料的机制。在大学话语与资本主义话语的组合里，欲望的因已经被处理成一个可识别、可归类、可治疗的材料；那个不能被驯服的硬核，就这样被做成了一件可以标价的商品。</w:t>
      </w:r>
    </w:p>
    <w:p w14:paraId="77BB1A68">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这一机制并非只有笔者的推论，米勒本人就描述过它。齐泽克转述米勒对“文明话语”的分析：其动因是“小客体，是剩余享受”，是“命令我们享受享受的超我指令”；“这种社会联系的‘真理’是 S₂，即以不同幌子打掩护的科学的一专家的知识，其目标就是派生出 $，即主体的自制”，也就是“使得主体能够通过自助手册等‘应对’由号召享受带来的压力”[34]474。制度化路线的领袖亲口描述了这个机制，这一点值得记下。</w:t>
      </w:r>
    </w:p>
    <w:p w14:paraId="5FF0ED02">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一章所论“概念工具化”在此获得机制层面的解释。齐泽克指出，受过教育的接受分析者的“自由联想”，绝大部分是“企图为他们的失调提供精神分析的解释”；于是“我们不仅拥有对征兆所做的荣格式、克莱因式、拉康式的阐释，而且拥有荣格式、克莱因式、拉康式的征兆”。后果是：</w:t>
      </w:r>
    </w:p>
    <w:p w14:paraId="38C14EDA">
      <w:pPr>
        <w:pStyle w:val="000012"/>
        <w:widowControl w:val="1"/>
        <w:spacing w:before="60" w:after="60"/>
        <w:ind w:left="240"/>
        <w:rPr>
          <w:rFonts w:hint="eastAsia" w:ascii="黑体" w:hAnsi="黑体" w:eastAsia="黑体" w:cs="黑体"/>
          <w:sz w:val="22"/>
          <w:szCs w:val="22"/>
        </w:rPr>
      </w:pPr>
      <w:r>
        <w:rPr>
          <w:rFonts w:hint="eastAsia" w:ascii="黑体" w:hAnsi="黑体" w:eastAsia="黑体" w:cs="黑体"/>
          <w:color w:val="333333"/>
          <w:sz w:val="22"/>
          <w:szCs w:val="22"/>
        </w:rPr>
        <w:t>阐释的这种总体反射化……导致的不幸结果是，精神分析师的阐释本身已经丧失其述行性的“符号功效”，它没有触及征兆，使征兆依然处于其愚蠢的原乐的直接性之中。[34]477</w:t>
      </w:r>
    </w:p>
    <w:p w14:paraId="6AFAD4F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换成本课题的话说：概念工具化并不让分析家看得更准，它让分析家的阐释对硬核失去作用，这比第一章单说“概念被削平为标签”深了一层。</w:t>
      </w:r>
    </w:p>
    <w:p w14:paraId="33C8E46B">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这里另有一处可与第二章并读。齐泽克在一条脚注中批评米勒近期的文化政治涉足“危险地接近于由美国作家践行的流行心理学杂志”，“受到了美国流行理论化的最坏方面的影响”[34]475。这条脚注支持第一章 1.3.1 的判断，即制度领袖与制度批判者这两个角色在米勒身上并不重合。这里要谨慎：所论是米勒的文化政治写作，不涉其学派职能。很显然是，一个人在一个位置上说了什么，不必然能替他在另一个位置上的沉默作保。</w:t>
      </w:r>
    </w:p>
    <w:p w14:paraId="3CEFAAD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最后，这一机制在中文语境中已经被从业者命名。《拉康精神分析的临床概念化》的译者序把咨询师的处境直接诊断为“心理健康产业”在“资本主义话语逻辑”之下所产生的症状性效果：咨询师“被过度商品化包装，被困在系统里内卷”；临床“变成了‘重复’而非‘回忆’的空间，从而丧失了‘修通’的可能”[40]译序。</w:t>
      </w:r>
    </w:p>
    <w:p w14:paraId="517B0A39">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这一条回答第一章 1.1.3 留下的问题：政治化接口是否只能由齐泽克从外部接入？就临床经验而言，答案是它已经在使用中了：“资本主义话语”在中文拉康圈并不是外来的政治嫁接，它是从业者自己用来描述处境的语汇。这一诊断出自译者序（李新雨），不是布里约本人的论述，引用时会分别标注。</w:t>
      </w:r>
    </w:p>
    <w:p w14:paraId="7844050B">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本节就此收束。这里需要引用第二章 2.1.3 已经引过的那句：“在寻求逃离大学话语的过程中，人不可动摇地重新踏了进去”[5]64。批判本身就在大学话语内部，这是无法彻底走出的困境。也正因如此，3.5 的重构不会是“站到外面去”——因为根本没有一个外面可站。</w:t>
      </w:r>
    </w:p>
    <w:p w14:paraId="64827D1E">
      <w:pPr>
        <w:pStyle w:val="000007"/>
        <w:spacing w:before="100" w:beforeAutospacing="0" w:after="100" w:afterAutospacing="0"/>
        <w:rPr>
          <w:rFonts w:cs="宋体"/>
          <w:sz w:val="32"/>
          <w:szCs w:val="32"/>
        </w:rPr>
      </w:pPr>
      <w:bookmarkStart w:id="15" w:name="_Toc243148901"/>
      <w:r>
        <w:rPr>
          <w:rFonts w:hint="eastAsia" w:cs="宋体"/>
          <w:color w:val="333333"/>
          <w:sz w:val="32"/>
          <w:szCs w:val="32"/>
        </w:rPr>
        <w:t>3.5　重构：不去填补缺口</w:t>
      </w:r>
      <w:bookmarkEnd w:id="15"/>
    </w:p>
    <w:p w14:paraId="7D06C72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这一节里给出的是结构性方向而非技术规范。</w:t>
      </w:r>
    </w:p>
    <w:p w14:paraId="08123806">
      <w:pPr>
        <w:ind w:firstLine="440" w:firstLineChars="200"/>
      </w:pPr>
      <w:r>
        <w:rPr>
          <w:rFonts w:hint="eastAsia"/>
        </w:rPr>
        <w:t>这里先把一个贯穿全书的概念定死，因为下面三个方向都依赖它。“社会维度”在本文里指：症状中不能被还原为主体个人史与内在欲望结构的那部分生产条件。具体的劳动组织、雇佣状况、消费秩序，是它的显性案例，不是它的定义本身。</w:t>
      </w:r>
    </w:p>
    <w:p w14:paraId="3DFBFB8C">
      <w:pPr>
        <w:ind w:firstLine="440" w:firstLineChars="200"/>
      </w:pPr>
      <w:r>
        <w:rPr>
          <w:rFonts w:hint="eastAsia"/>
        </w:rPr>
        <w:t>这个界定有实际后果。若把它当成一组待补的内容，那么分析家一旦把它带进会谈，就成了另一个视角的化身——这正是 4.3.1 要挡回去的做法。本文主张的不是补充内容，是保留形式：症状的成因里有一块不由主体个人史构成，这一块在框架里应当留着一个位置，而不是被预先翻译成移情位置、童年经历或欲望困境。前文（1.2.2、2.2.2）多在“内容”的意义上使用这个词，因为那里谈的是劳动与消费；3.5.2 与第四章多在“形式”的意义上使用它，因为那里谈的是框架的对象清单。两者是同一概念的具体与抽象两层，不是两个概念。</w:t>
      </w:r>
    </w:p>
    <w:p w14:paraId="06EDFAA3">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三个方向有一个共同的形式。它们并不是三条并列的建议，它们是同一个否定性操作的三个应用：拒绝用替代物顶替那个不可被象征化的空缺。</w:t>
      </w:r>
    </w:p>
    <w:p w14:paraId="72B4EB58">
      <w:pPr>
        <w:spacing w:before="180" w:after="60"/>
        <w:jc w:val="center"/>
        <w:rPr>
          <w:rFonts w:hint="eastAsia" w:ascii="黑体" w:hAnsi="黑体" w:eastAsia="黑体" w:cs="黑体"/>
          <w:sz w:val="21"/>
          <w:szCs w:val="21"/>
        </w:rPr>
      </w:pPr>
      <w:r>
        <w:rPr>
          <w:rFonts w:hint="eastAsia" w:ascii="黑体" w:hAnsi="黑体" w:eastAsia="黑体" w:cs="黑体"/>
          <w:sz w:val="21"/>
          <w:szCs w:val="21"/>
        </w:rPr>
        <w:t>表 3-1　三个重构方向及其所拒斥的替代物</w:t>
      </w:r>
    </w:p>
    <w:tbl>
      <w:tblPr>
        <w:tblW w:w="0" w:type="auto"/>
        <w:tblLayout w:type="fixed"/>
        <w:tblCellMar>
          <w:top w:w="15" w:type="dxa"/>
          <w:left w:w="15" w:type="dxa"/>
          <w:bottom w:w="15" w:type="dxa"/>
          <w:right w:w="15" w:type="dxa"/>
        </w:tblCellMar>
        <w:tblLook w:firstRow="1" w:lastRow="0" w:firstColumn="1" w:lastColumn="0" w:noHBand="0" w:noVBand="1" w:val="04A0"/>
      </w:tblPr>
      <w:tblGrid>
        <w:gridCol w:w="2768"/>
        <w:gridCol w:w="2768"/>
        <w:gridCol w:w="2768"/>
      </w:tblGrid>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21B58EA6">
            <w:pPr>
              <w:pStyle w:val="000012"/>
              <w:widowControl w:val="1"/>
              <w:spacing w:before="60" w:after="60"/>
              <w:rPr>
                <w:rFonts w:hint="eastAsia" w:ascii="黑体" w:hAnsi="黑体" w:eastAsia="黑体" w:cs="黑体"/>
                <w:sz w:val="22"/>
                <w:szCs w:val="22"/>
              </w:rPr>
            </w:pPr>
            <w:r>
              <w:rPr>
                <w:rFonts w:hint="eastAsia" w:ascii="黑体" w:hAnsi="黑体" w:eastAsia="黑体" w:cs="黑体"/>
                <w:b w:val="1"/>
                <w:bCs w:val="1"/>
                <w:color w:val="333333"/>
                <w:sz w:val="22"/>
                <w:szCs w:val="22"/>
              </w:rPr>
              <w:t>方向</w:t>
            </w:r>
          </w:p>
        </w:tc>
        <w:tc>
          <w:tcPr>
            <w:tcW w:w="2768" w:type="dxa"/>
            <w:tcBorders>
              <w:top w:val="single" w:color="CBCDD1" w:sz="4" w:space="0"/>
              <w:left w:val="single" w:color="CBCDD1" w:sz="4" w:space="0"/>
              <w:bottom w:val="single" w:color="CBCDD1" w:sz="4" w:space="0"/>
              <w:right w:val="single" w:color="CBCDD1" w:sz="4" w:space="0"/>
            </w:tcBorders>
            <w:vAlign w:val="center"/>
          </w:tcPr>
          <w:p w14:paraId="4D2E3D90">
            <w:pPr>
              <w:pStyle w:val="000012"/>
              <w:widowControl w:val="1"/>
              <w:spacing w:before="60" w:after="60"/>
              <w:rPr>
                <w:rFonts w:hint="eastAsia" w:ascii="黑体" w:hAnsi="黑体" w:eastAsia="黑体" w:cs="黑体"/>
                <w:sz w:val="22"/>
                <w:szCs w:val="22"/>
              </w:rPr>
            </w:pPr>
            <w:r>
              <w:rPr>
                <w:rFonts w:hint="eastAsia" w:ascii="黑体" w:hAnsi="黑体" w:eastAsia="黑体" w:cs="黑体"/>
                <w:b w:val="1"/>
                <w:bCs w:val="1"/>
                <w:color w:val="333333"/>
                <w:sz w:val="22"/>
                <w:szCs w:val="22"/>
              </w:rPr>
              <w:t>拒绝填补的空缺</w:t>
            </w:r>
          </w:p>
        </w:tc>
        <w:tc>
          <w:tcPr>
            <w:tcW w:w="2768" w:type="dxa"/>
            <w:tcBorders>
              <w:top w:val="single" w:color="CBCDD1" w:sz="4" w:space="0"/>
              <w:left w:val="single" w:color="CBCDD1" w:sz="4" w:space="0"/>
              <w:bottom w:val="single" w:color="CBCDD1" w:sz="4" w:space="0"/>
              <w:right w:val="single" w:color="CBCDD1" w:sz="4" w:space="0"/>
            </w:tcBorders>
            <w:vAlign w:val="center"/>
          </w:tcPr>
          <w:p w14:paraId="01FC8D31">
            <w:pPr>
              <w:pStyle w:val="000012"/>
              <w:widowControl w:val="1"/>
              <w:spacing w:before="60" w:after="60"/>
              <w:rPr>
                <w:rFonts w:hint="eastAsia" w:ascii="黑体" w:hAnsi="黑体" w:eastAsia="黑体" w:cs="黑体"/>
                <w:sz w:val="22"/>
                <w:szCs w:val="22"/>
              </w:rPr>
            </w:pPr>
            <w:r>
              <w:rPr>
                <w:rFonts w:hint="eastAsia" w:ascii="黑体" w:hAnsi="黑体" w:eastAsia="黑体" w:cs="黑体"/>
                <w:b w:val="1"/>
                <w:bCs w:val="1"/>
                <w:color w:val="333333"/>
                <w:sz w:val="22"/>
                <w:szCs w:val="22"/>
              </w:rPr>
              <w:t>通常的替代物</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1F43020B">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结束的重新定义</w:t>
            </w:r>
          </w:p>
        </w:tc>
        <w:tc>
          <w:tcPr>
            <w:tcW w:w="2768" w:type="dxa"/>
            <w:tcBorders>
              <w:top w:val="single" w:color="CBCDD1" w:sz="4" w:space="0"/>
              <w:left w:val="single" w:color="CBCDD1" w:sz="4" w:space="0"/>
              <w:bottom w:val="single" w:color="CBCDD1" w:sz="4" w:space="0"/>
              <w:right w:val="single" w:color="CBCDD1" w:sz="4" w:space="0"/>
            </w:tcBorders>
            <w:vAlign w:val="center"/>
          </w:tcPr>
          <w:p w14:paraId="68B21365">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“结束”在定义上的空缺</w:t>
            </w:r>
          </w:p>
        </w:tc>
        <w:tc>
          <w:tcPr>
            <w:tcW w:w="2768" w:type="dxa"/>
            <w:tcBorders>
              <w:top w:val="single" w:color="CBCDD1" w:sz="4" w:space="0"/>
              <w:left w:val="single" w:color="CBCDD1" w:sz="4" w:space="0"/>
              <w:bottom w:val="single" w:color="CBCDD1" w:sz="4" w:space="0"/>
              <w:right w:val="single" w:color="CBCDD1" w:sz="4" w:space="0"/>
            </w:tcBorders>
            <w:vAlign w:val="center"/>
          </w:tcPr>
          <w:p w14:paraId="129EFAC3">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年限、双方同意、功能判据</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364CD4C3">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社会维度不被翻译</w:t>
            </w:r>
          </w:p>
        </w:tc>
        <w:tc>
          <w:tcPr>
            <w:tcW w:w="2768" w:type="dxa"/>
            <w:tcBorders>
              <w:top w:val="single" w:color="CBCDD1" w:sz="4" w:space="0"/>
              <w:left w:val="single" w:color="CBCDD1" w:sz="4" w:space="0"/>
              <w:bottom w:val="single" w:color="CBCDD1" w:sz="4" w:space="0"/>
              <w:right w:val="single" w:color="CBCDD1" w:sz="4" w:space="0"/>
            </w:tcBorders>
            <w:vAlign w:val="center"/>
          </w:tcPr>
          <w:p w14:paraId="3C8B0C30">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症状成因上的空缺</w:t>
            </w:r>
          </w:p>
        </w:tc>
        <w:tc>
          <w:tcPr>
            <w:tcW w:w="2768" w:type="dxa"/>
            <w:tcBorders>
              <w:top w:val="single" w:color="CBCDD1" w:sz="4" w:space="0"/>
              <w:left w:val="single" w:color="CBCDD1" w:sz="4" w:space="0"/>
              <w:bottom w:val="single" w:color="CBCDD1" w:sz="4" w:space="0"/>
              <w:right w:val="single" w:color="CBCDD1" w:sz="4" w:space="0"/>
            </w:tcBorders>
            <w:vAlign w:val="center"/>
          </w:tcPr>
          <w:p w14:paraId="3D5F74FD">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移情位置、个人史、欲望困境</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3A4AC09D">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分析家承认自己在话语内部</w:t>
            </w:r>
          </w:p>
        </w:tc>
        <w:tc>
          <w:tcPr>
            <w:tcW w:w="2768" w:type="dxa"/>
            <w:tcBorders>
              <w:top w:val="single" w:color="CBCDD1" w:sz="4" w:space="0"/>
              <w:left w:val="single" w:color="CBCDD1" w:sz="4" w:space="0"/>
              <w:bottom w:val="single" w:color="CBCDD1" w:sz="4" w:space="0"/>
              <w:right w:val="single" w:color="CBCDD1" w:sz="4" w:space="0"/>
            </w:tcBorders>
            <w:vAlign w:val="center"/>
          </w:tcPr>
          <w:p w14:paraId="60CC0D17">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分析家自身位置上的空缺</w:t>
            </w:r>
          </w:p>
        </w:tc>
        <w:tc>
          <w:tcPr>
            <w:tcW w:w="2768" w:type="dxa"/>
            <w:tcBorders>
              <w:top w:val="single" w:color="CBCDD1" w:sz="4" w:space="0"/>
              <w:left w:val="single" w:color="CBCDD1" w:sz="4" w:space="0"/>
              <w:bottom w:val="single" w:color="CBCDD1" w:sz="4" w:space="0"/>
              <w:right w:val="single" w:color="CBCDD1" w:sz="4" w:space="0"/>
            </w:tcBorders>
            <w:vAlign w:val="center"/>
          </w:tcPr>
          <w:p w14:paraId="0F1F2531">
            <w:pPr>
              <w:pStyle w:val="000012"/>
              <w:widowControl w:val="1"/>
              <w:spacing w:before="60" w:after="60"/>
              <w:rPr>
                <w:rFonts w:hint="eastAsia" w:ascii="黑体" w:hAnsi="黑体" w:eastAsia="黑体" w:cs="黑体"/>
                <w:sz w:val="22"/>
                <w:szCs w:val="22"/>
              </w:rPr>
            </w:pPr>
            <w:r>
              <w:rPr>
                <w:rFonts w:hint="eastAsia" w:ascii="黑体" w:hAnsi="黑体" w:eastAsia="黑体" w:cs="黑体"/>
                <w:color w:val="333333"/>
                <w:sz w:val="22"/>
                <w:szCs w:val="22"/>
              </w:rPr>
              <w:t>中立性、价值无涉、纯技术身份</w:t>
            </w:r>
          </w:p>
        </w:tc>
      </w:tr>
    </w:tbl>
    <w:p w14:paraId="65C62A7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这一形式与第一章 1.1.2 所立命题完全同构：“向欲望让步”就是把这个硬核重新翻译为可被城邦承认的内容。因此本节并不是在提三条建议；它让“不要在欲望的问题上让步”在临床目标、临床材料与分析家位置三个面上各具体化了一次。</w:t>
      </w:r>
    </w:p>
    <w:p w14:paraId="7E572C28">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组织原则有两处原文支撑。一是研讨班十一第十六课：“解释并不那么旨在意义，而是旨在圈定、旨在把诸能指还原到它们的无意义之中”[33]（第十六课）。二是齐泽克本人的对应表述：“精神分析治疗的基本运作并非综合，并非使因素彼此联系起来，而是解析、分离社会联系中似乎属于整体的东西。”[34]475他用这句话反对米勒“只有在精神分析中四因素才编进话语”的说法。两处合起来，“不填补缺口”就不再是本研究的形式化归纳，而是拉康与齐泽克在各自层面给出的同一姿态。这里还可补一句黑格尔的旁注：“综合”实际上做的并不是调和对立面，它做的是“设置它们的差异‘本身’”[34]475——真正的综合恰是分离。三处引下来，一件事就清楚了：所谓“综合”和“填补”，做的常常不是缝补，而是掩盖那道本来还在的裂缝。</w:t>
      </w:r>
    </w:p>
    <w:p w14:paraId="7145E514">
      <w:pPr>
        <w:pStyle w:val="000008"/>
        <w:spacing w:before="100" w:beforeAutospacing="0" w:after="100" w:afterAutospacing="0"/>
        <w:rPr>
          <w:rFonts w:cs="宋体"/>
          <w:sz w:val="32"/>
          <w:szCs w:val="32"/>
        </w:rPr>
      </w:pPr>
      <w:r>
        <w:rPr>
          <w:rFonts w:hint="eastAsia" w:cs="宋体"/>
          <w:color w:val="333333"/>
          <w:sz w:val="32"/>
          <w:szCs w:val="32"/>
        </w:rPr>
        <w:t>3.5.1　方向一：重新定义“结束”</w:t>
      </w:r>
    </w:p>
    <w:p w14:paraId="2172157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第二章 2.1.1 与 2.1.4 已经证明，现存制度把“结束”偷换成了年限、双方同意与功能判据[21]；并且第二章的检验把最初的命题收窄了一步——在拉康文本、技术教材与本土制度三个位置上，都没有一句把“结束”直接定义为适应现存秩序，因此成立的并不是“倒转”，它是“判据被替代”。[21] 这一收窄对本章是有利的：要指出的问题因此不必假设任何人有把主体缝合进秩序的意图，只需指出替代这件事本身。</w:t>
      </w:r>
    </w:p>
    <w:p w14:paraId="30AF6BE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真正的“结束”是主体与幻象之间关系的改变（3.2.2 已立）。</w:t>
      </w:r>
    </w:p>
    <w:p w14:paraId="54CB2A53">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这一方向在拉康派临床内部已有一次具体的推进，可以引来参照。格罗维奇（Patricia Gherovici）在讨论跨性别者的分析时，把症状从“有待解码的信息”挪到了另一个位置上：症状是被拉康改称为“圣状”（sinthome）的东西，而它可以“被界定为一种让某人得以活下去的独特发明”[62]9。由此，分析的正面结束在她那里既不表现为症状的清除，也不表现为主体被安置到一个更合规范的位置上，而表现为这一独特发明被确认下来。</w:t>
      </w:r>
    </w:p>
    <w:p w14:paraId="11238ED8">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这个把症状改叫圣状的做法，根源还在拉康那里。研讨班第二十三卷里，拉康把 symptom 的旧拼法 sinthome 挪过来，用它命名那个把想象、象征、实在三环扣在一起的第四环，并且明说：这第四环不可能被根本消除，弗洛伊德讲的原初压抑，是一种永不解除的压抑[80]。换句话说，症状绝不是一块急需铲除的病灶，它是主体结构里拆不掉的那一环。</w:t>
      </w:r>
    </w:p>
    <w:p w14:paraId="1C2B9C09">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参照对本章有用的地方，是它并不给出新判据，它给出的是一个新的方向：分析的结束由一个可计量的状态，转为一件只属于这一主体的发明能否被认下来，而这样的结束同样不能被打分。本章不必采纳她的具体提法，但“结束”可以不被替换成替代物而被说出来，这一点由此有了一处临床内部的样例。</w:t>
      </w:r>
    </w:p>
    <w:p w14:paraId="500DB52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由此，通过制度（la passe）的当代意义可以重新估价[11]。它的意义不在于它成功运行了，而在于它那个否定性内核：不设预设判据，拒绝用替代物顶替“结束”。九个通过者（A.E.）并不是失败的证据，他们是“拒绝替代物”这件事本身的代价。人数之少，一半来自资格的限期（到期须重新通过，第二章 2.1.2 已记），一半来自判据的严苛；后者才是这里所说的代价。九个数字挂在那里，看着像惨淡，读起来却是硬骨头。</w:t>
      </w:r>
    </w:p>
    <w:p w14:paraId="38EB4F4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里可以先立一个反面，让“结束”不是什么变得清楚。现在对“分析终点”最流行的三种说法，都指着同一个方向：幸福、自我实现、自我关怀。积极心理学把幸福当成可以测量、可以训练的正向目标，人本主义把治疗的终点说成“成为一个人”，福柯晚期讲的“关注自我”（epimeleia heautou, cura sui），也是要主体回到对自身快感的经营[81]44。三家的路子各不相同，许诺的却是同一件东西：一个不再匮乏的主体，一个把自己拾掇齐整了的人。拉康派恰恰在这里跟他们分道。分析的终点不是匮乏被填平，而是主体终于不再假装那个匮乏能被填平——因为那个填不平的洞，正是欲望本身的位置。</w:t>
      </w:r>
    </w:p>
    <w:p w14:paraId="364CC31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这里补一句交代。第二章 2.1.2 引过拉康 1978 年的判断“这是一次彻底的失败”，也引过诺布斯的“没有像它被设计的那样运作”。失败针对的是装置的实际运行，抵抗针对的是装置的设计原则，而失败的原因在于设计原则拒绝向实际运行妥协。没有这句话，从第二章到本章的反转，就会被读成自相矛盾。</w:t>
      </w:r>
    </w:p>
    <w:p w14:paraId="39E50599">
      <w:pPr>
        <w:pStyle w:val="000008"/>
        <w:spacing w:before="100" w:beforeAutospacing="0" w:after="100" w:afterAutospacing="0"/>
        <w:rPr>
          <w:rFonts w:cs="宋体"/>
          <w:sz w:val="32"/>
          <w:szCs w:val="32"/>
        </w:rPr>
      </w:pPr>
      <w:r>
        <w:rPr>
          <w:rFonts w:hint="eastAsia" w:cs="宋体"/>
          <w:color w:val="333333"/>
          <w:sz w:val="32"/>
          <w:szCs w:val="32"/>
        </w:rPr>
        <w:t>3.5.2　方向二：社会维度不是外加内容</w:t>
      </w:r>
    </w:p>
    <w:p w14:paraId="221499E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这一方向容易被误读，所以先划边界：不是让分析家去做政治运动，也不是让分析家去读《资本论》。</w:t>
      </w:r>
    </w:p>
    <w:p w14:paraId="0B61B653">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这一方向说的是：在临床上不把社会维度的痛苦自动翻译成个体材料，这个“不翻译”本身就是反异化的实践。第二章 2.2.2 所论的“认知缺失”补一门政治经济学课解决不了，它要的是在临床位置上重新认识：当痛苦来自工时、雇佣、消费主义的自我期待时，不自动把它重编码为移情位置、个人历史与欲望困境。一个不肯把痛苦翻译成个人史的分析家，是不是就无话可说了？恰恰相反，他只是把话留在了原处。</w:t>
      </w:r>
    </w:p>
    <w:p w14:paraId="3E9C3B7C">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这并不是说分析家要替求助者改变工作条件；它说的是，症状的社会成因不能被从临床视野里抹掉。第二章已指出，北美技术路线在这一点上并非主动设限，而是从未接入[10]。</w:t>
      </w:r>
    </w:p>
    <w:p w14:paraId="0AA2D9C5">
      <w:pPr>
        <w:ind w:firstLine="440" w:firstLineChars="200"/>
      </w:pPr>
      <w:r>
        <w:rPr>
          <w:rFonts w:hint="eastAsia"/>
        </w:rPr>
        <w:t>这一方向既然是方向而不是技术，就必须回答一个问题：它能否被识别。督导、评审或另一个分析家读一份会谈记录，凭什么判断“这一次没有翻译”？若答不出，这一方向就只是作者的姿态，无法进入任何形式的检验。</w:t>
      </w:r>
    </w:p>
    <w:p w14:paraId="24890640">
      <w:pPr>
        <w:ind w:firstLine="440" w:firstLineChars="200"/>
      </w:pPr>
      <w:r>
        <w:rPr>
          <w:rFonts w:hint="eastAsia"/>
        </w:rPr>
        <w:t>可以给出三条判别点。它们不是操作步骤，是检验标志——步骤要求人做某件事，标志只要求人没有做某件事，因此与“减法”的逻辑一致。</w:t>
      </w:r>
    </w:p>
    <w:p w14:paraId="37C19B1E">
      <w:pPr>
        <w:ind w:firstLine="440" w:firstLineChars="200"/>
      </w:pPr>
      <w:r>
        <w:rPr>
          <w:rFonts w:hint="eastAsia"/>
        </w:rPr>
        <w:t>其一，听到工时、雇佣、账单、平台推送、促销这类触发项时，不把它改写成主体早年个人史的片段（“这让你想起小时候……”）。改写一旦发生，触发项就被并入了个人史，社会维度随即从材料里消失。</w:t>
      </w:r>
    </w:p>
    <w:p w14:paraId="1968ADE2">
      <w:pPr>
        <w:ind w:firstLine="440" w:firstLineChars="200"/>
      </w:pPr>
      <w:r>
        <w:rPr>
          <w:rFonts w:hint="eastAsia"/>
        </w:rPr>
        <w:t>其二，不替它生成一个心理学的最终归因。可以描述这个处境，可以问它如何被经历，但不把它收束为“这其实是你与父亲的关系”这样一句结案式的解释；归因一旦给出，处境就变成了症状的注脚。</w:t>
      </w:r>
    </w:p>
    <w:p w14:paraId="5FE384BA">
      <w:pPr>
        <w:ind w:firstLine="440" w:firstLineChars="200"/>
      </w:pPr>
      <w:r>
        <w:rPr>
          <w:rFonts w:hint="eastAsia"/>
        </w:rPr>
        <w:t>其三，结案时不把它从“待解释”清单里勾掉。一次分析可以结束，而这一项未被解释，这不是失败；把它勾掉才是——勾掉意味着框架宣称已经处理过它。</w:t>
      </w:r>
    </w:p>
    <w:p w14:paraId="3667B44E">
      <w:pPr>
        <w:ind w:firstLine="440" w:firstLineChars="200"/>
      </w:pPr>
      <w:r>
        <w:rPr>
          <w:rFonts w:hint="eastAsia"/>
        </w:rPr>
        <w:t>这三条都可以用逐字稿核对：改写有没有发生、归因有没有给出、清单上那一项有没有被划掉。它们不告诉你该说什么，只告诉你什么算没做到。</w:t>
      </w:r>
    </w:p>
    <w:p w14:paraId="437CDAEB">
      <w:pPr>
        <w:ind w:firstLine="440" w:firstLineChars="200"/>
      </w:pPr>
      <w:r>
        <w:rPr>
          <w:rFonts w:hint="eastAsia"/>
        </w:rPr>
        <w:t>第一章 1.1.2 借巴特勒指出，安提戈涅的困境在于她无法被城邦的规范所容纳。这里可以回收那条线：巴特勒问的是亲缘关系能否被规范容纳，本节问的是社会成因能否被框架容纳，两者是同一个结构问题的两个场合——都不是内容不够，而是没有位置。</w:t>
      </w:r>
    </w:p>
    <w:p w14:paraId="27E74742">
      <w:pPr>
        <w:pStyle w:val="000008"/>
        <w:spacing w:before="100" w:beforeAutospacing="0" w:after="100" w:afterAutospacing="0"/>
        <w:rPr>
          <w:rFonts w:cs="宋体"/>
          <w:sz w:val="32"/>
          <w:szCs w:val="32"/>
        </w:rPr>
      </w:pPr>
      <w:r>
        <w:rPr>
          <w:rFonts w:hint="eastAsia" w:cs="宋体"/>
          <w:color w:val="333333"/>
          <w:sz w:val="32"/>
          <w:szCs w:val="32"/>
        </w:rPr>
        <w:t>3.5.3　方向三：分析家的位置</w:t>
      </w:r>
    </w:p>
    <w:p w14:paraId="6EA5794E">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第二章 2.1.3 已经证明，逃离大学话语必然重新踏进去。因此重构并不是去幻想一个“外部”位置，它是承认自己在大学话语中运作：自己的知识、自己的训练、自己的认证，都是大学话语的产物。并且，他也在市场之内（3.3.3 已立）。</w:t>
      </w:r>
    </w:p>
    <w:p w14:paraId="5D2B865E">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中立性”这一自我理解的形式亟待点破。齐泽克论“选择总是元选择”时指出，当一切被化约为主体的个人选择，选择的内容已被清空，剩下的只是由我来选这一模态[34]521。分析家若把自身位置理解为“价值无涉的技术身份”，其结构等同于“我只是自由地选择了这个立场”：它并不否认立场，只是把立场移到了不可追问的模态上。很显然是，一句“这是我的选择”说出口，立场并没有消失，它只是换了个地方躲起来。</w:t>
      </w:r>
    </w:p>
    <w:p w14:paraId="69CEA6AD">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与此相对的一端是拉康本人的表述。“分析家的欲望”出自 1958 年的《治疗的方向及其力量的原则》[4]514，它要求分析家守住的是自己的欲望位置，而不是自己的中立性；而中立性在结构上正是那个模态层面的说法。</w:t>
      </w:r>
    </w:p>
    <w:p w14:paraId="37DD359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技术文本本身也给这一位置起了名字。芬克在描述分析的三个时刻时写道，分析家“扮起对象 a 的角色”，目的是把被分析者对大他者之欲望的解释，即基本幻象中的那种解释，重新置于问题之中，并使之发生转化[9]210。也就是说，分析家所占的并非一个中立的观察位，而是欲望之因的位置；他之所以能起作用，正在于他不假装站在欲望之外。这一表述把方向三从一句告诫变成了对位置的描述：承认自己在大学话语与市场之内，并不是要放弃分析家的位置，只是不要把这一位置说成中立。</w:t>
      </w:r>
    </w:p>
    <w:p w14:paraId="3C5D5CD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个承认本身就是反异化的：不假装临床是中立的、价值无涉的、纯粹个体的。本研究的立场，与传统马克思主义面对这一点时的判断并不冲突：问题不在个人的道德或觉悟，而是在生产关系与话语装置（“话术”）的安排上。</w:t>
      </w:r>
    </w:p>
    <w:p w14:paraId="64BF510F">
      <w:pPr>
        <w:pStyle w:val="000008"/>
        <w:spacing w:before="100" w:beforeAutospacing="0" w:after="100" w:afterAutospacing="0"/>
        <w:rPr>
          <w:rFonts w:cs="宋体"/>
          <w:sz w:val="32"/>
          <w:szCs w:val="32"/>
        </w:rPr>
      </w:pPr>
      <w:r>
        <w:rPr>
          <w:rFonts w:hint="eastAsia" w:cs="宋体"/>
          <w:color w:val="333333"/>
          <w:sz w:val="32"/>
          <w:szCs w:val="32"/>
        </w:rPr>
        <w:t>3.5.4　三个方向的共同前提</w:t>
      </w:r>
    </w:p>
    <w:p w14:paraId="1A95AC0E">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三个方向之所以是伦理要求而不是效率建议，前提是那个空缺不可被填补，这就是实在界的位置。如此，实在界，不是全章某一节的内容，它是全章的底线。</w:t>
      </w:r>
    </w:p>
    <w:p w14:paraId="7AF6555F">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反浪漫化在此有决定性的依据。齐泽克在视差模式的清单中给出：“拉康的实在界并不具有积极—实体的一致性，而只是它的众多视角之间的分裂”[34]9。实在界不是某种可被占有、可被释放、可被动员的正面实体，它就是分裂本身。“实在界的潜能释放”这一提法因此站不住。</w:t>
      </w:r>
    </w:p>
    <w:p w14:paraId="573617DE">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援用齐泽克因此是有选择的，这一点是对本研究自身的约束。斯塔瓦拉基斯批评齐泽克的“行动”政治“过分强调了人类行动不受限制的（实在的）积极性，而不曾认真登记缺失与有限性”，其后果是“用事件／行动即奇迹的正面政治，取代了拉康理论核心的正负辩证法”[37]110。也就是说，笔者批评“把实在界当作解放资源”，而这一批评所依据的东西部分来自齐泽克本人；但齐泽克自己的“行动”概念有滑向这种浪漫化的危险；因此本章取齐泽克的视差与缺口结构，不取他的“行动即奇迹”。需要说明的是，被截断的这一部分在齐泽克那里并非旁枝。汉语学界对它的位置有明确判断：林哲元把“行动”（Act）称为“齐泽克整个激进政治理论的核心”，并指出它是拉康精神分析学与激进政治理论之间的“关键链接点”[67]220-221。正因为它在他的体系里占据这个位置，把它整体搬进临床才格外危险：在理论文本里，行动的不可能性由结构承担；一旦落到诊室，它很容易被读成分析家手上的一件东西。这里要守住的一个分寸是：这是斯塔瓦拉基斯的判断，不宜记在齐泽克名下。</w:t>
      </w:r>
    </w:p>
    <w:p w14:paraId="513E915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把这个选择写成条目会更清楚些。本研究从齐泽克那里取用的有三件：视差结构（两个层面不可被调和为更高统一体）、剩余价值与剩余快感的同构、以及资本主义话语对四种话语循环的中断。三件都是结构性工具，给出之后可以被用于与他本人的政治结论无关的分析，本章 3.3 与 3.4 即如此使用。本研究截断的也有三件：以“行动”为断裂形态的政治学、把原乐读作解放资源的倾向、以及把理论批判直接当作临床指南的做法。截断的理由是同一条：凡是把那个不可填补的空缺重新变成一个可以与之站在一起的位置的读法，都重复了本文所要批评的那个动作。因此，这一取舍不是趣味上的偏好，它与 3.5.4 所立判据相一致。</w:t>
      </w:r>
    </w:p>
    <w:p w14:paraId="685998F4">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节还有一条判据可用。齐泽克区分了“构成性的存有论过度”与“淫荡的过度补充”：淫荡过度是“例外之过度，例外支撑着‘常态性’”；构成性的过度则是“纯粹的”过度，“没有任何预设的常态性”[34]492。由此得到一条判据：当过度需要一个“常态”作对立面时才成立，它就是被秩序所要求的那个例外；只有不与任何常态相对的过度，才是不可填补的那个空缺。把实在界当作解放资源，正是把构成性的过度误读成了淫荡式的补充，即把“不可填补”偷换成一个可被挪用的例外。</w:t>
      </w:r>
    </w:p>
    <w:p w14:paraId="504DC24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实在界同时是恐怖所在。这一层与第一章 1.1.2 对安提戈涅的分析呼应：那个硬核不在“善”这一边，它是一处拒绝。其当代形态之一，齐泽克称为“原我邪恶”（Id-Evil），它并非出于功利或意识形态的合理化，它“由自我与原乐的关系中的最基本的不平衡刺激起来的”，由“快乐和处于快乐核心地带的原乐之外来物这两者间存在的张力”结构起来的[34]476。</w:t>
      </w:r>
    </w:p>
    <w:p w14:paraId="5221E38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齐泽克指出“意识形态原教旨主义与自由享乐主义的严格对称：它们全都将焦点集中于实在界”[34]494——把实在界当成事业（自由享乐主义）与把它当作教条（原教旨主义），是同一种短路的两面；因此 3.5.2 不能被读成“站到原乐那一边”。</w:t>
      </w:r>
    </w:p>
    <w:p w14:paraId="79225016">
      <w:pPr>
        <w:pStyle w:val="000007"/>
        <w:spacing w:before="100" w:beforeAutospacing="0" w:after="100" w:afterAutospacing="0"/>
        <w:rPr>
          <w:rFonts w:cs="宋体"/>
          <w:sz w:val="32"/>
          <w:szCs w:val="32"/>
        </w:rPr>
      </w:pPr>
      <w:bookmarkStart w:id="16" w:name="_Toc243148902"/>
      <w:r>
        <w:rPr>
          <w:rFonts w:hint="eastAsia" w:cs="宋体"/>
          <w:color w:val="333333"/>
          <w:sz w:val="32"/>
          <w:szCs w:val="32"/>
        </w:rPr>
        <w:t>3.6　本研究的立场或倾向</w:t>
      </w:r>
      <w:bookmarkEnd w:id="16"/>
    </w:p>
    <w:p w14:paraId="346755FA">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本章能够立住两点。</w:t>
      </w:r>
    </w:p>
    <w:p w14:paraId="7B5A269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一是拉康文本里的政治化接口可以证成，但它始终只是接口。从接口到系统批判的那一步是齐泽克做的，而这一步的性质是拓展，不是复述。</w:t>
      </w:r>
    </w:p>
    <w:p w14:paraId="4C86853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二是“反异化”的准确含义是抵抗特定形式的异化，而不是消除异化本身；它的操作形式是“不填补缺口”，这一形式与“不要在欲望的问题上让步”同构。</w:t>
      </w:r>
    </w:p>
    <w:p w14:paraId="5FB117E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至于这三个方向在真实临床中是否可辨，这一章回答不了。下一章以已发表的拉康取向临床文本作回溯性分析，检验“不翻译”与“位置承认”是否在既有案例中留下痕迹。</w:t>
      </w:r>
    </w:p>
    <w:p w14:paraId="27EE9DA2">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齐泽克的资源是理论接口，而非临床指南，把他的一些通俗式写作当技术规范读是读错了文体；材料的方面，接下来这一章只取已发表文本，不引入新的临床材料。</w:t>
      </w:r>
    </w:p>
    <w:p w14:paraId="082229D8">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前面三个方向都是否定式的：不填补、不翻译、不假装。否定句有它的代价，它说清了本研究不做什么，却尚未直白地说清本研究站在什么位置。</w:t>
      </w:r>
    </w:p>
    <w:p w14:paraId="21ABFCB7">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一，笔者接受拉康的伦理内核：伦理选择的锚点在符号秩序无法吸收的硬核上，因此“向欲望让步”就是把那个硬核重新翻译为可被承认的内容。但拉康把社会结构留在了括号里——他的“大他者”是语言的场所，不是劳动组织与资本逻辑。本研究在这一处不跟随他。理由是在资本主义条件下，那个不可象征化的硬核所遭遇的不只是语言的必然剥夺，它还遭遇一种系统性的重新编码。资本主义话语所做的，正是把结构性的东西改写成个人的选择、个人的偏好、个人的失败；因此拒绝翻译既是一个临床姿态，同时也是一个政治立场。但得承认，这一步推论不是从拉康文本里来的，它是加上去的；本研究不照猫画虎声称“回到拉康”。</w:t>
      </w:r>
    </w:p>
    <w:p w14:paraId="5E0AC9A0">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第二，与国内既有讨论的关系。第一章 1.1.1 曾指出，赵淳的讨论落在拉康伦理内部的自洽，即“普通人伦理”与“英雄伦理”的悖论能否被其批判性内核消解。那是文本阐释内部的工作，有它的价值，本研究不重复它。笔者多走的一步是：把“存在偏离”这一判断从伦理命题推进为一个制度命题，并指出它的可核验形态。也就是说，不只说拉康伦理与后世临床之间有张力，而是指出这一张力由谁在制度上承担、以什么替代物被填补（第二章 2.1.4 的结论），以及它在临床材料里留下什么痕迹（第四章）。这一步之所以是关键，是因为只有它能把“偏差”从一种感受变成一件可被检验的事。</w:t>
      </w:r>
    </w:p>
    <w:p w14:paraId="5EE5F47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第三，反全球资本主义在这一研究中的含义。这一点需要与两种常见写法区分开。一种写法是把社会维度当作应当在临床中“加上”的内容：既然痛苦有社会成因，那就把社会批判也算进诊疗的一部分。笔者不这样看。加法的前提是承认现有框架已经把该有的部分处理好了，只是漏掉一块。本研究的判断更靠前一步：把痛苦个体化这件事本身，就是资本主义话语的一项成果，而不是它的遗漏。资本主义话语的运作方式，是把结构性的东西重新编码为个人的选择、个人的失败；临床若把痛苦个体化，在结构上就不是“还没跟上”，它是在替这套编码站台。</w:t>
      </w:r>
    </w:p>
    <w:p w14:paraId="36E03DF1">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这一判断也重新定位了本研究对“妥协论”的批判。妥协论之所以是一种认知闭合，不在于它低估了困难，而在于它把这一效果读成了执业风险下的无奈，它把一项正在运转的意识形态成果，误认为一个专业内部的权衡。第一章 1.2.2 与第二章 2.1.4 所论的那次“替代”，因此不能被读成一个技术上的两难。</w:t>
      </w:r>
    </w:p>
    <w:p w14:paraId="53B50FAE">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由此，所谓的“反”的含义也要自我限定。反全球资本主义在本研究里不主张一套替代方案，那已经超出本文的范围；它要求的是一件更窄、也更硬的事：拒绝在这套编码之外再替它补上一份自洽的说明。这套编码最大的本事，是把反抗也做成一个可以选购的选项；而只要临床还为那个不能被执行、不能被计价、不能被结案的东西留着一个位置，它就仍然堵在那里，没有被消化掉。要留住的，正是第一章 1.1.2 所立的那个硬核。</w:t>
      </w:r>
    </w:p>
    <w:p w14:paraId="64276AD6">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正因如此，在坚定地喊出对全球资本主义的反对之声（口号）以后，笔者进一步所反对的不是某一项政策，它是一种形式：把一切变得可结算的形式。这个形式并不凶恶，它甚至很体贴，它给每个人都备好一份可以自己算清的账，然后要人照着这笔账活下去。</w:t>
      </w:r>
    </w:p>
    <w:p w14:paraId="573A91C5">
      <w:pPr>
        <w:pStyle w:val="000012"/>
        <w:widowControl w:val="1"/>
        <w:spacing w:before="60" w:after="60"/>
        <w:ind w:firstLine="420"/>
        <w:rPr>
          <w:rFonts w:hint="eastAsia" w:ascii="黑体" w:hAnsi="黑体" w:eastAsia="黑体" w:cs="黑体"/>
          <w:sz w:val="22"/>
          <w:szCs w:val="22"/>
        </w:rPr>
      </w:pPr>
      <w:r>
        <w:rPr>
          <w:rFonts w:hint="eastAsia" w:ascii="黑体" w:hAnsi="黑体" w:eastAsia="黑体" w:cs="黑体"/>
          <w:color w:val="333333"/>
          <w:sz w:val="22"/>
          <w:szCs w:val="22"/>
        </w:rPr>
        <w:t>汤姆希奇对资本主义话语机制的说明依旧可以为这一点作结：它不挪动要素，只挪动结构位置，其根基是对“总体化之不可能性”的排除。[36]220 也就是说，它所排除的正是那个不可被纳入结算的剩余。而只要临床仍然为那个剩余保留一个位置，抵抗就已经开始，无须等到它取得某种政治形式。以上的倾向或者立场，远非对拉康的注释，也更不构成对他文本的解释。它仅仅是本研究的判断，其依据是拉康文本中保留的接口，加上齐泽克的拓展；而这一组装与合并本身，同样是需要被读者群体检验的。</w:t>
      </w:r>
    </w:p>
    <w:p w14:paraId="7CF72055">
      <w:pPr>
        <w:ind w:firstLine="440" w:firstLineChars="200"/>
        <w:rPr>
          <w:rFonts w:hint="eastAsia" w:ascii="黑体" w:hAnsi="黑体" w:eastAsia="黑体" w:cs="黑体"/>
        </w:rPr>
      </w:pPr>
    </w:p>
    <w:p w14:paraId="2FA0610E">
      <w:pPr>
        <w:pStyle w:val="000006"/>
        <w:spacing w:before="100" w:beforeAutospacing="0" w:after="100" w:afterAutospacing="0"/>
      </w:pPr>
      <w:bookmarkStart w:id="17" w:name="_Toc243148903"/>
      <w:r>
        <w:rPr>
          <w:rFonts w:hint="eastAsia"/>
          <w:color w:val="333333"/>
          <w:sz w:val="44"/>
          <w:szCs w:val="44"/>
        </w:rPr>
        <w:t>第四章　一个症状读两遍：消费主义成瘾的两种读法</w:t>
      </w:r>
      <w:bookmarkEnd w:id="17"/>
    </w:p>
    <w:p w14:paraId="36B81973">
      <w:pPr>
        <w:pStyle w:val="000012"/>
        <w:widowControl w:val="1"/>
        <w:spacing w:before="60" w:after="60"/>
        <w:ind w:firstLine="420"/>
      </w:pPr>
      <w:r>
        <w:rPr>
          <w:rFonts w:hint="eastAsia"/>
          <w:color w:val="333333"/>
          <w:sz w:val="22"/>
          <w:szCs w:val="22"/>
        </w:rPr>
        <w:t>本章要做的事情是：把一个症状拿过来读两遍。第一遍按现存拉康派技术框架读，第二遍按第三章我们所确立的重构框架读。下面把这两遍分别称为第一种读法和第二种读法，它们二者之间谈不上对与错，只是所要抵达的终点不同。这里需要先把本章的学科位置交代清楚。这是一篇哲学论文的第四章，不是一项临床研究：本章不设对照组，不做量化，不做随访，也不直接判断任何一种读法的疗效。本章所用的材料全部是已发表的文本，不会引入任何新的临床材料。</w:t>
      </w:r>
    </w:p>
    <w:p w14:paraId="4FB50F91">
      <w:pPr>
        <w:pStyle w:val="000012"/>
        <w:widowControl w:val="1"/>
        <w:spacing w:before="60" w:after="60"/>
        <w:ind w:firstLine="420"/>
      </w:pPr>
      <w:r>
        <w:rPr>
          <w:rFonts w:hint="eastAsia"/>
          <w:color w:val="333333"/>
          <w:sz w:val="22"/>
          <w:szCs w:val="22"/>
        </w:rPr>
        <w:t>本章承接前三章的结论并将它们放到一个具体症状上跑一遍。第一章 1.2.2 与 1.2.3 立起了“未承接”，并明确把“消费主义成瘾”举为最容易被翻译成个体材料的症状；第二章 2.1.1 与 2.2.2 给出了这一未承接的制度解释，即“结束”的判据被时长、双方同意与功能判据所替代，而训练没有提供把社会成因写进临床的语汇。第三章 3.5 给出了三个重构方向，其中第二个方向就是“不把社会维度的痛苦自动翻译成个体材料”。要检验的是：这句话落到一个具体症状上究竟会是什么样子。四章至此构成一个闭环：第一章在文本上指认偏离的形态，第二章在制度上说明它如何被再生产，第三章给出重构的方向，本章让这些方向在一处症状上“显形”。</w:t>
      </w:r>
    </w:p>
    <w:p w14:paraId="70230FC1">
      <w:pPr>
        <w:pStyle w:val="000007"/>
        <w:spacing w:before="100" w:beforeAutospacing="0" w:after="100" w:afterAutospacing="0"/>
      </w:pPr>
      <w:bookmarkStart w:id="18" w:name="_Toc243148904"/>
      <w:r>
        <w:rPr>
          <w:rFonts w:hint="eastAsia"/>
          <w:color w:val="333333"/>
          <w:sz w:val="32"/>
          <w:szCs w:val="32"/>
        </w:rPr>
        <w:t>4.0　方法及本章的限度</w:t>
      </w:r>
      <w:bookmarkEnd w:id="18"/>
    </w:p>
    <w:p w14:paraId="0C205667">
      <w:pPr>
        <w:pStyle w:val="000012"/>
        <w:widowControl w:val="1"/>
        <w:spacing w:before="60" w:after="60"/>
        <w:ind w:firstLine="420"/>
      </w:pPr>
      <w:r>
        <w:rPr>
          <w:rFonts w:hint="eastAsia"/>
          <w:color w:val="333333"/>
          <w:sz w:val="22"/>
          <w:szCs w:val="22"/>
        </w:rPr>
        <w:t>拿一个症状读两遍是本章方法所在。第一章所说的“未承接”与第三章所说的“重新接入”，如果只停在概念上，两边都可以各自陈述而不发生接触；把它们放到同一个症状上，差别才有可指认的落点。两种读法的性质不同，这处差别得写在前面，不能留到章末补救。</w:t>
      </w:r>
    </w:p>
    <w:p w14:paraId="4F9F677D">
      <w:pPr>
        <w:pStyle w:val="000012"/>
        <w:widowControl w:val="1"/>
        <w:spacing w:before="60" w:after="60"/>
        <w:ind w:firstLine="420"/>
      </w:pPr>
      <w:r>
        <w:rPr>
          <w:rFonts w:hint="eastAsia"/>
          <w:color w:val="333333"/>
          <w:sz w:val="22"/>
          <w:szCs w:val="22"/>
        </w:rPr>
        <w:t>第一种读法的结论要强一些，它有两个独立依据：技术教材自身的议程可以引到具体页码，中文文献对这一类症状的实际写法可以检索核验。就“现行框架不把社会维度作为分析对象”这个判断而言，它是有文本支撑的。第二种读法的结论要弱一些。它只展示一种读法可以被生成，既不证明它在实践中可行，也不证明它对求助者会更好。本章对第二种读法，所做的只是一次示范，而非一次验证。</w:t>
      </w:r>
    </w:p>
    <w:p w14:paraId="3151F77C">
      <w:pPr>
        <w:pStyle w:val="000012"/>
        <w:widowControl w:val="1"/>
        <w:spacing w:before="60" w:after="60"/>
        <w:ind w:firstLine="420"/>
      </w:pPr>
      <w:r>
        <w:rPr>
          <w:rFonts w:hint="eastAsia"/>
          <w:color w:val="333333"/>
          <w:sz w:val="22"/>
          <w:szCs w:val="22"/>
        </w:rPr>
        <w:t>此处还有一处边界要提前说明一下：本章出现否定性的结果不等于本章失败。如果这两遍读下来，社会维度在第一种读法中被系统性地翻译掉，那么第二章 2.2.2 的诊断就在案例材料上获得又一次印证；如果反而发现有材料保留了这一维度，那同样是重要发现，因而本章不预设任何结论。</w:t>
      </w:r>
    </w:p>
    <w:p w14:paraId="3090180E">
      <w:pPr>
        <w:pStyle w:val="000007"/>
        <w:spacing w:before="100" w:beforeAutospacing="0" w:after="100" w:afterAutospacing="0"/>
      </w:pPr>
      <w:bookmarkStart w:id="19" w:name="_Toc243148905"/>
      <w:r>
        <w:rPr>
          <w:rFonts w:hint="eastAsia"/>
          <w:color w:val="333333"/>
          <w:sz w:val="32"/>
          <w:szCs w:val="32"/>
        </w:rPr>
        <w:t>4.1　症状的选择与方法的辨明</w:t>
      </w:r>
      <w:bookmarkEnd w:id="19"/>
    </w:p>
    <w:p w14:paraId="22F799EB">
      <w:pPr>
        <w:pStyle w:val="000008"/>
        <w:spacing w:before="100" w:beforeAutospacing="0" w:after="100" w:afterAutospacing="0"/>
      </w:pPr>
      <w:r>
        <w:rPr>
          <w:rFonts w:hint="eastAsia"/>
          <w:color w:val="333333"/>
          <w:sz w:val="32"/>
          <w:szCs w:val="32"/>
        </w:rPr>
        <w:t>4.1.1　为什么是这一个</w:t>
      </w:r>
    </w:p>
    <w:p w14:paraId="0FD89521">
      <w:pPr>
        <w:pStyle w:val="000012"/>
        <w:widowControl w:val="1"/>
        <w:spacing w:before="60" w:after="60"/>
        <w:ind w:firstLine="420"/>
      </w:pPr>
      <w:r>
        <w:rPr>
          <w:rFonts w:hint="eastAsia"/>
          <w:color w:val="333333"/>
          <w:sz w:val="22"/>
          <w:szCs w:val="22"/>
        </w:rPr>
        <w:t>本章取的是一个症状类型，不是某一位求助者的临床病例，也不是文献里的某个个案：消费主义成瘾。选择它的理由有两条，且互为条件。</w:t>
      </w:r>
    </w:p>
    <w:p w14:paraId="02DDD4C8">
      <w:pPr>
        <w:pStyle w:val="000012"/>
        <w:widowControl w:val="1"/>
        <w:spacing w:before="60" w:after="60"/>
        <w:ind w:firstLine="420"/>
      </w:pPr>
      <w:r>
        <w:rPr>
          <w:rFonts w:hint="eastAsia"/>
          <w:color w:val="333333"/>
          <w:sz w:val="22"/>
          <w:szCs w:val="22"/>
        </w:rPr>
        <w:t>第一，它的社会成因最明显。这一类痛苦与劳动组织、雇佣的不稳定、“你就是你所消费的东西”这一身份逻辑直接相关。它不像是那种需要在理论上绕很多弯才能接上社会结构的症状；它的社会成因是摆在明面上的。斯塔夫拉卡基斯（Yannis Stavrakakis）在讨论消费主义的快感政治时下过一个判断：消费主义在今天取得的支配地位，“若不同时认真对待欲望与享乐这两条轴，就得不到解释”[37]228。这一判断为第一条理由补了一句理论上的说明：本章取这个症状，不只是因为它与社会结构的距离短，还因为它把欲望与享乐之间的关系摆在了明处。第二，它在现存临床中最熟练地被翻译为个体问题。正因为它看上去最像“个人的自控问题”，它才最容易被完整地处理成 shopping addiction、冲动控制障碍、情绪调节困难。第一章 1.2.2 所举的就是这一类：“分析家完全可以在不提及资本的情况下，把这一症状处理得既专业又完整。”</w:t>
      </w:r>
    </w:p>
    <w:p w14:paraId="13389C34">
      <w:pPr>
        <w:pStyle w:val="000012"/>
        <w:widowControl w:val="1"/>
        <w:spacing w:before="60" w:after="60"/>
        <w:ind w:firstLine="420"/>
      </w:pPr>
      <w:r>
        <w:rPr>
          <w:rFonts w:hint="eastAsia"/>
          <w:color w:val="333333"/>
          <w:sz w:val="22"/>
          <w:szCs w:val="22"/>
        </w:rPr>
        <w:t>两条理由合起来，使这个症状成为本章所需的样本：社会成因最明显，而临床翻译最熟练。一个症状如果社会成因隐晦，用它来检验“未承接”就没有说服力；如果一个症状在临床中不被翻译，那也就不存在要检验的东西，而这个症状正好同时满足两个条件。一边是病灶亮在皮肤上，一边是医生的药方永远开在别处——两样凑齐，才能是最好的标本。</w:t>
      </w:r>
    </w:p>
    <w:p w14:paraId="7DCD3C6C">
      <w:pPr>
        <w:pStyle w:val="000008"/>
        <w:spacing w:before="100" w:beforeAutospacing="0" w:after="100" w:afterAutospacing="0"/>
      </w:pPr>
      <w:r>
        <w:rPr>
          <w:rFonts w:hint="eastAsia"/>
          <w:color w:val="333333"/>
          <w:sz w:val="32"/>
          <w:szCs w:val="32"/>
        </w:rPr>
        <w:t>4.1.2　两种读法的对话者</w:t>
      </w:r>
    </w:p>
    <w:p w14:paraId="459401A8">
      <w:pPr>
        <w:pStyle w:val="000012"/>
        <w:widowControl w:val="1"/>
        <w:spacing w:before="60" w:after="60"/>
        <w:ind w:firstLine="420"/>
      </w:pPr>
      <w:r>
        <w:rPr>
          <w:rFonts w:hint="eastAsia"/>
          <w:color w:val="333333"/>
          <w:sz w:val="22"/>
          <w:szCs w:val="22"/>
        </w:rPr>
        <w:t>两种读法的对话者并不相同，这关系到本章的可检验程度。第一种读法的对话者是明确的：一是第一章所取的样本路线，即以芬克所代表的技术教材路线；二是可查的中文文献，即国内对这一类症状的既有写法。二者都是可以引到页码或查到的文本。第二种读法没有现成的对话者。它是笔者依第三章所立的重构方向作的一次读法示范。这也是 4.0 中那处强度不对称的由来：第一种读法是在陈述既有文本的实际做法，第二种读法是在生成一种读法。</w:t>
      </w:r>
    </w:p>
    <w:p w14:paraId="5A105EC6">
      <w:pPr>
        <w:pStyle w:val="000008"/>
        <w:spacing w:before="100" w:beforeAutospacing="0" w:after="100" w:afterAutospacing="0"/>
      </w:pPr>
      <w:r>
        <w:rPr>
          <w:rFonts w:hint="eastAsia"/>
          <w:color w:val="333333"/>
          <w:sz w:val="32"/>
          <w:szCs w:val="32"/>
        </w:rPr>
        <w:t>4.1.3　方法的名字：征候读法及其本义</w:t>
      </w:r>
    </w:p>
    <w:p w14:paraId="4110BC7A">
      <w:pPr>
        <w:pStyle w:val="000012"/>
        <w:widowControl w:val="1"/>
        <w:spacing w:before="60" w:after="60"/>
        <w:ind w:firstLine="420"/>
      </w:pPr>
      <w:r>
        <w:rPr>
          <w:rFonts w:hint="eastAsia"/>
          <w:color w:val="333333"/>
          <w:sz w:val="22"/>
          <w:szCs w:val="22"/>
        </w:rPr>
        <w:t>本章所用的方法有一个名字，而它的本义需要先辨明，因为它决定了本章应当把方法用在何处。</w:t>
      </w:r>
    </w:p>
    <w:p w14:paraId="3A1B7966">
      <w:pPr>
        <w:pStyle w:val="000012"/>
        <w:widowControl w:val="1"/>
        <w:spacing w:before="60" w:after="60"/>
        <w:ind w:firstLine="420"/>
      </w:pPr>
      <w:r>
        <w:rPr>
          <w:rFonts w:hint="eastAsia"/>
          <w:color w:val="333333"/>
          <w:sz w:val="22"/>
          <w:szCs w:val="22"/>
        </w:rPr>
        <w:t>阿尔都塞在《读〈资本论〉》中提出了他称为“征候读法”的阅读方式（“征候”二字从《读〈资本论〉》中译本；张一兵在汉语学界另译作“症候阅读”，指同一方法，本章下文统一用“征候读法”）。他给出的定义是：</w:t>
      </w:r>
    </w:p>
    <w:p w14:paraId="4B0D192B">
      <w:pPr>
        <w:pStyle w:val="000012"/>
        <w:widowControl w:val="1"/>
        <w:spacing w:before="60" w:after="60"/>
        <w:ind w:firstLine="420"/>
      </w:pPr>
      <w:r>
        <w:rPr>
          <w:rFonts w:hint="eastAsia"/>
          <w:color w:val="333333"/>
          <w:sz w:val="22"/>
          <w:szCs w:val="22"/>
        </w:rPr>
        <w:t>所谓征候读法就是在同一运动中，把所读的文章本身中被掩盖的东西揭示出来并且使之与另一篇文章发生联系，而这另一篇文章作为必然的不出现存在于前一篇文章中。[41]21</w:t>
      </w:r>
    </w:p>
    <w:p w14:paraId="508B5BAA">
      <w:pPr>
        <w:pStyle w:val="000012"/>
        <w:widowControl w:val="1"/>
        <w:spacing w:before="60" w:after="60"/>
        <w:ind w:firstLine="420"/>
      </w:pPr>
      <w:r>
        <w:rPr>
          <w:rFonts w:hint="eastAsia"/>
          <w:color w:val="333333"/>
          <w:sz w:val="22"/>
          <w:szCs w:val="22"/>
        </w:rPr>
        <w:t>关键在于，被掩盖的东西不是被作者遗漏的。阿尔都塞讲得很明确：这些对象和问题“是看不见的东西，因为它们理所当然地从看得见的领域被排挤出来”；而这些新的对象和问题在这一领域的瞬时的出现……不知不觉地消失，并且在真正意义上成为不可觉察的空缺，因为领域的全部职能恰恰就在于不看到这些对象和问题，阻止看到它们。[41]18</w:t>
      </w:r>
    </w:p>
    <w:p w14:paraId="0D4868D2">
      <w:pPr>
        <w:pStyle w:val="000012"/>
        <w:widowControl w:val="1"/>
        <w:spacing w:before="60" w:after="60"/>
        <w:ind w:firstLine="420"/>
      </w:pPr>
      <w:r>
        <w:rPr>
          <w:rFonts w:hint="eastAsia"/>
          <w:color w:val="333333"/>
          <w:sz w:val="22"/>
          <w:szCs w:val="22"/>
        </w:rPr>
        <w:t>也就是说，沉默算不上疏忽，它是结构的效果：一套问题体系的全部职能，就在于不看到某些对象。可见与不可见不是作者的注意力问题，它是问题体系自身的产物。</w:t>
      </w:r>
    </w:p>
    <w:p w14:paraId="2DE9EE85">
      <w:pPr>
        <w:pStyle w:val="000012"/>
        <w:widowControl w:val="1"/>
        <w:spacing w:before="60" w:after="60"/>
        <w:ind w:firstLine="420"/>
      </w:pPr>
      <w:r>
        <w:rPr>
          <w:rFonts w:hint="eastAsia"/>
          <w:color w:val="333333"/>
          <w:sz w:val="22"/>
          <w:szCs w:val="22"/>
        </w:rPr>
        <w:t>汉语学界对这一方法的专题解读可以把它讲得更实。张一兵指出，由于问题式是一种“隐性的理论构架”，要把它“从一个思想家的思想深处和文本中挖掘出来，一般的研究和阅读法是绝对无效的，惟一的通道只是‘症候阅读法’”[73]63。与征候读法相对的，是阿尔都塞所否定的那种阅读，张一兵把它称作“无辜的阅读”：它假设读者“不加任何外来因素地直接看到作者所表达的全部东西”。与此相反的是“有罪的阅读”，因为“任何人的阅读只是在一定的知识背景或生活阅历中负载自己主观投射地看”[73]64。他的结论给得很直白：“‘白板’式的无辜阅读纯属子虚乌有”，阅读总是负载着“一定理论构架”，即问题式统摄下的阅读[73]71。</w:t>
      </w:r>
    </w:p>
    <w:p w14:paraId="027040EF">
      <w:pPr>
        <w:pStyle w:val="000012"/>
        <w:widowControl w:val="1"/>
        <w:spacing w:before="60" w:after="60"/>
        <w:ind w:firstLine="420"/>
      </w:pPr>
      <w:r>
        <w:rPr>
          <w:rFonts w:hint="eastAsia"/>
          <w:color w:val="333333"/>
          <w:sz w:val="22"/>
          <w:szCs w:val="22"/>
        </w:rPr>
        <w:t>这一步补的是因果的方向。看不见某样东西，原因不在材料里漏掉了它，而在提问的方式不允许它出现。</w:t>
      </w:r>
    </w:p>
    <w:p w14:paraId="2777B16B">
      <w:pPr>
        <w:pStyle w:val="000012"/>
        <w:widowControl w:val="1"/>
        <w:spacing w:before="60" w:after="60"/>
        <w:ind w:firstLine="420"/>
      </w:pPr>
      <w:r>
        <w:rPr>
          <w:rFonts w:hint="eastAsia"/>
          <w:color w:val="333333"/>
          <w:sz w:val="22"/>
          <w:szCs w:val="22"/>
        </w:rPr>
        <w:t>由此可以确定本章应当怎样使用这个方法。</w:t>
      </w:r>
    </w:p>
    <w:p w14:paraId="35DE303D">
      <w:pPr>
        <w:ind w:firstLine="440" w:firstLineChars="200"/>
      </w:pPr>
      <w:r>
        <w:rPr>
          <w:rFonts w:hint="eastAsia"/>
        </w:rPr>
        <w:t>把征候读法用在一个症状上，与用在文献上不是同一件事，这处差别要先说清。一个症状不是一个文本：它没有被写下来，没有段落，没有章节，也没有一个作者在那里安排它的可见与不可见。因此用在症状上的时候，借来的是这个方法的姿态，不是它的全部机械。</w:t>
      </w:r>
    </w:p>
    <w:p w14:paraId="27ED60E3">
      <w:pPr>
        <w:ind w:firstLine="440" w:firstLineChars="200"/>
      </w:pPr>
      <w:r>
        <w:rPr>
          <w:rFonts w:hint="eastAsia"/>
        </w:rPr>
        <w:t>但姿态也不是空的。症状同样是被结构决定的东西：它由能指网络所规定，它的重复有它的必然性，它同样在看不见某样东西——求助者看不见自己的处境如何被生产，正如文本看不见自己的问题式。就这一点说，症状与文本共享同一个结构：看得见的东西由看不见的秩序所安排。</w:t>
      </w:r>
    </w:p>
    <w:p w14:paraId="58AABE4D">
      <w:pPr>
        <w:ind w:firstLine="440" w:firstLineChars="200"/>
      </w:pPr>
      <w:r>
        <w:rPr>
          <w:rFonts w:hint="eastAsia"/>
        </w:rPr>
        <w:t>因此本章把这一方法用两次，两次的对象不同，各自能拿到的东西也不同。用于症状（4.2 与 4.3 的两种读法），拿到的是对象的重新描述：同一批材料在两种读法下显出两个不同的对象。用于文献（4.5），拿到的是一个可验证的文本命题：格式如何决定了什么能被写进去。后者的证据更硬，前者的覆盖面更宽；本章两样都要，因为只有放在一起，才能说明“未承接”既落在临床的对象里，也落在文献的写法里。</w:t>
      </w:r>
    </w:p>
    <w:p w14:paraId="29538802">
      <w:pPr>
        <w:ind w:firstLine="440" w:firstLineChars="200"/>
      </w:pPr>
      <w:r>
        <w:rPr>
          <w:rFonts w:hint="eastAsia"/>
        </w:rPr>
        <w:t>这一辨明同时定下一个判据：要找的并不是“分析家漏掉了社会维度”；要找的是，什么东西使得社会维度无法被写出来。这两种问法的差别，正是征候读法与其他读法的差别。</w:t>
      </w:r>
    </w:p>
    <w:p w14:paraId="04958E1F">
      <w:pPr>
        <w:pStyle w:val="000007"/>
        <w:spacing w:before="100" w:beforeAutospacing="0" w:after="100" w:afterAutospacing="0"/>
      </w:pPr>
      <w:bookmarkStart w:id="20" w:name="_Toc243148906"/>
      <w:r>
        <w:rPr>
          <w:rFonts w:hint="eastAsia"/>
          <w:color w:val="333333"/>
          <w:sz w:val="32"/>
          <w:szCs w:val="32"/>
        </w:rPr>
        <w:t>4.2　第一种读法：现存技术框架</w:t>
      </w:r>
      <w:bookmarkEnd w:id="20"/>
    </w:p>
    <w:p w14:paraId="7879E31F">
      <w:pPr>
        <w:pStyle w:val="000008"/>
        <w:spacing w:before="100" w:beforeAutospacing="0" w:after="100" w:afterAutospacing="0"/>
      </w:pPr>
      <w:r>
        <w:rPr>
          <w:rFonts w:hint="eastAsia"/>
          <w:color w:val="333333"/>
          <w:sz w:val="32"/>
          <w:szCs w:val="32"/>
        </w:rPr>
        <w:t>4.2.1　读法本身</w:t>
      </w:r>
    </w:p>
    <w:p w14:paraId="770B0E60">
      <w:pPr>
        <w:pStyle w:val="000012"/>
        <w:widowControl w:val="1"/>
        <w:spacing w:before="60" w:after="60"/>
        <w:ind w:firstLine="420"/>
      </w:pPr>
      <w:r>
        <w:rPr>
          <w:rFonts w:hint="eastAsia"/>
          <w:color w:val="333333"/>
          <w:sz w:val="22"/>
          <w:szCs w:val="22"/>
        </w:rPr>
        <w:t>第一种读法是本研究依照技术教材的议程整理的。在这里需要交代一处证据归属上的表述：下面的五步不是对某一份已发表案例的复述，它们是从技术规范中整理出来的操作序列。每一步都落到具体页码上；第一种读法需要被写得尽可能善意：它是这一框架内做得最好的样子，不是一个供人打倒的靶子。这一种读法写得越强，下一节那处缺口的分量才越大。起点在求诊的时刻。芬克对这一时刻的界定本身就很有分量：求诊被理解为一个人惯常获取享乐的方式发生了断裂。用他的话说，</w:t>
      </w:r>
    </w:p>
    <w:p w14:paraId="7E336B49">
      <w:pPr>
        <w:pStyle w:val="000012"/>
        <w:widowControl w:val="1"/>
        <w:spacing w:before="60" w:after="60"/>
        <w:ind w:firstLine="420"/>
      </w:pPr>
      <w:r>
        <w:rPr>
          <w:rFonts w:hint="eastAsia"/>
          <w:color w:val="333333"/>
          <w:sz w:val="22"/>
          <w:szCs w:val="22"/>
        </w:rPr>
        <w:t>求诊的时刻因而可以被理解为一个时刻：这个人惯常获取享乐的方式发生了断裂。这是一场“享乐危机”。那个提供享乐的症状不再奏效，或已受到威胁。[9]9</w:t>
      </w:r>
    </w:p>
    <w:p w14:paraId="15A7DDD0">
      <w:pPr>
        <w:pStyle w:val="000012"/>
        <w:widowControl w:val="1"/>
        <w:spacing w:before="60" w:after="60"/>
        <w:ind w:firstLine="420"/>
      </w:pPr>
      <w:r>
        <w:rPr>
          <w:rFonts w:hint="eastAsia"/>
          <w:color w:val="333333"/>
          <w:sz w:val="22"/>
          <w:szCs w:val="22"/>
        </w:rPr>
        <w:t>紧接着的一句对本章尤其要紧：来求诊的人并不要求解除症状，而是要求恢复症状此前的效力——他们要的是“一套用来修理旧装置的补丁工具”。[9]9 这个细节后面 4.3 还要用到。很显然是，来的人不是要拆掉那台机器，是要找个人把机器修好，好让它继续转。</w:t>
      </w:r>
    </w:p>
    <w:p w14:paraId="63F525A3">
      <w:pPr>
        <w:pStyle w:val="000012"/>
        <w:widowControl w:val="1"/>
        <w:spacing w:before="60" w:after="60"/>
        <w:ind w:firstLine="420"/>
      </w:pPr>
      <w:r>
        <w:rPr>
          <w:rFonts w:hint="eastAsia"/>
          <w:color w:val="333333"/>
          <w:sz w:val="22"/>
          <w:szCs w:val="22"/>
        </w:rPr>
        <w:t>在此之后，第一种读法的操作是这样展开的。</w:t>
      </w:r>
    </w:p>
    <w:p w14:paraId="4EB1DD71">
      <w:pPr>
        <w:pStyle w:val="000012"/>
        <w:widowControl w:val="1"/>
        <w:spacing w:before="60" w:after="60"/>
        <w:ind w:firstLine="420"/>
      </w:pPr>
      <w:r>
        <w:rPr>
          <w:rFonts w:hint="eastAsia"/>
          <w:color w:val="333333"/>
          <w:sz w:val="22"/>
          <w:szCs w:val="22"/>
        </w:rPr>
        <w:t>第一步，定位移情。移情关系的边界如何控制、分析家被投射为何种角色、分析关系中的要求如何处理，是《拉康派精神分析临床导论》第三章整章的内容。[9]28-41 在这一步上，分析家要保持解释的多义性，避免让求助者把自己固定为某一立场的化身。[9]47</w:t>
      </w:r>
    </w:p>
    <w:p w14:paraId="1889223A">
      <w:pPr>
        <w:pStyle w:val="000012"/>
        <w:widowControl w:val="1"/>
        <w:spacing w:before="60" w:after="60"/>
        <w:ind w:firstLine="420"/>
      </w:pPr>
      <w:r>
        <w:rPr>
          <w:rFonts w:hint="eastAsia"/>
          <w:color w:val="333333"/>
          <w:sz w:val="22"/>
          <w:szCs w:val="22"/>
        </w:rPr>
        <w:t>第二步，追溯个人史。求助者带来的是父母话语中“并非说给他们听”的那些片段；分析的工作是使这些片段变得可读。[9]206-207 这一步在技术规范里对应的是倾听、提问与标点：分析家不对内容作单义的规定，而是让求助者自己的联想把材料组织起来。[9]42-49</w:t>
      </w:r>
    </w:p>
    <w:p w14:paraId="5FF2CD4E">
      <w:pPr>
        <w:pStyle w:val="000012"/>
        <w:widowControl w:val="1"/>
        <w:spacing w:before="60" w:after="60"/>
        <w:ind w:firstLine="420"/>
      </w:pPr>
      <w:r>
        <w:rPr>
          <w:rFonts w:hint="eastAsia"/>
          <w:color w:val="333333"/>
          <w:sz w:val="22"/>
          <w:szCs w:val="22"/>
        </w:rPr>
        <w:t>第三步，定位欲望困境。解释的目标是“击中实在界”，也就是求助者反复绕着走却始终无法成形的那一点。[9]47-48</w:t>
      </w:r>
    </w:p>
    <w:p w14:paraId="00BB190F">
      <w:pPr>
        <w:pStyle w:val="000012"/>
        <w:widowControl w:val="1"/>
        <w:spacing w:before="60" w:after="60"/>
        <w:ind w:firstLine="420"/>
      </w:pPr>
      <w:r>
        <w:rPr>
          <w:rFonts w:hint="eastAsia"/>
          <w:color w:val="333333"/>
          <w:sz w:val="22"/>
          <w:szCs w:val="22"/>
        </w:rPr>
        <w:t>第四步，处理享乐纠缠。症状之所以顽固，是因为它在某一处提供了绕道的满足；分析要做的是解开欲望与享乐之间形成的纽结[9]216。</w:t>
      </w:r>
    </w:p>
    <w:p w14:paraId="24BD0142">
      <w:pPr>
        <w:pStyle w:val="000012"/>
        <w:widowControl w:val="1"/>
        <w:spacing w:before="60" w:after="60"/>
        <w:ind w:firstLine="420"/>
      </w:pPr>
      <w:r>
        <w:rPr>
          <w:rFonts w:hint="eastAsia"/>
          <w:color w:val="333333"/>
          <w:sz w:val="22"/>
          <w:szCs w:val="22"/>
        </w:rPr>
        <w:t>第五步，给出分析的方向。这是终点所在，芬克的表述很清楚：</w:t>
      </w:r>
    </w:p>
    <w:p w14:paraId="01E60C49">
      <w:pPr>
        <w:pStyle w:val="000012"/>
        <w:widowControl w:val="1"/>
        <w:spacing w:before="60" w:after="60"/>
        <w:ind w:firstLine="420"/>
      </w:pPr>
      <w:r>
        <w:rPr>
          <w:rFonts w:hint="eastAsia"/>
          <w:color w:val="333333"/>
          <w:sz w:val="22"/>
          <w:szCs w:val="22"/>
        </w:rPr>
        <w:t>现在相反，当主体被看作驱力时，对神经症者做临床的精神分析，其目标在于转化那个支撑其欲望的幻象，因为这一欲望妨碍了他对满足的追求。被分析者必须不再依据大他者的要求或欲望、而是依据那个带来满足的部分对象来重构自身：对象 a。[9]209</w:t>
      </w:r>
    </w:p>
    <w:p w14:paraId="7171FA30">
      <w:pPr>
        <w:pStyle w:val="000012"/>
        <w:widowControl w:val="1"/>
        <w:spacing w:before="60" w:after="60"/>
        <w:ind w:firstLine="420"/>
      </w:pPr>
      <w:r>
        <w:rPr>
          <w:rFonts w:hint="eastAsia"/>
          <w:color w:val="333333"/>
          <w:sz w:val="22"/>
          <w:szCs w:val="22"/>
        </w:rPr>
        <w:t>与之相应的，是他对“结束”的表述：分析结束时，被分析者“对阉割、对被牺牲掉的那份享乐的态度发生了改变，而那个失落的对象最终被放弃”；这一放弃并非出于认命，它是拉康所说的“突然的翻转”，是基本幻象的一次重构。[9]70-71</w:t>
      </w:r>
    </w:p>
    <w:p w14:paraId="3C97E556">
      <w:pPr>
        <w:pStyle w:val="000012"/>
        <w:widowControl w:val="1"/>
        <w:spacing w:before="60" w:after="60"/>
        <w:ind w:firstLine="420"/>
      </w:pPr>
      <w:r>
        <w:rPr>
          <w:rFonts w:hint="eastAsia"/>
          <w:color w:val="333333"/>
          <w:sz w:val="22"/>
          <w:szCs w:val="22"/>
        </w:rPr>
        <w:t>这一终点与正常化无关。芬克在别处反复申明，它不意味着被分析者变成一台不停追求快乐的机器，也不意味着满足变成强制性的；它只是使满足成为可能的、被许可的。[9]211 第一章 1.2.2 已经指出过：把这一路线批判为“把求助者缝合回现存秩序”是没有文本依据的。这里再重申一次，因为第一种读法得是它自己的样子。</w:t>
      </w:r>
    </w:p>
    <w:p w14:paraId="2A45D79B">
      <w:pPr>
        <w:pStyle w:val="000012"/>
        <w:widowControl w:val="1"/>
        <w:spacing w:before="60" w:after="60"/>
        <w:ind w:firstLine="420"/>
      </w:pPr>
      <w:r>
        <w:rPr>
          <w:rFonts w:hint="eastAsia"/>
          <w:color w:val="333333"/>
          <w:sz w:val="22"/>
          <w:szCs w:val="22"/>
        </w:rPr>
        <w:t>五步到此走完。就这套框架自身的标准而言，这些处理全部成立：移情被定位了，个人史被展开了，欲望困境被指认了，享乐纽结被解开了，分析也有了可陈述的方向。第一种读法不需要被指责为技术不足。</w:t>
      </w:r>
    </w:p>
    <w:p w14:paraId="546D1419">
      <w:pPr>
        <w:pStyle w:val="000008"/>
        <w:spacing w:before="100" w:beforeAutospacing="0" w:after="100" w:afterAutospacing="0"/>
      </w:pPr>
      <w:r>
        <w:rPr>
          <w:rFonts w:hint="eastAsia"/>
          <w:color w:val="333333"/>
          <w:sz w:val="32"/>
          <w:szCs w:val="32"/>
        </w:rPr>
        <w:t>4.2.2　这一读法在中文文献里的样子</w:t>
      </w:r>
    </w:p>
    <w:p w14:paraId="77A8E529">
      <w:pPr>
        <w:ind w:firstLine="440" w:firstLineChars="200"/>
      </w:pPr>
      <w:r>
        <w:rPr>
          <w:rFonts w:hint="eastAsia"/>
        </w:rPr>
        <w:t>第一种读法不只是教材里的议程，它同时有文献上的实际形态。以下所记出自一次分层抽样检索，不是穷尽式普查。检索以“强迫性购物”“购物成瘾”“网购成瘾”为主题词，按研究类型分层取样：元分析、调查研究、机制研究、干预研究各取被引较高、主题最贴合的代表作。取样的目的不是统计文献总量，而是看这一领域的写作在“成因”与“干预”两栏上究竟给出了什么。因此下面所记的是形态，不是比例；本节也不据此推断整个领域的分布。</w:t>
      </w:r>
    </w:p>
    <w:p w14:paraId="256C4D2F">
      <w:pPr>
        <w:pStyle w:val="000012"/>
        <w:widowControl w:val="1"/>
        <w:spacing w:before="60" w:after="60"/>
        <w:ind w:firstLine="420"/>
      </w:pPr>
      <w:r>
        <w:rPr>
          <w:rFonts w:hint="eastAsia"/>
          <w:color w:val="333333"/>
          <w:sz w:val="22"/>
          <w:szCs w:val="22"/>
        </w:rPr>
        <w:t>其一，分类位置。在世界卫生组织的 ICD-11 中，“强迫性购物障碍”被列入“其他特定冲动控制障碍”；DSM-5 也没有为它单设条目。两套体系都给了它一个位置，却都没有给它一个专名——它只能待在“其他”之下。分类位置上的这一处置已经说明了它的位阶：它是一个被承认、却不被单独命名的对象。</w:t>
      </w:r>
    </w:p>
    <w:p w14:paraId="46D9BE25">
      <w:pPr>
        <w:pStyle w:val="000012"/>
        <w:widowControl w:val="1"/>
        <w:spacing w:before="60" w:after="60"/>
        <w:ind w:firstLine="420"/>
      </w:pPr>
      <w:r>
        <w:rPr>
          <w:rFonts w:hint="eastAsia"/>
          <w:color w:val="333333"/>
          <w:sz w:val="22"/>
          <w:szCs w:val="22"/>
        </w:rPr>
        <w:t>其二，成因列表。现行文献通常把成因分为五类：神经生物学（多巴胺奖赏系统）／心理因素（情绪调节困难、自我价值感低、创伤性匮乏感）／社会文化因素（社会压力、身份认同、社会比较、广告与营销影响）／环境与科技因素（电商、移动支付乃至促销）／易感人群特征（18—30 岁，女性占约九成）。</w:t>
      </w:r>
    </w:p>
    <w:p w14:paraId="2A606284">
      <w:pPr>
        <w:pStyle w:val="000012"/>
        <w:widowControl w:val="1"/>
        <w:spacing w:before="60" w:after="60"/>
        <w:ind w:firstLine="420"/>
      </w:pPr>
      <w:r>
        <w:rPr>
          <w:rFonts w:hint="eastAsia"/>
          <w:color w:val="333333"/>
          <w:sz w:val="22"/>
          <w:szCs w:val="22"/>
        </w:rPr>
        <w:t>这一栏不是本研究归纳出来的。以物质主义与强迫性购物的关系为例，王洁、陈健芷与高爽对 36 篇文献（N=13073）作过元分析，结论是物质主义及其“幸福”“中心”“成功”三个维度对强迫性购物均有预测作用，其中“中心”维度的相关系数最高（0.58）[55]。物质主义是一种价值观，属于社会文化因素；它在这里被当作一个可以测量的自变量。要紧的是：社会文化因素在成因研究里不只是被口头承认，它被做成了可操作的量。</w:t>
      </w:r>
    </w:p>
    <w:p w14:paraId="4EB029F5">
      <w:pPr>
        <w:ind w:firstLine="440" w:firstLineChars="200"/>
      </w:pPr>
      <w:r>
        <w:rPr>
          <w:rFonts w:hint="eastAsia"/>
        </w:rPr>
        <w:t>另一项研究把这一点推得更远。赵杨、王志华与王林考察品牌忠诚与时间压力对强迫性购买的影响，把“时间压力”做成一个有系数的自变量[43]。时间压力当然是劳动组织的结果——加班、通勤、考核周期，没有一样是个人自己安排的；但在这项研究里，它被测量为个体所感受到的压力强度。也就是说，社会性的条件在这里并没有被否认，它是被换算成了个体感知的读数。这与本节开头所说的“成因栏承认社会文化因素”是同一件事的两种形态：承认它在场，同时把它处理成个体变量。</w:t>
      </w:r>
    </w:p>
    <w:p w14:paraId="57468B32">
      <w:pPr>
        <w:pStyle w:val="000012"/>
        <w:widowControl w:val="1"/>
        <w:spacing w:before="60" w:after="60"/>
        <w:ind w:firstLine="420"/>
      </w:pPr>
      <w:r>
        <w:rPr>
          <w:rFonts w:hint="eastAsia"/>
          <w:color w:val="333333"/>
          <w:sz w:val="22"/>
          <w:szCs w:val="22"/>
        </w:rPr>
        <w:t>国内一项针对福建六所高校 1000 名大学生的调查另给过一组基数：总体检出率 8.401%，其中“网购后的负面情绪”得分最高；女生、独生子女、文史类学生的得分显著更高；网购年龄越长、频率越高、消费总额越大者得分越高[56]。这组数据正好落在“易感人群特征”那一栏里：性别、年级、消费额都是个体或人口学变量，而“网购年龄”“频率”所指示的那套供给条件，在这里只作为背景出现。</w:t>
      </w:r>
    </w:p>
    <w:p w14:paraId="4856EC48">
      <w:pPr>
        <w:ind w:firstLine="440" w:firstLineChars="200"/>
      </w:pPr>
      <w:r>
        <w:rPr>
          <w:rFonts w:hint="eastAsia"/>
        </w:rPr>
        <w:t>其三，干预措施与社会因素的不对称。与上述五类成因相对，所检文献给出的干预项可以归为四类：个人自助（清单与预算、记账、不用信用卡、延迟购买、购物空窗期）／行为替代（运动、阅读、建立现实社交）／心理治疗（改变关于购物的认知与行为模式，元认知干预一类的技术即属此列[44]）／药物辅助。这一归类不是哪一篇文献的原表，它是对所检文献的综合；但四类的边界在文献里是清楚的，没有一类越出个体可操作的层面。</w:t>
      </w:r>
    </w:p>
    <w:p w14:paraId="49B36E4E">
      <w:pPr>
        <w:pStyle w:val="000012"/>
        <w:widowControl w:val="1"/>
        <w:spacing w:before="60" w:after="60"/>
        <w:ind w:firstLine="420"/>
      </w:pPr>
      <w:r>
        <w:rPr>
          <w:rFonts w:hint="eastAsia"/>
          <w:color w:val="333333"/>
          <w:sz w:val="22"/>
          <w:szCs w:val="22"/>
        </w:rPr>
        <w:t>把这两栏并置来看，已可看出一个初步的形态：社会文化因素在成因栏里被承认，在干预栏里没有对应项。社会成因被承认为诱因，却不在任何操作上被承接。一边在病历上写着“社会压力所致”，一边在处方上照旧开着“记账、延迟购买、药物辅助”——病理被念了一遍，药方里却没它的位置。</w:t>
      </w:r>
    </w:p>
    <w:p w14:paraId="039B929D">
      <w:pPr>
        <w:pStyle w:val="000012"/>
        <w:widowControl w:val="1"/>
        <w:spacing w:before="60" w:after="60"/>
        <w:ind w:firstLine="420"/>
      </w:pPr>
      <w:r>
        <w:rPr>
          <w:rFonts w:hint="eastAsia"/>
          <w:color w:val="333333"/>
          <w:sz w:val="22"/>
          <w:szCs w:val="22"/>
        </w:rPr>
        <w:t>这一结构与第二章 2.1.1 的发现完全一致。弗洛伊德承认在一个不公正的社会中“社会功能差”可能是合理的；芬克点名批评当代精神分析的正常化态度。两人的操作同样都不承接社会维度。同一个结构在两个不同的材料中各出现一次：一次在技术教材里，一次在中文文献里。第四章因此获得了一处独立于前三章的印证。</w:t>
      </w:r>
    </w:p>
    <w:p w14:paraId="02543036">
      <w:pPr>
        <w:pStyle w:val="000008"/>
        <w:spacing w:before="100" w:beforeAutospacing="0" w:after="100" w:afterAutospacing="0"/>
      </w:pPr>
      <w:r>
        <w:rPr>
          <w:rFonts w:hint="eastAsia"/>
          <w:color w:val="333333"/>
          <w:sz w:val="32"/>
          <w:szCs w:val="32"/>
        </w:rPr>
        <w:t>4.2.3　缺口：五步走完而社会结构未被触碰</w:t>
      </w:r>
    </w:p>
    <w:p w14:paraId="72CA2A4E">
      <w:pPr>
        <w:pStyle w:val="000012"/>
        <w:widowControl w:val="1"/>
        <w:spacing w:before="60" w:after="60"/>
        <w:ind w:firstLine="420"/>
      </w:pPr>
      <w:r>
        <w:rPr>
          <w:rFonts w:hint="eastAsia"/>
          <w:color w:val="333333"/>
          <w:sz w:val="22"/>
          <w:szCs w:val="22"/>
        </w:rPr>
        <w:t>现在可以指出缺口了，而这一缺口有分析家本人的明文，用不着本研究去推。</w:t>
      </w:r>
    </w:p>
    <w:p w14:paraId="50C5F65C">
      <w:pPr>
        <w:pStyle w:val="000012"/>
        <w:widowControl w:val="1"/>
        <w:spacing w:before="60" w:after="60"/>
        <w:ind w:firstLine="420"/>
      </w:pPr>
      <w:r>
        <w:rPr>
          <w:rFonts w:hint="eastAsia"/>
          <w:color w:val="333333"/>
          <w:sz w:val="22"/>
          <w:szCs w:val="22"/>
        </w:rPr>
        <w:t>第一章 1.2.2 已经引过芬克 1997 年那本书里的一句话，这里只作回指：治疗者一旦成为某一特定视角的化身，即“社会的、经济的、政治的”与“精神分析的”并列被点名，那么无论求助者赞成还是反对它，它都妨碍治疗的进展。[9]47 同书在界定符号关系时，把社会机构与身份标识列入“大他者的理想”：理想由父母、学校、媒体、语言与社会一般灌输，体现为成绩、文凭、身份符号。[9]33 社会是被承认的，但它只是主体对它采取姿态的对象，不在分析所要处理的结构里。</w:t>
      </w:r>
    </w:p>
    <w:p w14:paraId="55891A49">
      <w:pPr>
        <w:pStyle w:val="000012"/>
        <w:widowControl w:val="1"/>
        <w:spacing w:before="60" w:after="60"/>
        <w:ind w:firstLine="420"/>
      </w:pPr>
      <w:r>
        <w:rPr>
          <w:rFonts w:hint="eastAsia"/>
          <w:color w:val="333333"/>
          <w:sz w:val="22"/>
          <w:szCs w:val="22"/>
        </w:rPr>
        <w:t>同一路线的另一部技术手册留下了同一姿态的更晚一份记录。在《精神分析技术的基础》第九章里，芬克把心理学连同精神分析一起归入“商品服务的行列”，批评当下的实践者“把帮助患者在商品社会当中（在我们当今的全球资本主义的形式中）拥有更好的表现”作为目标；他点明“高功能／低功能”这类用语的代价——使用它们时，“关于个人和社会之间的关系的，所有伦理和政治的观点，似乎都被置之度外了”。[10]223-225 而全章结尾处，他拒绝裁决的理由是政治上无法取得一致意见，临床工作者只能“根据大多数理论家的信仰，做出道德判断而已”。[10]234 第一章 1.2.2 已就这一处作过分析，这里只补一句：十年之后，这一姿态没有发生变化。</w:t>
      </w:r>
    </w:p>
    <w:p w14:paraId="07C24DD2">
      <w:pPr>
        <w:pStyle w:val="000012"/>
        <w:widowControl w:val="1"/>
        <w:spacing w:before="60" w:after="60"/>
        <w:ind w:firstLine="420"/>
      </w:pPr>
      <w:r>
        <w:rPr>
          <w:rFonts w:hint="eastAsia"/>
          <w:color w:val="333333"/>
          <w:sz w:val="22"/>
          <w:szCs w:val="22"/>
        </w:rPr>
        <w:t>也就是说，走完五步之后，求助者所处的劳动组织、雇佣状况、消费主义意识形态、身份逻辑，仍然不在议程之内，这算不上第一种读法做错了什么，是社会不在它的对象清单上。五步都走完了，求助者还是那个求助者，可他身上究竟有什么没被问到？这个问题不急着答，先把它记在那儿。</w:t>
      </w:r>
    </w:p>
    <w:p w14:paraId="443028F6">
      <w:pPr>
        <w:pStyle w:val="000008"/>
        <w:spacing w:before="100" w:beforeAutospacing="0" w:after="100" w:afterAutospacing="0"/>
      </w:pPr>
      <w:r>
        <w:rPr>
          <w:rFonts w:hint="eastAsia"/>
          <w:color w:val="333333"/>
          <w:sz w:val="32"/>
          <w:szCs w:val="32"/>
        </w:rPr>
        <w:t>4.2.4　技术教材提供的一份实录</w:t>
      </w:r>
    </w:p>
    <w:p w14:paraId="06A03DA3">
      <w:pPr>
        <w:pStyle w:val="000012"/>
        <w:widowControl w:val="1"/>
        <w:spacing w:before="60" w:after="60"/>
        <w:ind w:firstLine="420"/>
      </w:pPr>
      <w:r>
        <w:rPr>
          <w:rFonts w:hint="eastAsia"/>
          <w:color w:val="333333"/>
          <w:sz w:val="22"/>
          <w:szCs w:val="22"/>
        </w:rPr>
        <w:t>到这里为止，第一种读法仍可能被读成本研究构造出来的读法，但这不必争，因为技术教材自己提供了一份实录。芬克《拉康派精神分析临床导论》第八章有两个详细个案，其中一个是强迫症结构的男性，化名 Robert。[9]135-145</w:t>
      </w:r>
    </w:p>
    <w:p w14:paraId="4C6948A4">
      <w:pPr>
        <w:pStyle w:val="000012"/>
        <w:widowControl w:val="1"/>
        <w:spacing w:before="60" w:after="60"/>
        <w:ind w:firstLine="420"/>
      </w:pPr>
      <w:r>
        <w:rPr>
          <w:rFonts w:hint="eastAsia"/>
          <w:color w:val="333333"/>
          <w:sz w:val="22"/>
          <w:szCs w:val="22"/>
        </w:rPr>
        <w:t>先交代一处错位，否则本节会被读错。Robert 不是消费主义成瘾的个案。他的结构是强迫症，材料里没有购物成瘾；本节用它，是因为技术教材里只有这一份详细到可以逐字引的实录。它要证明的不是“第一种读法如何处理消费主义成瘾”，它要证明的是：在经济处境作为求诊触发事件时，第一种读法的翻译机制如何运作。因此它与 4.2.2 所记的文献形态是两件互不依赖的证据，不能合成一件：一处在案例叙述上，一处在期刊写作上。</w:t>
      </w:r>
    </w:p>
    <w:p w14:paraId="7E149EC8">
      <w:pPr>
        <w:ind w:firstLine="440" w:firstLineChars="200"/>
      </w:pPr>
      <w:r>
        <w:rPr>
          <w:rFonts w:hint="eastAsia"/>
        </w:rPr>
        <w:t>从检验的角度说，这个个案取的是最硬的一种情形：触发事件是经济性的，而且发生在求诊当天，社会维度以最直接的方式在场。如果翻译在这样的材料上照样发生，那么它在社会性更隐晦的材料上只会更彻底。换句话说，这不是一个方便的例子，是一个最难的例子；难的过了，容易的不必再试。</w:t>
      </w:r>
    </w:p>
    <w:p w14:paraId="781C4B60">
      <w:pPr>
        <w:pStyle w:val="000012"/>
        <w:widowControl w:val="1"/>
        <w:spacing w:before="60" w:after="60"/>
        <w:ind w:firstLine="420"/>
      </w:pPr>
      <w:r>
        <w:rPr>
          <w:rFonts w:hint="eastAsia"/>
          <w:color w:val="333333"/>
          <w:sz w:val="22"/>
          <w:szCs w:val="22"/>
        </w:rPr>
        <w:t>个案的交代方式本身就值得逐字读：</w:t>
      </w:r>
    </w:p>
    <w:p w14:paraId="7084914A">
      <w:pPr>
        <w:pStyle w:val="000012"/>
        <w:widowControl w:val="1"/>
        <w:spacing w:before="60" w:after="60"/>
        <w:ind w:firstLine="420"/>
      </w:pPr>
      <w:r>
        <w:rPr>
          <w:rFonts w:hint="eastAsia"/>
          <w:color w:val="333333"/>
          <w:sz w:val="22"/>
          <w:szCs w:val="22"/>
        </w:rPr>
        <w:t>他早就想接受治疗，最后是在一个危机时刻决定的；这场危机涉及若干因素，其中最主要的是他和一位朋友创办的公司正在垮掉——他觉得自己要为此负责，因为这是由他自己的能力不足和惰性造成的。他第一次来见我的当天就辞去了联合董事的职务，并且接受了此后要作为朋友的下属工作这一处境。[9]135</w:t>
      </w:r>
    </w:p>
    <w:p w14:paraId="28C6C7FC">
      <w:pPr>
        <w:pStyle w:val="000012"/>
        <w:widowControl w:val="1"/>
        <w:spacing w:before="60" w:after="60"/>
        <w:ind w:firstLine="420"/>
      </w:pPr>
      <w:r>
        <w:rPr>
          <w:rFonts w:hint="eastAsia"/>
          <w:color w:val="333333"/>
          <w:sz w:val="22"/>
          <w:szCs w:val="22"/>
        </w:rPr>
        <w:t>三点值得指出。</w:t>
      </w:r>
    </w:p>
    <w:p w14:paraId="6CF2CB03">
      <w:pPr>
        <w:pStyle w:val="000012"/>
        <w:widowControl w:val="1"/>
        <w:spacing w:before="60" w:after="60"/>
        <w:ind w:firstLine="420"/>
      </w:pPr>
      <w:r>
        <w:rPr>
          <w:rFonts w:hint="eastAsia"/>
          <w:color w:val="333333"/>
          <w:sz w:val="22"/>
          <w:szCs w:val="22"/>
        </w:rPr>
        <w:t>第一，求诊的触发事件是经济性的。公司面临破产、当天辞去联合董事、转为下属，这不是“社会背景”，这是具体的劳动处境变化，而且发生在求诊当天。若按第一章所立的尺度衡量，这是社会维度以最直接的方式进入了临床。</w:t>
      </w:r>
    </w:p>
    <w:p w14:paraId="39632255">
      <w:pPr>
        <w:pStyle w:val="000012"/>
        <w:widowControl w:val="1"/>
        <w:spacing w:before="60" w:after="60"/>
        <w:ind w:firstLine="420"/>
      </w:pPr>
      <w:r>
        <w:rPr>
          <w:rFonts w:hint="eastAsia"/>
          <w:color w:val="333333"/>
          <w:sz w:val="22"/>
          <w:szCs w:val="22"/>
        </w:rPr>
        <w:t>第二，患者自己已经把这一处境译成了个体属性。“因为他自己的能力不足和惰性”是患者自己的说法，而叙述原封不动地沿用了这一译法。这一处很关键：它说明翻译不是由分析家事后施加的，翻译在求助者开口时就已经发生了。第一种读法与求助者在这一译法上是重合的。</w:t>
      </w:r>
    </w:p>
    <w:p w14:paraId="2B28F49E">
      <w:pPr>
        <w:pStyle w:val="000012"/>
        <w:widowControl w:val="1"/>
        <w:spacing w:before="60" w:after="60"/>
        <w:ind w:firstLine="420"/>
      </w:pPr>
      <w:r>
        <w:rPr>
          <w:rFonts w:hint="eastAsia"/>
          <w:color w:val="333333"/>
          <w:sz w:val="22"/>
          <w:szCs w:val="22"/>
        </w:rPr>
        <w:t>第三，它随即被传记化。下一段写道：“他说，他无法行动的情形可以追溯到很久以前。”[9]136 一个当下的经济处境就此成为个人史中的一个长期问题。此后整章的材料都在个体结构与个人史上运行：拖延、“无限多的可能性”、无法投入任何单一活动、对女性的控制与无能——而公司、雇佣关系与下属位置此后再未作为分析对象出现。公司垮了这件事，进了一趟诊室，出来就变成了一段“很久以前”。</w:t>
      </w:r>
    </w:p>
    <w:p w14:paraId="5D3D0DCA">
      <w:pPr>
        <w:pStyle w:val="000012"/>
        <w:widowControl w:val="1"/>
        <w:spacing w:before="60" w:after="60"/>
        <w:ind w:firstLine="420"/>
      </w:pPr>
      <w:r>
        <w:rPr>
          <w:rFonts w:hint="eastAsia"/>
          <w:color w:val="333333"/>
          <w:sz w:val="22"/>
          <w:szCs w:val="22"/>
        </w:rPr>
        <w:t>这份个案的意义在于：第一种读法不需要本研究代为构造。芬克写下的个案本身就是这种读法的操作实录，“翻译”发生在文本之内，可以直接引原文对照。它与 4.2.2 所记的文献形态指向同一件事——一处在技术教材的案例里，一处在中文期刊论文的格式里。但两处的证据性质不同：个案是文本实录，可逐字复核；4.2.2 是有限抽样的形态描述，强度只到初步观察。并置可以，等量齐观不行。</w:t>
      </w:r>
    </w:p>
    <w:p w14:paraId="0A46E7A9">
      <w:pPr>
        <w:pStyle w:val="000007"/>
        <w:spacing w:before="100" w:beforeAutospacing="0" w:after="100" w:afterAutospacing="0"/>
      </w:pPr>
      <w:bookmarkStart w:id="21" w:name="_Toc243148907"/>
      <w:r>
        <w:rPr>
          <w:rFonts w:hint="eastAsia"/>
          <w:color w:val="333333"/>
          <w:sz w:val="32"/>
          <w:szCs w:val="32"/>
        </w:rPr>
        <w:t>4.3　第二种读法：重构框架</w:t>
      </w:r>
      <w:bookmarkEnd w:id="21"/>
    </w:p>
    <w:p w14:paraId="5D31F9BC">
      <w:pPr>
        <w:pStyle w:val="000008"/>
        <w:spacing w:before="100" w:beforeAutospacing="0" w:after="100" w:afterAutospacing="0"/>
      </w:pPr>
      <w:r>
        <w:rPr>
          <w:rFonts w:hint="eastAsia"/>
          <w:color w:val="333333"/>
          <w:sz w:val="32"/>
          <w:szCs w:val="32"/>
        </w:rPr>
        <w:t>4.3.1　起点：换读法而非加一层</w:t>
      </w:r>
    </w:p>
    <w:p w14:paraId="61469C1A">
      <w:pPr>
        <w:pStyle w:val="000012"/>
        <w:widowControl w:val="1"/>
        <w:spacing w:before="60" w:after="60"/>
        <w:ind w:firstLine="420"/>
      </w:pPr>
      <w:r>
        <w:rPr>
          <w:rFonts w:hint="eastAsia"/>
          <w:color w:val="333333"/>
          <w:sz w:val="22"/>
          <w:szCs w:val="22"/>
        </w:rPr>
        <w:t>第二种读法不是在个体读法外面再加一层社会批判。加一层的话，社会维度仍然是一个附加物，它被挂在原有读法的旁边，而那个读法本身没有变化。</w:t>
      </w:r>
    </w:p>
    <w:p w14:paraId="6CDF867B">
      <w:pPr>
        <w:pStyle w:val="000012"/>
        <w:widowControl w:val="1"/>
        <w:spacing w:before="60" w:after="60"/>
        <w:ind w:firstLine="420"/>
      </w:pPr>
      <w:r>
        <w:rPr>
          <w:rFonts w:hint="eastAsia"/>
          <w:color w:val="333333"/>
          <w:sz w:val="22"/>
          <w:szCs w:val="22"/>
        </w:rPr>
        <w:t>第二种读法改变的是症状本身的读法。以下四个切面按推进关系排列，每一层给出的是前一层尚未解释的那一点。</w:t>
      </w:r>
    </w:p>
    <w:p w14:paraId="5637123F">
      <w:pPr>
        <w:ind w:firstLine="440" w:firstLineChars="200"/>
      </w:pPr>
      <w:r>
        <w:rPr>
          <w:rFonts w:hint="eastAsia"/>
        </w:rPr>
        <w:t>进入这四层之前，有一处自反性的质疑必须先处理，否则它会跟着整节走。</w:t>
      </w:r>
    </w:p>
    <w:p w14:paraId="19C3D494">
      <w:pPr>
        <w:ind w:firstLine="440" w:firstLineChars="200"/>
      </w:pPr>
      <w:r>
        <w:rPr>
          <w:rFonts w:hint="eastAsia"/>
        </w:rPr>
        <w:t>4.2.3 引过芬克一句话：治疗者一旦成为某一特定视角的化身，“社会的、经济的、政治的”与“精神分析的”并列被点名，那么无论求助者赞成还是反对，它都妨碍治疗的进展[9]47。这句话被本章用来指出第一种读法的边界。可它同样指着第二种读法：如果分析家坚持把社会维度读进材料，他不也成了一个特定视角的化身？把劳动处境、消费指令、身份期待带进诊室，与把某种价值观带进诊室，差别究竟在哪里？</w:t>
      </w:r>
    </w:p>
    <w:p w14:paraId="08BEF581">
      <w:pPr>
        <w:ind w:firstLine="440" w:firstLineChars="200"/>
      </w:pPr>
      <w:r>
        <w:rPr>
          <w:rFonts w:hint="eastAsia"/>
        </w:rPr>
        <w:t>差别在于加法还是减法。成为视角的化身，是往材料里加东西：分析家带来一套解释，要求求助者接受它；无论接受还是抵抗，分析都被这套解释占住了。第二种读法做的是相反的动作：它不往材料里加，它只是不把已经在材料里的东西预先删掉。求助者说“这个月又刷爆了三张卡”，这句话里的三张卡、可赊的额度、还款的日期，本来就是材料的一部分；第一种读法要得到“冲动控制障碍”这个对象，得先把它们挪出去。第二种读法不挪。它没有增加一个视角，它拒绝执行一次删除。</w:t>
      </w:r>
    </w:p>
    <w:p w14:paraId="20DD1122">
      <w:pPr>
        <w:ind w:firstLine="440" w:firstLineChars="200"/>
      </w:pPr>
      <w:r>
        <w:rPr>
          <w:rFonts w:hint="eastAsia"/>
        </w:rPr>
        <w:t>这一区分不是文字游戏。加法的分析家必须说服，因此他需要一个可传授的学说；减法的分析家不需要说服，他只需要不先动手。前者会形成学派，后者不会。这同时解释了第二种读法为什么给不出操作手册（4.3.5 会说到这一点）：一份手册必然是加法，因为能被写下来的只能是“要做什么”，而“不做什么”写不成步骤。</w:t>
      </w:r>
    </w:p>
    <w:p w14:paraId="5BE712D3">
      <w:pPr>
        <w:pStyle w:val="000008"/>
        <w:spacing w:before="100" w:beforeAutospacing="0" w:after="100" w:afterAutospacing="0"/>
      </w:pPr>
      <w:r>
        <w:rPr>
          <w:rFonts w:hint="eastAsia"/>
          <w:color w:val="333333"/>
          <w:sz w:val="32"/>
          <w:szCs w:val="32"/>
        </w:rPr>
        <w:t>4.3.2　第一层推进：为什么“买了还是空虚”能够成立</w:t>
      </w:r>
    </w:p>
    <w:p w14:paraId="4ACA21D0">
      <w:pPr>
        <w:pStyle w:val="000012"/>
        <w:widowControl w:val="1"/>
        <w:spacing w:before="60" w:after="60"/>
        <w:ind w:firstLine="420"/>
      </w:pPr>
      <w:r>
        <w:rPr>
          <w:rFonts w:hint="eastAsia"/>
          <w:color w:val="333333"/>
          <w:sz w:val="22"/>
          <w:szCs w:val="22"/>
        </w:rPr>
        <w:t>第一层的进展在于解释强迫性本身。用第一种读法的语言说，求助者的症状是“控制不住自己”；但这句话没有解释为什么控制不住。</w:t>
      </w:r>
    </w:p>
    <w:p w14:paraId="477FF763">
      <w:pPr>
        <w:pStyle w:val="000012"/>
        <w:widowControl w:val="1"/>
        <w:spacing w:before="60" w:after="60"/>
        <w:ind w:firstLine="420"/>
      </w:pPr>
      <w:r>
        <w:rPr>
          <w:rFonts w:hint="eastAsia"/>
          <w:color w:val="333333"/>
          <w:sz w:val="22"/>
          <w:szCs w:val="22"/>
        </w:rPr>
        <w:t>一个不能停止的循环为什么成立，剩余快感这一概念给出的是解释。消费行为组织的不是满足，它组织的是循环：那个对象 a 永远达不到，因此购买永远不能完成它被指望完成的事。买完之后等来的不是满足，是空虚加焦虑；而不买也一样焦虑，这个不能停止的循环就是剩余快感的运行形态。</w:t>
      </w:r>
    </w:p>
    <w:p w14:paraId="13426E1B">
      <w:pPr>
        <w:ind w:firstLine="440" w:firstLineChars="200"/>
      </w:pPr>
      <w:r>
        <w:rPr>
          <w:rFonts w:hint="eastAsia"/>
        </w:rPr>
        <w:t>这一循环为什么不饱和，鲍德里亚给过一个社会层面的说明。他把消费的无限性从需求那里挪开了。《消费社会》里说，消费的基本特点就是它的“无限”（illimité）特点，“用某种需求和满足理论无法解释的那一面”——因为按使用价值来算，饱和的界限立刻就会达到，可实际发生的恰恰相反。他给出的解释是符号区分：每个符号都要参照其他符号才成其意义，而“这使得它始终要参照其他符号，使得消费者始终不满意”[89]42。换句话说，循环停不下来，不是因为人的欲望天生无穷，而是因为符号系统本身没有终点：一个符号的意义永远由它与其他符号的差别给出，差别链不闭合，满足就没有落点。</w:t>
      </w:r>
    </w:p>
    <w:p w14:paraId="7686ACD0">
      <w:pPr>
        <w:ind w:firstLine="440" w:firstLineChars="200"/>
      </w:pPr>
      <w:r>
        <w:rPr>
          <w:rFonts w:hint="eastAsia"/>
        </w:rPr>
        <w:t>这与剩余快感并不冲突，两者说的是同一件事的两层：剩余快感描述主体这一侧的“永远达不到”，符号区分描述社会这一侧的“永远不闭合”。消费主义成瘾之所以稳定，正因为这两层扣在了一起——主体结构上的空，恰好由社会结构上的不闭合来持续供料。第三章 3.3 论剩余快感与剩余价值的同构，着眼的是经济那一端；这里补的是符号那一端。</w:t>
      </w:r>
    </w:p>
    <w:p w14:paraId="27A0B1CF">
      <w:pPr>
        <w:pStyle w:val="000012"/>
        <w:widowControl w:val="1"/>
        <w:spacing w:before="60" w:after="60"/>
        <w:ind w:firstLine="420"/>
      </w:pPr>
      <w:r>
        <w:rPr>
          <w:rFonts w:hint="eastAsia"/>
          <w:color w:val="333333"/>
          <w:sz w:val="22"/>
          <w:szCs w:val="22"/>
        </w:rPr>
        <w:t>这一点巴塔耶早已用另一套语汇说过一遍。在讨论“耗费”时他指出，这类活动的重点“任何情况下”都是损失，“损失必须尽可能最大化，以使活动获取它真正的意义”[75]25。消费被指望的从来不是获得：如果获得是目的，买到手的那一刻循环就该停下来，而它没有停。买完之后到来的空虚，恰好说明这个动作真正完成的是损失。很显然是，一个人如果真是为了“得到”，那么包裹到手的一刻就该收工；可他没停，说明他追的从来不是包裹。</w:t>
      </w:r>
    </w:p>
    <w:p w14:paraId="5AD20A9E">
      <w:pPr>
        <w:pStyle w:val="000012"/>
        <w:widowControl w:val="1"/>
        <w:spacing w:before="60" w:after="60"/>
        <w:ind w:firstLine="420"/>
      </w:pPr>
      <w:r>
        <w:rPr>
          <w:rFonts w:hint="eastAsia"/>
          <w:color w:val="333333"/>
          <w:sz w:val="22"/>
          <w:szCs w:val="22"/>
        </w:rPr>
        <w:t>有一处词的构造支持这一读法。plus-de-jouir 中的 plus 同时是“更多的享乐”与“不再有享乐”。[36]64 也就是说，剩余快感这一概念内部就带着“多出”与“没有”两义；它算不上快感的额外奖励，它是快感结构中那个不能兑现的剩余。</w:t>
      </w:r>
    </w:p>
    <w:p w14:paraId="46EE46FC">
      <w:pPr>
        <w:pStyle w:val="000012"/>
        <w:widowControl w:val="1"/>
        <w:spacing w:before="60" w:after="60"/>
        <w:ind w:firstLine="420"/>
      </w:pPr>
      <w:r>
        <w:rPr>
          <w:rFonts w:hint="eastAsia"/>
          <w:color w:val="333333"/>
          <w:sz w:val="22"/>
          <w:szCs w:val="22"/>
        </w:rPr>
        <w:t>汉语学界有一处直截的表述。韩振江的概括是：“剩余快感就是对象 a”；对象 a 之所以成立，在于它是原质快感的剩余，是“符号界的能指链中脱落下来的残余，是带着象征意义的不可被符号化的东西”，它本身不是一个实际的物品，只有在想像中与身份焦虑联系起来才成为对象 a[64]220。这一表述把本节所说的“多出一块而又不能被兑现”落在了对象 a 这个位置上。</w:t>
      </w:r>
    </w:p>
    <w:p w14:paraId="3E26077D">
      <w:pPr>
        <w:pStyle w:val="000012"/>
        <w:widowControl w:val="1"/>
        <w:spacing w:before="60" w:after="60"/>
        <w:ind w:firstLine="420"/>
      </w:pPr>
      <w:r>
        <w:rPr>
          <w:rFonts w:hint="eastAsia"/>
          <w:color w:val="333333"/>
          <w:sz w:val="22"/>
          <w:szCs w:val="22"/>
        </w:rPr>
        <w:t>齐泽克在这一线上提供了几处直接的表述。他谈到“原乐政治”，并指出“被允许的原乐必然变成强制性的原乐”，指令的形式是“资本主义的享受指令”；[34]492 而在论及这种原乐的最极端形态时，他给出的例子就是成瘾：始终轰炸我们的商品所提供的享乐刺激，“这种原乐的最高个案就是药物成瘾”。[34]493</w:t>
      </w:r>
    </w:p>
    <w:p w14:paraId="53FA2D5C">
      <w:pPr>
        <w:pStyle w:val="000012"/>
        <w:widowControl w:val="1"/>
        <w:spacing w:before="60" w:after="60"/>
        <w:ind w:firstLine="420"/>
      </w:pPr>
      <w:r>
        <w:rPr>
          <w:rFonts w:hint="eastAsia"/>
          <w:color w:val="333333"/>
          <w:sz w:val="22"/>
          <w:szCs w:val="22"/>
        </w:rPr>
        <w:t>成瘾在这里不是意志薄弱或病理偏差，它是这一结构在个体身上的完成形态。斯塔瓦拉基斯对广告的分析说得更细：消费主义所揭示的，是“欲望着本身的享受”，即欲望着与购买着这件事本身的享受，它与“所购之物的享受”或“消费广告所得的享受”并不相同。[37]243 被组织的不是满足，而是欲望的持续。</w:t>
      </w:r>
    </w:p>
    <w:p w14:paraId="3FAB124A">
      <w:pPr>
        <w:pStyle w:val="000012"/>
        <w:widowControl w:val="1"/>
        <w:spacing w:before="60" w:after="60"/>
        <w:ind w:firstLine="420"/>
      </w:pPr>
      <w:r>
        <w:rPr>
          <w:rFonts w:hint="eastAsia"/>
          <w:color w:val="333333"/>
          <w:sz w:val="22"/>
          <w:szCs w:val="22"/>
        </w:rPr>
        <w:t>这与第一章 1.1.2 所立的区分严格对齐：欲望不等于需要。需要可以被满足，而欲望产生于要求超出需要的那个剩余之中。消费主义所做的，正是把这个剩余本身变成可以反复触发的对象。</w:t>
      </w:r>
    </w:p>
    <w:p w14:paraId="20E981FE">
      <w:pPr>
        <w:pStyle w:val="000012"/>
        <w:widowControl w:val="1"/>
        <w:spacing w:before="60" w:after="60"/>
        <w:ind w:firstLine="420"/>
      </w:pPr>
      <w:r>
        <w:rPr>
          <w:rFonts w:hint="eastAsia"/>
          <w:color w:val="333333"/>
          <w:sz w:val="22"/>
          <w:szCs w:val="22"/>
        </w:rPr>
        <w:t>这一点在影像里有一个更赤裸的版本——先要说明，这是一个类比，不是同例。电影《原钻》[77]里的霍华德不是买东西的人，他是下注的人；可两者的循环是同一个，甚至更纯。他赢过两回，一回比一回大：第一次赢来六十万，钱被债主截住，他一分没拿到，回头接着押；最后一次孤注一掷，赢下一百二十万，钱刚到手，人死在了店里。这个循环里没有“赢完就走”这一档：钱到手的那一刻，赌局就该结束了；可他没停——不是他不想停，是那个东西压根儿就不叫“停”。被追逐的从来不是那笔钱，而是“还能再押一次”的那个位置。购物至少还留下一件东西，赌连东西都不留，只剩一个数字在跳，跳完再跳。说白了，商品只是剩余快感借来的一层壳，把壳剥掉，里面那台机器照样转。影片开场那颗蛋白石可以作一句旁注：它从埃塞俄比亚矿工的血里被挖出来，走私到纽约，被当作远超自身价值的东西反复抵押、赎回、下注——在链条这一端它是剩余价值，在那一端是剩余快感，而两端咬住的是同一块石头。这只是文学性的联想，不承担论证；本节真正要说的只有一句：循环不依赖实物，实物只是它最体面的那副面孔。</w:t>
      </w:r>
    </w:p>
    <w:p w14:paraId="392CB056">
      <w:pPr>
        <w:pStyle w:val="000012"/>
        <w:widowControl w:val="1"/>
        <w:spacing w:before="60" w:after="60"/>
        <w:ind w:firstLine="420"/>
      </w:pPr>
      <w:r>
        <w:rPr>
          <w:rFonts w:hint="eastAsia"/>
          <w:color w:val="333333"/>
          <w:sz w:val="22"/>
          <w:szCs w:val="22"/>
        </w:rPr>
        <w:t>第一层给出的解释到此为止：为什么“买了还是空虚”这件事能够成立，为什么这个动作会重复。剩下的问题是，为什么这个循环在当代采取的是商品形态。</w:t>
      </w:r>
    </w:p>
    <w:p w14:paraId="02759C87">
      <w:pPr>
        <w:pStyle w:val="000008"/>
        <w:spacing w:before="100" w:beforeAutospacing="0" w:after="100" w:afterAutospacing="0"/>
      </w:pPr>
      <w:r>
        <w:rPr>
          <w:rFonts w:hint="eastAsia"/>
          <w:color w:val="333333"/>
          <w:sz w:val="32"/>
          <w:szCs w:val="32"/>
        </w:rPr>
        <w:t>4.3.3　第二层推进：为什么那个“因”是可以买的</w:t>
      </w:r>
    </w:p>
    <w:p w14:paraId="75028CE1">
      <w:pPr>
        <w:pStyle w:val="000012"/>
        <w:widowControl w:val="1"/>
        <w:spacing w:before="60" w:after="60"/>
        <w:ind w:firstLine="420"/>
      </w:pPr>
      <w:r>
        <w:rPr>
          <w:rFonts w:hint="eastAsia"/>
          <w:color w:val="333333"/>
          <w:sz w:val="22"/>
          <w:szCs w:val="22"/>
        </w:rPr>
        <w:t>第二层的进展在于说明那个被反复触发的对象为什么恰好是商品。剩余快感的循环本身并不指定它采取什么形态；使它采取商品形态的，是第三章所论的资本主义话语与大学话语的组合。</w:t>
      </w:r>
    </w:p>
    <w:p w14:paraId="7DE38986">
      <w:pPr>
        <w:pStyle w:val="000012"/>
        <w:widowControl w:val="1"/>
        <w:spacing w:before="60" w:after="60"/>
        <w:ind w:firstLine="420"/>
      </w:pPr>
      <w:r>
        <w:rPr>
          <w:rFonts w:hint="eastAsia"/>
          <w:color w:val="333333"/>
          <w:sz w:val="22"/>
          <w:szCs w:val="22"/>
        </w:rPr>
        <w:t>第三章 3.4 已经指出，资本主义话语对四种话语的循环所做的不是替换，是中断；而它的运行依赖大学话语：知识坐在动因位上，对象 a 在产物位置被生产出来。</w:t>
      </w:r>
    </w:p>
    <w:p w14:paraId="1D1FDF47">
      <w:pPr>
        <w:pStyle w:val="000012"/>
        <w:widowControl w:val="1"/>
        <w:spacing w:before="60" w:after="60"/>
        <w:ind w:firstLine="420"/>
      </w:pPr>
      <w:r>
        <w:rPr>
          <w:rFonts w:hint="eastAsia"/>
          <w:color w:val="333333"/>
          <w:sz w:val="22"/>
          <w:szCs w:val="22"/>
        </w:rPr>
        <w:t>话语的这一性质本身值得留意。芬克在解释四种话语理论时说得很直白：话语不像“可以随手戴上摘下的帽子”，要改变话语通常需要满足某些条件；一个人把自己置于某一话语之中，就要“忍受这一话语特有的障碍与短处所带来的痛楚”。他由此给出一句在本节读来很要紧的话：某一话语“促进某些事并阻碍其他事，容许一个人看到某些事，同时看不到其他事”[65]186。大学话语对分析家的塑造正落在后一句上：它给了他一套语汇，同时规定了他看不见什么。用第三章 3.4 的措辞说，欲望的因被处理成了一个可被支配、可被传授、可被考核的产物。</w:t>
      </w:r>
    </w:p>
    <w:p w14:paraId="6AC57B89">
      <w:pPr>
        <w:pStyle w:val="000012"/>
        <w:widowControl w:val="1"/>
        <w:spacing w:before="60" w:after="60"/>
        <w:ind w:firstLine="420"/>
      </w:pPr>
      <w:r>
        <w:rPr>
          <w:rFonts w:hint="eastAsia"/>
          <w:color w:val="333333"/>
          <w:sz w:val="22"/>
          <w:szCs w:val="22"/>
        </w:rPr>
        <w:t>同一处还给出了一份可直接引用的清单：大学话语的绝对命令有三个变体：“享受”、“工作”、“知道”，三者统一于“服务你赖以存在的系统”。[36]219 这一组命令对本章的意义在于：“享受”不是大学话语的对立面，它本身就是大学话语发出的命令之一。也就是说，一个求助者的“我想要”算不上外在于系统的东西；它可能就是系统所要求的那个形式。</w:t>
      </w:r>
    </w:p>
    <w:p w14:paraId="35212152">
      <w:pPr>
        <w:pStyle w:val="000012"/>
        <w:widowControl w:val="1"/>
        <w:spacing w:before="60" w:after="60"/>
        <w:ind w:firstLine="420"/>
      </w:pPr>
      <w:r>
        <w:rPr>
          <w:rFonts w:hint="eastAsia"/>
          <w:color w:val="333333"/>
          <w:sz w:val="22"/>
          <w:szCs w:val="22"/>
        </w:rPr>
        <w:t>到这里可以说明“消费主义成瘾”这一名目为什么包含着“消费主义”四个字。它所指的是：社会成因不只是“压力大”或“广告多”，而是欲望的因在当代被系统性地生产为可购买之物。而这一范畴在中文的临床写作里也已出现：一位译者在《拉康精神分析的临床概念化》的译者序中，把临床变成“重复”而非“回忆”的空间、因而丧失“修通”可能这件事，直接诊断为“心理健康产业”在“资本主义话语逻辑”之下所产生的症状性效果。[40] 把消费与临床的处境放在一起谈，在中文拉康圈里已经在使用中了。</w:t>
      </w:r>
    </w:p>
    <w:p w14:paraId="530805A7">
      <w:pPr>
        <w:ind w:firstLine="440" w:firstLineChars="200"/>
      </w:pPr>
      <w:r>
        <w:rPr>
          <w:rFonts w:hint="eastAsia"/>
        </w:rPr>
        <w:t>把匮乏搬到物上，这个动作本身不新鲜。马克思在《资本论》第一章讲商品拜物教时，已经把它的公式写下来了：商品形式的奥秘在于，它“把人们本身劳动的社会性质反映成劳动产品本身的物的性质”，把“生产者同总劳动的社会关系反映成存在于生产者之外的物与物之间的社会关系”[38]88-89。物与物的关系替下了人与人的关系，而这个替换不被察觉，因为物本身就带着它。第三章 3.3 取的是同一卷里剩余价值的那一端，用来说明两种剩余的同构；这里取的是拜物教这一端，用来说明剩余被搬到物上的形式。</w:t>
      </w:r>
    </w:p>
    <w:p w14:paraId="75CDC0B7">
      <w:pPr>
        <w:ind w:firstLine="440" w:firstLineChars="200"/>
      </w:pPr>
      <w:r>
        <w:rPr>
          <w:rFonts w:hint="eastAsia"/>
        </w:rPr>
        <w:t>消费主义成瘾把这个公式推进了一步。古典拜物教里，被移到物上的是劳动的社会性质；在这里，被移到物上的是匮乏本身。匮乏本来是主体在语言中的构成性处境——欲望产生于要求超出需要的那个剩余，它没有对象，也不可能被填满。广告与商品把这块没有对象的匮乏，指认为一个具体的、可买的欠缺。拜物教让物替下了关系，消费主义让物替下了缺口：前者让社会关系看不见，后者让缺口看起来可以补上。</w:t>
      </w:r>
    </w:p>
    <w:p w14:paraId="71671FA4">
      <w:pPr>
        <w:pStyle w:val="000012"/>
        <w:widowControl w:val="1"/>
        <w:spacing w:before="60" w:after="60"/>
        <w:ind w:firstLine="420"/>
      </w:pPr>
      <w:r>
        <w:rPr>
          <w:rFonts w:hint="eastAsia"/>
          <w:color w:val="333333"/>
          <w:sz w:val="22"/>
          <w:szCs w:val="22"/>
        </w:rPr>
        <w:t>这套把匮乏生产出来的机器，法兰克福学派早就给过它一个名字，叫“文化工业”。阿道尔诺与霍克海默说得很直白：文化工业“实现了标准化和大众生产”[79]108，需求不再是个人自己长出来的，而是被预先分好类的——消费者的统计数据“根据收入状况被分成不同的群体，分成红色、绿色和蓝色等区域”[79]110。把人先分好类，再按类告诉他缺什么，最后把补缺的东西放到他手边——这就是“因”被生产成商品的流水线。</w:t>
      </w:r>
    </w:p>
    <w:p w14:paraId="1C35DDD4">
      <w:pPr>
        <w:pStyle w:val="000012"/>
        <w:widowControl w:val="1"/>
        <w:spacing w:before="60" w:after="60"/>
        <w:ind w:firstLine="420"/>
      </w:pPr>
      <w:r>
        <w:rPr>
          <w:rFonts w:hint="eastAsia"/>
          <w:color w:val="333333"/>
          <w:sz w:val="22"/>
          <w:szCs w:val="22"/>
        </w:rPr>
        <w:t>“可购买”这一步是怎么完成的，广告给出了最直白的说明。斯塔夫拉卡基斯把广告话语界定为一种幻象装置：它之所以能说服、能引发欲望，是因为它“把那个填满我们匮乏的东西许给我们，把产品当作对象 a 交出来，当作一切问题的最终解决方案，当作理想和谐的创造者”[37]240。同一处的说法更狠：广告幻象“把主体身上那个构成性的匮乏，缩减为对产品的匮乏，同时又把这个产品当作对象 a 许给他”[37]240。匮乏先被移到一个可买的位置上，购买随即被写成消除匮乏的唯一动作。到这里，第二层的说明完成：那个被反复触发的“因”落在商品上，是因为有一个装置专门把匮乏搬到商品身上。说得再直白一点，广告干的事，是先告诉你身上缺一块，再指着货架说那块就在那儿——至于那块是不是真能补上，它从来不负责。</w:t>
      </w:r>
    </w:p>
    <w:p w14:paraId="598BBC3F">
      <w:pPr>
        <w:pStyle w:val="000012"/>
        <w:widowControl w:val="1"/>
        <w:spacing w:before="60" w:after="60"/>
        <w:ind w:firstLine="420"/>
      </w:pPr>
      <w:r>
        <w:rPr>
          <w:rFonts w:hint="eastAsia"/>
          <w:color w:val="333333"/>
          <w:sz w:val="22"/>
          <w:szCs w:val="22"/>
        </w:rPr>
        <w:t>第二层说明的是商品形态的来源。留下的问题是：为什么这个形态被求助者体验为“我的选择”。</w:t>
      </w:r>
    </w:p>
    <w:p w14:paraId="60C1997F">
      <w:pPr>
        <w:pStyle w:val="000008"/>
        <w:spacing w:before="100" w:beforeAutospacing="0" w:after="100" w:afterAutospacing="0"/>
      </w:pPr>
      <w:r>
        <w:rPr>
          <w:rFonts w:hint="eastAsia"/>
          <w:color w:val="333333"/>
          <w:sz w:val="32"/>
          <w:szCs w:val="32"/>
        </w:rPr>
        <w:t>4.3.4　第三层推进：为什么它被体验为“我的选择”</w:t>
      </w:r>
    </w:p>
    <w:p w14:paraId="7E2A8A74">
      <w:pPr>
        <w:pStyle w:val="000012"/>
        <w:widowControl w:val="1"/>
        <w:spacing w:before="60" w:after="60"/>
        <w:ind w:firstLine="420"/>
      </w:pPr>
      <w:r>
        <w:rPr>
          <w:rFonts w:hint="eastAsia"/>
          <w:color w:val="333333"/>
          <w:sz w:val="22"/>
          <w:szCs w:val="22"/>
        </w:rPr>
        <w:t>第三层要解释的是认领的机制。一个人并不觉得自己在被系统驱使，他觉得自己在购物自由。</w:t>
      </w:r>
    </w:p>
    <w:p w14:paraId="410E84DE">
      <w:pPr>
        <w:pStyle w:val="000012"/>
        <w:widowControl w:val="1"/>
        <w:spacing w:before="60" w:after="60"/>
        <w:ind w:firstLine="420"/>
      </w:pPr>
      <w:r>
        <w:rPr>
          <w:rFonts w:hint="eastAsia"/>
          <w:color w:val="333333"/>
          <w:sz w:val="22"/>
          <w:szCs w:val="22"/>
        </w:rPr>
        <w:t>第三章 3.2 已经论过意识形态缝合的机制：社会没有最终被缝合的完整性，意识形态的工作是通过一系列等值链条，把漂浮的能指固定进某一社会想象。落到这个症状上，等值链条的形态是现成的：独立＝会花钱、成功＝拥有、自我实现＝消费升级。求助者以为自己在诸选项之间作选择，其实是在这一链条上被缝合进了某个位置。很显然是，链条几时接好的，他自己并不知道；他只知道站在货架前的那一刻，几个选项都摆得挺整齐。</w:t>
      </w:r>
    </w:p>
    <w:p w14:paraId="650C14E2">
      <w:pPr>
        <w:pStyle w:val="000012"/>
        <w:widowControl w:val="1"/>
        <w:spacing w:before="60" w:after="60"/>
        <w:ind w:firstLine="420"/>
      </w:pPr>
      <w:r>
        <w:rPr>
          <w:rFonts w:hint="eastAsia"/>
          <w:color w:val="333333"/>
          <w:sz w:val="22"/>
          <w:szCs w:val="22"/>
        </w:rPr>
        <w:t>马尔库塞早在一个既没有智能手机、也还没有双十一的年代，就把这层纸捅破了。他区分了真实的需要与虚假的需要：“为了特定的社会利益而从外部强加在个人身上的那些需要，使艰辛、侵略、痛苦和非正义永恒化的需要，是‘虚假的’需要”，而休息、娱乐、“按广告宣传来处世和消费”，全都落在这个范畴里[78]6。更要命的是他补的那一句：“在大量的商品和服务设施中所进行的自由选择就并不意味着自由”，一个人自发地重复这些被强加的需要，“并不说明他的意志自由，而只能证明控制的有效性”[78]8。换句话说，“我自己想买”这句话越是被说得理直气壮，越可能恰恰是控制得手的证据。</w:t>
      </w:r>
    </w:p>
    <w:p w14:paraId="1B8A12F2">
      <w:pPr>
        <w:pStyle w:val="000012"/>
        <w:widowControl w:val="1"/>
        <w:spacing w:before="60" w:after="60"/>
        <w:ind w:firstLine="420"/>
      </w:pPr>
      <w:r>
        <w:rPr>
          <w:rFonts w:hint="eastAsia"/>
          <w:color w:val="333333"/>
          <w:sz w:val="22"/>
          <w:szCs w:val="22"/>
        </w:rPr>
        <w:t>齐泽克关于“选择总是元选择”的分析在这里有一处直接的用处。他指出，当一切都被化约为主体的个人选择，选择的内容已经被清空，剩下的只是由我来选这一模态。[34]521 这一模态恰好解释了消费主义成瘾中的那层自我理解：“我想买就买，这是我的自由。”内容是什么并不重要，重要的是形式上的由我来选。</w:t>
      </w:r>
    </w:p>
    <w:p w14:paraId="1B059686">
      <w:pPr>
        <w:ind w:firstLine="440" w:firstLineChars="200"/>
      </w:pPr>
      <w:r>
        <w:rPr>
          <w:rFonts w:hint="eastAsia"/>
        </w:rPr>
        <w:t>齐泽克说的是形式与内容的分离，鲍德里亚补的是这种分离何以能顺畅运转。他说，消费者“把不同寻常的行为当做自由……来体验，根本不把它视为有碍分化和对规章的服从”[89]42。这句话的要害在后半句：并不是消费者误认了自己的自由，而是他确实在体验自由——只不过这份自由的内容，恰好是按照差别次序给自己定位。买什么并不自由，“由我来选”这个形式是自由的；而形式上的自由，正是结构得以无声运行的条件。</w:t>
      </w:r>
    </w:p>
    <w:p w14:paraId="406C4688">
      <w:pPr>
        <w:pStyle w:val="000012"/>
        <w:widowControl w:val="1"/>
        <w:spacing w:before="60" w:after="60"/>
        <w:ind w:firstLine="420"/>
      </w:pPr>
      <w:r>
        <w:rPr>
          <w:rFonts w:hint="eastAsia"/>
          <w:color w:val="333333"/>
          <w:sz w:val="22"/>
          <w:szCs w:val="22"/>
        </w:rPr>
        <w:t>而这一层同时提供了通往下一层的通道。因为缝合永远在失败：买了还是空虚，正是缝合缝不上的表现。第三章 3.2 已经指出，缝合不是一个成功的完成式，它是一个永远在进行、永远失败的操作。在这个症状里，那个失败不是理论上的可能性，它就是求助者的日常经验。裂隙不在别处，就在“买了还是空虚”这句话里。</w:t>
      </w:r>
    </w:p>
    <w:p w14:paraId="14DA9D8F">
      <w:pPr>
        <w:pStyle w:val="000008"/>
        <w:spacing w:before="100" w:beforeAutospacing="0" w:after="100" w:afterAutospacing="0"/>
      </w:pPr>
      <w:r>
        <w:rPr>
          <w:rFonts w:hint="eastAsia"/>
          <w:color w:val="333333"/>
          <w:sz w:val="32"/>
          <w:szCs w:val="32"/>
        </w:rPr>
        <w:t>4.3.5　第四层推进：那个“完整感”在哪里被放弃</w:t>
      </w:r>
    </w:p>
    <w:p w14:paraId="21DB3BBC">
      <w:pPr>
        <w:pStyle w:val="000012"/>
        <w:widowControl w:val="1"/>
        <w:spacing w:before="60" w:after="60"/>
        <w:ind w:firstLine="420"/>
      </w:pPr>
      <w:r>
        <w:rPr>
          <w:rFonts w:hint="eastAsia"/>
          <w:color w:val="333333"/>
          <w:sz w:val="22"/>
          <w:szCs w:val="22"/>
        </w:rPr>
        <w:t>第四层给出的是终点，而这里必得先否掉两种说法，因为它们都很容易被误写成第二种读法的结论。</w:t>
      </w:r>
    </w:p>
    <w:p w14:paraId="728F6B64">
      <w:pPr>
        <w:pStyle w:val="000012"/>
        <w:widowControl w:val="1"/>
        <w:spacing w:before="60" w:after="60"/>
        <w:ind w:firstLine="420"/>
      </w:pPr>
      <w:r>
        <w:rPr>
          <w:rFonts w:hint="eastAsia"/>
          <w:color w:val="333333"/>
          <w:sz w:val="22"/>
          <w:szCs w:val="22"/>
        </w:rPr>
        <w:t>它不是“少买点东西”。那仍然是在幻象内部作调整，只是把消费的量降下来，而“消费能使我完整”这一框架丝毫未动。把口袋扎紧一点，不等于把那个念头松开一点。</w:t>
      </w:r>
    </w:p>
    <w:p w14:paraId="0317E234">
      <w:pPr>
        <w:pStyle w:val="000012"/>
        <w:widowControl w:val="1"/>
        <w:spacing w:before="60" w:after="60"/>
        <w:ind w:firstLine="420"/>
      </w:pPr>
      <w:r>
        <w:rPr>
          <w:rFonts w:hint="eastAsia"/>
          <w:color w:val="333333"/>
          <w:sz w:val="22"/>
          <w:szCs w:val="22"/>
        </w:rPr>
        <w:t>它也不是“承认消费建构的那个我本身就是幻象”，这一说法看起来更彻底，实际上退回了一步。第三章 3.2.2 已经辨明：把穿越幻象表述为“主体承认幻象就是幻象”是一个认知性的说法，它会退回到祛魅；而祛魅就是意识形态正常运转的状态。齐泽克的核心命题是意识形态不在“不知道”，而在“明知而为”[12]33——人们知道货币是拜物教、知道消费是被制造的需要，然后照样照做。“承认它是幻象”本身就是幻象在正常运转，不构成穿越。</w:t>
      </w:r>
    </w:p>
    <w:p w14:paraId="464D9691">
      <w:pPr>
        <w:pStyle w:val="000012"/>
        <w:widowControl w:val="1"/>
        <w:spacing w:before="60" w:after="60"/>
        <w:ind w:firstLine="420"/>
      </w:pPr>
      <w:r>
        <w:rPr>
          <w:rFonts w:hint="eastAsia"/>
          <w:color w:val="333333"/>
          <w:sz w:val="22"/>
          <w:szCs w:val="22"/>
        </w:rPr>
        <w:t>“穿越”因此算不上认知上的一次翻面，它是一次体验。齐泽克在访谈里用一部电影讲过这件事：库布里克的《大开眼戒》之所以令人抑郁，是因为它“真正要展现的是通过体验幻象的愚蠢来穿越幻象”，幻象越深，越显得愚蠢和空无[66]140。第二种读法所要求的是这种体验；关于幻象的正确知识不解决问题。</w:t>
      </w:r>
    </w:p>
    <w:p w14:paraId="299622EE">
      <w:pPr>
        <w:pStyle w:val="000012"/>
        <w:widowControl w:val="1"/>
        <w:spacing w:before="60" w:after="60"/>
        <w:ind w:firstLine="420"/>
      </w:pPr>
      <w:r>
        <w:rPr>
          <w:rFonts w:hint="eastAsia"/>
          <w:color w:val="333333"/>
          <w:sz w:val="22"/>
          <w:szCs w:val="22"/>
        </w:rPr>
        <w:t>改变的是关系，而不是认知。准确的表述是：从“幻象支撑我的欲望”到“我认出幻象是在填补大他者的缺失”。与其说主体看破了幻象，不如说他不再需要幻象来回答“大他者要我什么”。</w:t>
      </w:r>
    </w:p>
    <w:p w14:paraId="7FC6BE4D">
      <w:pPr>
        <w:pStyle w:val="000012"/>
        <w:widowControl w:val="1"/>
        <w:spacing w:before="60" w:after="60"/>
        <w:ind w:firstLine="420"/>
      </w:pPr>
      <w:r>
        <w:rPr>
          <w:rFonts w:hint="eastAsia"/>
          <w:color w:val="333333"/>
          <w:sz w:val="22"/>
          <w:szCs w:val="22"/>
        </w:rPr>
        <w:t>落到这个症状上，这一改变就是：主体不再需要用消费来回答“我是谁”这个问题。不是他看破了商品，是他不再需要那个答案。难处也在这里：这件事怎么发生？它能不能被安排？谁也没法保证。很显然是，这一层给不出可以照着做的动作，它给出的只是关系改变的方向；谁要是指望从这里拿到一份操作手册，那他又走回第一种读法去了。</w:t>
      </w:r>
    </w:p>
    <w:p w14:paraId="067F98DF">
      <w:pPr>
        <w:pStyle w:val="000012"/>
        <w:widowControl w:val="1"/>
        <w:spacing w:before="60" w:after="60"/>
        <w:ind w:firstLine="420"/>
      </w:pPr>
      <w:r>
        <w:rPr>
          <w:rFonts w:hint="eastAsia"/>
          <w:color w:val="333333"/>
          <w:sz w:val="22"/>
          <w:szCs w:val="22"/>
        </w:rPr>
        <w:t>这里可以接住 4.2.1 所记的那处细节。求助者来求诊时并不要求解除症状，只要求恢复症状此前的效力，他要的是修补旧装置的工具。[9]9 第二种读法的终点与第一种有性质上的差别，就在于它不提供这套工具，它使那个正在被修理的装置本身成为问题。</w:t>
      </w:r>
    </w:p>
    <w:p w14:paraId="68185117">
      <w:pPr>
        <w:pStyle w:val="000012"/>
        <w:widowControl w:val="1"/>
        <w:spacing w:before="60" w:after="60"/>
        <w:ind w:firstLine="420"/>
      </w:pPr>
      <w:r>
        <w:rPr>
          <w:rFonts w:hint="eastAsia"/>
          <w:color w:val="333333"/>
          <w:sz w:val="22"/>
          <w:szCs w:val="22"/>
        </w:rPr>
        <w:t>还有两处边界要写在这里，否则这一方向会被读成另一种东西。</w:t>
      </w:r>
    </w:p>
    <w:p w14:paraId="07EBD466">
      <w:pPr>
        <w:pStyle w:val="000012"/>
        <w:widowControl w:val="1"/>
        <w:spacing w:before="60" w:after="60"/>
        <w:ind w:firstLine="420"/>
      </w:pPr>
      <w:r>
        <w:rPr>
          <w:rFonts w:hint="eastAsia"/>
          <w:color w:val="333333"/>
          <w:sz w:val="22"/>
          <w:szCs w:val="22"/>
        </w:rPr>
        <w:t>其一，这不是解放。第三章 3.5.4 已经立过判据：把实在界当作解放资源，是把“不可填补”偷换成一个可被挪用的例外。齐泽克本人对此有明确的表述：意识形态原教旨主义与自由享乐主义之间存在着“严格的对称：它们全都将焦点集中于实在界”。[34]494 把消费主义成瘾的对立面设定为“享乐的自由”，落入的是同一种短路。</w:t>
      </w:r>
    </w:p>
    <w:p w14:paraId="7D3FF5E3">
      <w:pPr>
        <w:pStyle w:val="000012"/>
        <w:widowControl w:val="1"/>
        <w:spacing w:before="60" w:after="60"/>
        <w:ind w:firstLine="420"/>
      </w:pPr>
      <w:r>
        <w:rPr>
          <w:rFonts w:hint="eastAsia"/>
          <w:color w:val="333333"/>
          <w:sz w:val="22"/>
          <w:szCs w:val="22"/>
        </w:rPr>
        <w:t>其二，这一终点也不能靠“对消费社会有所认识”来达到。第二章 2.2.2 所论的“认知缺失”指出，分析家缺的不是意愿，是语汇；但反过来说，补上语汇也不等于完成这件事。第二种读法要改变的是一段关系，而一段关系不是一项知识。</w:t>
      </w:r>
    </w:p>
    <w:p w14:paraId="19C90572">
      <w:pPr>
        <w:pStyle w:val="000008"/>
        <w:spacing w:before="100" w:beforeAutospacing="0" w:after="100" w:afterAutospacing="0"/>
      </w:pPr>
      <w:r>
        <w:rPr>
          <w:rFonts w:hint="eastAsia"/>
          <w:color w:val="333333"/>
          <w:sz w:val="32"/>
          <w:szCs w:val="32"/>
        </w:rPr>
        <w:t>4.3.6　这个症状逼出来的一个命题</w:t>
      </w:r>
    </w:p>
    <w:p w14:paraId="4FE2A32E">
      <w:pPr>
        <w:pStyle w:val="000012"/>
        <w:widowControl w:val="1"/>
        <w:spacing w:before="60" w:after="60"/>
        <w:ind w:firstLine="420"/>
      </w:pPr>
      <w:r>
        <w:rPr>
          <w:rFonts w:hint="eastAsia"/>
          <w:color w:val="333333"/>
          <w:sz w:val="22"/>
          <w:szCs w:val="22"/>
        </w:rPr>
        <w:t>四层推进到这里，还得回答一个此前没有出现过的问题。如果“不翻译”只是分析家的一种姿态，它在任何症状上都应当一样；可实际上，它在某些症状上几乎无从谈起，这一差别不是本研究事先想好的，它由这个症状本身逼出来。</w:t>
      </w:r>
    </w:p>
    <w:p w14:paraId="449B0177">
      <w:pPr>
        <w:pStyle w:val="000012"/>
        <w:widowControl w:val="1"/>
        <w:spacing w:before="60" w:after="60"/>
        <w:ind w:firstLine="420"/>
      </w:pPr>
      <w:r>
        <w:rPr>
          <w:rFonts w:hint="eastAsia"/>
          <w:color w:val="333333"/>
          <w:sz w:val="22"/>
          <w:szCs w:val="22"/>
        </w:rPr>
        <w:t>强迫症与恐惧症的症状与社会结构之间是间接关系。强迫性的仪式、恐惧的对象，其内容可以是私人性的；社会指涉要绕几道弯才能接上，而且接上去往往靠分析家的解释，未必在症状自身的材料里。消费主义成瘾不一样。这一症状所提供的满足直接由市场上的商品供给，它的重复节奏与促销周期、支付方式、平台推送同步。社会结构在这里不是症状的背景，它是症状的质料：把社会维度拿掉，症状的描写就不再完整：“控制不住地购买”一旦离开可购买的物、可赊的账、可被展示的品牌，就不再是这个症状。很显然是，别的症状要费力气才能把社会这头拉进来，这个症状不用——它本来就长在社会这张皮上。</w:t>
      </w:r>
    </w:p>
    <w:p w14:paraId="0993FF56">
      <w:pPr>
        <w:pStyle w:val="000012"/>
        <w:widowControl w:val="1"/>
        <w:spacing w:before="60" w:after="60"/>
        <w:ind w:firstLine="420"/>
      </w:pPr>
      <w:r>
        <w:rPr>
          <w:rFonts w:hint="eastAsia"/>
          <w:color w:val="333333"/>
          <w:sz w:val="22"/>
          <w:szCs w:val="22"/>
        </w:rPr>
        <w:t>斯塔夫拉卡基斯对这一机制给过一个准确的措辞。他说，消费主义确实“记录了人类社会所特有的欲望与享乐之间的辩证”，但这一记录同时是一种“驯化”：它把欲望收拢起来，把享乐导流到指定的方向上去[37]245。同书还给出一个更进一步的定位：消费主义与广告合起来，“构成那个把三环（经济、欲望、权力）绑在一起的东西”，它们“在我们的社会中充当症状，用拉康的术语说就是圣状（sinthome）”[37]246。也就是说，本章所说的“质料”不是比喻：在拉康派的框架里，消费主义本身就是这一时代的社会圣状。</w:t>
      </w:r>
    </w:p>
    <w:p w14:paraId="0DB73633">
      <w:pPr>
        <w:pStyle w:val="000012"/>
        <w:widowControl w:val="1"/>
        <w:spacing w:before="60" w:after="60"/>
        <w:ind w:firstLine="420"/>
      </w:pPr>
      <w:r>
        <w:rPr>
          <w:rFonts w:hint="eastAsia"/>
          <w:color w:val="333333"/>
          <w:sz w:val="22"/>
          <w:szCs w:val="22"/>
        </w:rPr>
        <w:t>由此得到两点，是前三章没有给出的。</w:t>
      </w:r>
    </w:p>
    <w:p w14:paraId="48A6FF98">
      <w:pPr>
        <w:pStyle w:val="000012"/>
        <w:widowControl w:val="1"/>
        <w:spacing w:before="60" w:after="60"/>
        <w:ind w:firstLine="420"/>
      </w:pPr>
      <w:r>
        <w:rPr>
          <w:rFonts w:hint="eastAsia"/>
          <w:color w:val="333333"/>
          <w:sz w:val="22"/>
          <w:szCs w:val="22"/>
        </w:rPr>
        <w:t>第一，第一种读法对这个症状的翻译最彻底，也最不可见。正因为它看上去最像“个人的自控问题”，把它整个译成冲动控制障碍才显得完整而无需交代。第二章所说的“未承接”，在这个症状上表现为一种双重做法：社会成因在成因栏里被承认，随即在干预栏里被取消。承认它，是为了说明这个人为什么容易失控；取消它，是因为处理它不在议程之内。先认账，再销账，两笔一算，账面上干干净净。</w:t>
      </w:r>
    </w:p>
    <w:p w14:paraId="49A8457B">
      <w:pPr>
        <w:pStyle w:val="000012"/>
        <w:widowControl w:val="1"/>
        <w:spacing w:before="60" w:after="60"/>
        <w:ind w:firstLine="420"/>
      </w:pPr>
      <w:r>
        <w:rPr>
          <w:rFonts w:hint="eastAsia"/>
          <w:color w:val="333333"/>
          <w:sz w:val="22"/>
          <w:szCs w:val="22"/>
        </w:rPr>
        <w:t>第二，也正因如此，“不翻译”在这里才第一次有了确定的对象。在症状的社会性不明显的场合，坚持不翻译很容易变成一种外加：分析家非要把劳动关系读进一个私人的恐惧，读者有理由怀疑那只是理论偏好。在这个症状上情形正好相反：社会性已经写在症状的表面，翻译才是那个外加的动作。第一种读法得主动把劳动处境、消费指令与身份期待从材料里挪出去，才得到一个纯个体的“购物成瘾”。本研究所说的“不把社会维度的痛苦自动翻译成个体材料”，在这里因此算不上一条额外的要求，它是对材料本身的一次归还。</w:t>
      </w:r>
    </w:p>
    <w:p w14:paraId="577E62AA">
      <w:pPr>
        <w:pStyle w:val="000012"/>
        <w:widowControl w:val="1"/>
        <w:spacing w:before="60" w:after="60"/>
        <w:ind w:firstLine="420"/>
      </w:pPr>
      <w:r>
        <w:rPr>
          <w:rFonts w:hint="eastAsia"/>
          <w:color w:val="333333"/>
          <w:sz w:val="22"/>
          <w:szCs w:val="22"/>
        </w:rPr>
        <w:t>这一命题同时限定了本章的适用范围。4.6 所说的“典型性不等于普遍性”由此有了具体理由：本章之所以能做出这一对照，是因为所选症状的社会性在材料上直接可读；换成强迫症或恐惧症，同样的对照未必做得出来。</w:t>
      </w:r>
    </w:p>
    <w:p w14:paraId="269BEB93">
      <w:pPr>
        <w:pStyle w:val="000012"/>
        <w:widowControl w:val="1"/>
        <w:spacing w:before="60" w:after="60"/>
        <w:ind w:firstLine="420"/>
      </w:pPr>
      <w:r>
        <w:rPr>
          <w:rFonts w:hint="eastAsia"/>
          <w:color w:val="333333"/>
          <w:sz w:val="22"/>
          <w:szCs w:val="22"/>
        </w:rPr>
        <w:t>把这一节单独列出来，是因为它是本章唯一一处超出材料的地方。前面四层推进都是把已经立过的命题应用到材料上，只有这一处是在材料的逼迫之下产生的判断。判断比引证更容易出错，所以它的强度要写得比引证更低。</w:t>
      </w:r>
    </w:p>
    <w:p w14:paraId="46A93BBF">
      <w:pPr>
        <w:pStyle w:val="000012"/>
        <w:widowControl w:val="1"/>
        <w:spacing w:before="60" w:after="60"/>
        <w:ind w:firstLine="420"/>
      </w:pPr>
      <w:r>
        <w:rPr>
          <w:rFonts w:hint="eastAsia"/>
          <w:color w:val="333333"/>
          <w:sz w:val="22"/>
          <w:szCs w:val="22"/>
        </w:rPr>
        <w:t>最后要标出这一判断的证据强度。它建立在 4.2.2 所记的那次抽样检索之上，而 4.2.2 的结论强度已按同一理由降级为初步观察；正式检索完成之后，本节所立的这一结构差异可能需要调整，尤其是当检索显示强迫症、恐惧症一类的症状在临床材料里同样携带着可读的社会指涉时，本节关于“社会性只在这一症状上写在表面”的判断就要重写。这一点先说在前面：本节这一判断，是这一章里最容易被推翻的一块。</w:t>
      </w:r>
    </w:p>
    <w:p w14:paraId="6565E3F4">
      <w:pPr>
        <w:pStyle w:val="000007"/>
        <w:spacing w:before="100" w:beforeAutospacing="0" w:after="100" w:afterAutospacing="0"/>
      </w:pPr>
      <w:bookmarkStart w:id="22" w:name="_Toc243148908"/>
      <w:r>
        <w:rPr>
          <w:rFonts w:hint="eastAsia"/>
          <w:color w:val="333333"/>
          <w:sz w:val="32"/>
          <w:szCs w:val="32"/>
        </w:rPr>
        <w:t>4.4　两种读法的对比</w:t>
      </w:r>
      <w:bookmarkEnd w:id="22"/>
    </w:p>
    <w:p w14:paraId="10E6F21E">
      <w:pPr>
        <w:pStyle w:val="000008"/>
        <w:spacing w:before="100" w:beforeAutospacing="0" w:after="100" w:afterAutospacing="0"/>
      </w:pPr>
      <w:r>
        <w:rPr>
          <w:rFonts w:hint="eastAsia"/>
          <w:color w:val="333333"/>
          <w:sz w:val="32"/>
          <w:szCs w:val="32"/>
        </w:rPr>
        <w:t>4.4.1　对照表</w:t>
      </w:r>
    </w:p>
    <w:p w14:paraId="06E320A6">
      <w:pPr>
        <w:spacing w:before="180" w:after="60"/>
        <w:jc w:val="center"/>
        <w:rPr>
          <w:rFonts w:hint="eastAsia" w:ascii="黑体" w:hAnsi="黑体" w:eastAsia="黑体" w:cs="黑体"/>
          <w:sz w:val="21"/>
          <w:szCs w:val="21"/>
        </w:rPr>
      </w:pPr>
      <w:r>
        <w:rPr>
          <w:rFonts w:hint="eastAsia" w:ascii="黑体" w:hAnsi="黑体" w:eastAsia="黑体" w:cs="黑体"/>
          <w:sz w:val="21"/>
          <w:szCs w:val="21"/>
        </w:rPr>
        <w:t>表 4-1　两种读法的对照</w:t>
      </w:r>
    </w:p>
    <w:tbl>
      <w:tblPr>
        <w:tblW w:w="0" w:type="auto"/>
        <w:tblLayout w:type="fixed"/>
        <w:tblCellMar>
          <w:top w:w="15" w:type="dxa"/>
          <w:left w:w="15" w:type="dxa"/>
          <w:bottom w:w="15" w:type="dxa"/>
          <w:right w:w="15" w:type="dxa"/>
        </w:tblCellMar>
        <w:tblLook w:firstRow="1" w:lastRow="0" w:firstColumn="1" w:lastColumn="0" w:noHBand="0" w:noVBand="1" w:val="04A0"/>
      </w:tblPr>
      <w:tblGrid>
        <w:gridCol w:w="2768"/>
        <w:gridCol w:w="2768"/>
        <w:gridCol w:w="2768"/>
      </w:tblGrid>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5268392D">
            <w:pPr>
              <w:pStyle w:val="000012"/>
              <w:widowControl w:val="1"/>
              <w:spacing w:before="60" w:after="60"/>
            </w:pPr>
            <w:r>
              <w:rPr>
                <w:color w:val="333333"/>
                <w:sz w:val="22"/>
                <w:szCs w:val="22"/>
              </w:rPr>
              <w:t> </w:t>
            </w:r>
          </w:p>
        </w:tc>
        <w:tc>
          <w:tcPr>
            <w:tcW w:w="2768" w:type="dxa"/>
            <w:tcBorders>
              <w:top w:val="single" w:color="CBCDD1" w:sz="4" w:space="0"/>
              <w:left w:val="single" w:color="CBCDD1" w:sz="4" w:space="0"/>
              <w:bottom w:val="single" w:color="CBCDD1" w:sz="4" w:space="0"/>
              <w:right w:val="single" w:color="CBCDD1" w:sz="4" w:space="0"/>
            </w:tcBorders>
            <w:vAlign w:val="center"/>
          </w:tcPr>
          <w:p w14:paraId="03664805">
            <w:pPr>
              <w:pStyle w:val="000012"/>
              <w:widowControl w:val="1"/>
              <w:spacing w:before="60" w:after="60"/>
            </w:pPr>
            <w:r>
              <w:rPr>
                <w:rFonts w:hint="eastAsia"/>
                <w:b w:val="1"/>
                <w:bCs w:val="1"/>
                <w:color w:val="333333"/>
                <w:sz w:val="22"/>
                <w:szCs w:val="22"/>
              </w:rPr>
              <w:t>第一种读法：现存技术框架</w:t>
            </w:r>
          </w:p>
        </w:tc>
        <w:tc>
          <w:tcPr>
            <w:tcW w:w="2768" w:type="dxa"/>
            <w:tcBorders>
              <w:top w:val="single" w:color="CBCDD1" w:sz="4" w:space="0"/>
              <w:left w:val="single" w:color="CBCDD1" w:sz="4" w:space="0"/>
              <w:bottom w:val="single" w:color="CBCDD1" w:sz="4" w:space="0"/>
              <w:right w:val="single" w:color="CBCDD1" w:sz="4" w:space="0"/>
            </w:tcBorders>
            <w:vAlign w:val="center"/>
          </w:tcPr>
          <w:p w14:paraId="05E5A509">
            <w:pPr>
              <w:pStyle w:val="000012"/>
              <w:widowControl w:val="1"/>
              <w:spacing w:before="60" w:after="60"/>
            </w:pPr>
            <w:r>
              <w:rPr>
                <w:rFonts w:hint="eastAsia"/>
                <w:b w:val="1"/>
                <w:bCs w:val="1"/>
                <w:color w:val="333333"/>
                <w:sz w:val="22"/>
                <w:szCs w:val="22"/>
              </w:rPr>
              <w:t>第二种读法：重构框架</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4E789F8C">
            <w:pPr>
              <w:pStyle w:val="000012"/>
              <w:widowControl w:val="1"/>
              <w:spacing w:before="60" w:after="60"/>
            </w:pPr>
            <w:r>
              <w:rPr>
                <w:rFonts w:hint="eastAsia"/>
                <w:color w:val="333333"/>
                <w:sz w:val="22"/>
                <w:szCs w:val="22"/>
              </w:rPr>
              <w:t>症状的名称</w:t>
            </w:r>
          </w:p>
        </w:tc>
        <w:tc>
          <w:tcPr>
            <w:tcW w:w="2768" w:type="dxa"/>
            <w:tcBorders>
              <w:top w:val="single" w:color="CBCDD1" w:sz="4" w:space="0"/>
              <w:left w:val="single" w:color="CBCDD1" w:sz="4" w:space="0"/>
              <w:bottom w:val="single" w:color="CBCDD1" w:sz="4" w:space="0"/>
              <w:right w:val="single" w:color="CBCDD1" w:sz="4" w:space="0"/>
            </w:tcBorders>
            <w:vAlign w:val="center"/>
          </w:tcPr>
          <w:p w14:paraId="048D966E">
            <w:pPr>
              <w:pStyle w:val="000012"/>
              <w:widowControl w:val="1"/>
              <w:spacing w:before="60" w:after="60"/>
            </w:pPr>
            <w:r>
              <w:rPr>
                <w:rFonts w:hint="eastAsia"/>
                <w:color w:val="333333"/>
                <w:sz w:val="22"/>
                <w:szCs w:val="22"/>
              </w:rPr>
              <w:t>强迫性购物／购物成瘾／冲动控制障碍（成因在个体）</w:t>
            </w:r>
          </w:p>
        </w:tc>
        <w:tc>
          <w:tcPr>
            <w:tcW w:w="2768" w:type="dxa"/>
            <w:tcBorders>
              <w:top w:val="single" w:color="CBCDD1" w:sz="4" w:space="0"/>
              <w:left w:val="single" w:color="CBCDD1" w:sz="4" w:space="0"/>
              <w:bottom w:val="single" w:color="CBCDD1" w:sz="4" w:space="0"/>
              <w:right w:val="single" w:color="CBCDD1" w:sz="4" w:space="0"/>
            </w:tcBorders>
            <w:vAlign w:val="center"/>
          </w:tcPr>
          <w:p w14:paraId="46D0A1E6">
            <w:pPr>
              <w:pStyle w:val="000012"/>
              <w:widowControl w:val="1"/>
              <w:spacing w:before="60" w:after="60"/>
            </w:pPr>
            <w:r>
              <w:rPr>
                <w:rFonts w:hint="eastAsia"/>
                <w:color w:val="333333"/>
                <w:sz w:val="22"/>
                <w:szCs w:val="22"/>
              </w:rPr>
              <w:t>消费主义成瘾（成因在话语）</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3FECB6A6">
            <w:pPr>
              <w:pStyle w:val="000012"/>
              <w:widowControl w:val="1"/>
              <w:spacing w:before="60" w:after="60"/>
            </w:pPr>
            <w:r>
              <w:rPr>
                <w:rFonts w:hint="eastAsia"/>
                <w:color w:val="333333"/>
                <w:sz w:val="22"/>
                <w:szCs w:val="22"/>
              </w:rPr>
              <w:t>症状的读法</w:t>
            </w:r>
          </w:p>
        </w:tc>
        <w:tc>
          <w:tcPr>
            <w:tcW w:w="2768" w:type="dxa"/>
            <w:tcBorders>
              <w:top w:val="single" w:color="CBCDD1" w:sz="4" w:space="0"/>
              <w:left w:val="single" w:color="CBCDD1" w:sz="4" w:space="0"/>
              <w:bottom w:val="single" w:color="CBCDD1" w:sz="4" w:space="0"/>
              <w:right w:val="single" w:color="CBCDD1" w:sz="4" w:space="0"/>
            </w:tcBorders>
            <w:vAlign w:val="center"/>
          </w:tcPr>
          <w:p w14:paraId="7727DF8F">
            <w:pPr>
              <w:pStyle w:val="000012"/>
              <w:widowControl w:val="1"/>
              <w:spacing w:before="60" w:after="60"/>
            </w:pPr>
            <w:r>
              <w:rPr>
                <w:rFonts w:hint="eastAsia"/>
                <w:color w:val="333333"/>
                <w:sz w:val="22"/>
                <w:szCs w:val="22"/>
              </w:rPr>
              <w:t>个体的强迫性购物、欲望困境、享乐纽结</w:t>
            </w:r>
          </w:p>
        </w:tc>
        <w:tc>
          <w:tcPr>
            <w:tcW w:w="2768" w:type="dxa"/>
            <w:tcBorders>
              <w:top w:val="single" w:color="CBCDD1" w:sz="4" w:space="0"/>
              <w:left w:val="single" w:color="CBCDD1" w:sz="4" w:space="0"/>
              <w:bottom w:val="single" w:color="CBCDD1" w:sz="4" w:space="0"/>
              <w:right w:val="single" w:color="CBCDD1" w:sz="4" w:space="0"/>
            </w:tcBorders>
            <w:vAlign w:val="center"/>
          </w:tcPr>
          <w:p w14:paraId="4FB8684F">
            <w:pPr>
              <w:pStyle w:val="000012"/>
              <w:widowControl w:val="1"/>
              <w:spacing w:before="60" w:after="60"/>
            </w:pPr>
            <w:r>
              <w:rPr>
                <w:rFonts w:hint="eastAsia"/>
                <w:color w:val="333333"/>
                <w:sz w:val="22"/>
                <w:szCs w:val="22"/>
              </w:rPr>
              <w:t>资本主义话语在一个具体主体身上的运行</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73D64044">
            <w:pPr>
              <w:pStyle w:val="000012"/>
              <w:widowControl w:val="1"/>
              <w:spacing w:before="60" w:after="60"/>
            </w:pPr>
            <w:r>
              <w:rPr>
                <w:rFonts w:hint="eastAsia"/>
                <w:color w:val="333333"/>
                <w:sz w:val="22"/>
                <w:szCs w:val="22"/>
              </w:rPr>
              <w:t>社会维度的位置</w:t>
            </w:r>
          </w:p>
        </w:tc>
        <w:tc>
          <w:tcPr>
            <w:tcW w:w="2768" w:type="dxa"/>
            <w:tcBorders>
              <w:top w:val="single" w:color="CBCDD1" w:sz="4" w:space="0"/>
              <w:left w:val="single" w:color="CBCDD1" w:sz="4" w:space="0"/>
              <w:bottom w:val="single" w:color="CBCDD1" w:sz="4" w:space="0"/>
              <w:right w:val="single" w:color="CBCDD1" w:sz="4" w:space="0"/>
            </w:tcBorders>
            <w:vAlign w:val="center"/>
          </w:tcPr>
          <w:p w14:paraId="7D6C5B53">
            <w:pPr>
              <w:pStyle w:val="000012"/>
              <w:widowControl w:val="1"/>
              <w:spacing w:before="60" w:after="60"/>
            </w:pPr>
            <w:r>
              <w:rPr>
                <w:rFonts w:hint="eastAsia"/>
                <w:color w:val="333333"/>
                <w:sz w:val="22"/>
                <w:szCs w:val="22"/>
              </w:rPr>
              <w:t>不在对象清单上，社会只以大他者的理想形态被吸纳</w:t>
            </w:r>
          </w:p>
        </w:tc>
        <w:tc>
          <w:tcPr>
            <w:tcW w:w="2768" w:type="dxa"/>
            <w:tcBorders>
              <w:top w:val="single" w:color="CBCDD1" w:sz="4" w:space="0"/>
              <w:left w:val="single" w:color="CBCDD1" w:sz="4" w:space="0"/>
              <w:bottom w:val="single" w:color="CBCDD1" w:sz="4" w:space="0"/>
              <w:right w:val="single" w:color="CBCDD1" w:sz="4" w:space="0"/>
            </w:tcBorders>
            <w:vAlign w:val="center"/>
          </w:tcPr>
          <w:p w14:paraId="40F86B46">
            <w:pPr>
              <w:pStyle w:val="000012"/>
              <w:widowControl w:val="1"/>
              <w:spacing w:before="60" w:after="60"/>
            </w:pPr>
            <w:r>
              <w:rPr>
                <w:rFonts w:hint="eastAsia"/>
                <w:color w:val="333333"/>
                <w:sz w:val="22"/>
                <w:szCs w:val="22"/>
              </w:rPr>
              <w:t>保留为症状的构成性维度</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2927BF7F">
            <w:pPr>
              <w:pStyle w:val="000012"/>
              <w:widowControl w:val="1"/>
              <w:spacing w:before="60" w:after="60"/>
            </w:pPr>
            <w:r>
              <w:rPr>
                <w:rFonts w:hint="eastAsia"/>
                <w:color w:val="333333"/>
                <w:sz w:val="22"/>
                <w:szCs w:val="22"/>
              </w:rPr>
              <w:t>终点</w:t>
            </w:r>
          </w:p>
        </w:tc>
        <w:tc>
          <w:tcPr>
            <w:tcW w:w="2768" w:type="dxa"/>
            <w:tcBorders>
              <w:top w:val="single" w:color="CBCDD1" w:sz="4" w:space="0"/>
              <w:left w:val="single" w:color="CBCDD1" w:sz="4" w:space="0"/>
              <w:bottom w:val="single" w:color="CBCDD1" w:sz="4" w:space="0"/>
              <w:right w:val="single" w:color="CBCDD1" w:sz="4" w:space="0"/>
            </w:tcBorders>
            <w:vAlign w:val="center"/>
          </w:tcPr>
          <w:p w14:paraId="74EA43ED">
            <w:pPr>
              <w:pStyle w:val="000012"/>
              <w:widowControl w:val="1"/>
              <w:spacing w:before="60" w:after="60"/>
            </w:pPr>
            <w:r>
              <w:rPr>
                <w:rFonts w:hint="eastAsia"/>
                <w:color w:val="333333"/>
                <w:sz w:val="22"/>
                <w:szCs w:val="22"/>
              </w:rPr>
              <w:t>基本幻象的重构落在个体史与移情之内，可表述为功能上的改善</w:t>
            </w:r>
          </w:p>
        </w:tc>
        <w:tc>
          <w:tcPr>
            <w:tcW w:w="2768" w:type="dxa"/>
            <w:tcBorders>
              <w:top w:val="single" w:color="CBCDD1" w:sz="4" w:space="0"/>
              <w:left w:val="single" w:color="CBCDD1" w:sz="4" w:space="0"/>
              <w:bottom w:val="single" w:color="CBCDD1" w:sz="4" w:space="0"/>
              <w:right w:val="single" w:color="CBCDD1" w:sz="4" w:space="0"/>
            </w:tcBorders>
            <w:vAlign w:val="center"/>
          </w:tcPr>
          <w:p w14:paraId="5A3CBE4D">
            <w:pPr>
              <w:pStyle w:val="000012"/>
              <w:widowControl w:val="1"/>
              <w:spacing w:before="60" w:after="60"/>
            </w:pPr>
            <w:r>
              <w:rPr>
                <w:rFonts w:hint="eastAsia"/>
                <w:color w:val="333333"/>
                <w:sz w:val="22"/>
                <w:szCs w:val="22"/>
              </w:rPr>
              <w:t>主体与幻象的关系发生改变，而这一改变不落在个体史之内</w:t>
            </w:r>
          </w:p>
        </w:tc>
      </w:tr>
      <w:tr>
        <w:trPr>
          <w:trHeight w:val="324"/>
        </w:trPr>
        <w:tc>
          <w:tcPr>
            <w:tcW w:w="2768" w:type="dxa"/>
            <w:tcBorders>
              <w:top w:val="single" w:color="CBCDD1" w:sz="4" w:space="0"/>
              <w:left w:val="single" w:color="CBCDD1" w:sz="4" w:space="0"/>
              <w:bottom w:val="single" w:color="CBCDD1" w:sz="4" w:space="0"/>
              <w:right w:val="single" w:color="CBCDD1" w:sz="4" w:space="0"/>
            </w:tcBorders>
            <w:vAlign w:val="center"/>
          </w:tcPr>
          <w:p w14:paraId="088581A6">
            <w:pPr>
              <w:pStyle w:val="000012"/>
              <w:widowControl w:val="1"/>
              <w:spacing w:before="60" w:after="60"/>
            </w:pPr>
            <w:r>
              <w:rPr>
                <w:rFonts w:hint="eastAsia"/>
                <w:color w:val="333333"/>
                <w:sz w:val="22"/>
                <w:szCs w:val="22"/>
              </w:rPr>
              <w:t>对应前章诊断</w:t>
            </w:r>
          </w:p>
        </w:tc>
        <w:tc>
          <w:tcPr>
            <w:tcW w:w="2768" w:type="dxa"/>
            <w:tcBorders>
              <w:top w:val="single" w:color="CBCDD1" w:sz="4" w:space="0"/>
              <w:left w:val="single" w:color="CBCDD1" w:sz="4" w:space="0"/>
              <w:bottom w:val="single" w:color="CBCDD1" w:sz="4" w:space="0"/>
              <w:right w:val="single" w:color="CBCDD1" w:sz="4" w:space="0"/>
            </w:tcBorders>
            <w:vAlign w:val="center"/>
          </w:tcPr>
          <w:p w14:paraId="04CB6DA3">
            <w:pPr>
              <w:pStyle w:val="000012"/>
              <w:widowControl w:val="1"/>
              <w:spacing w:before="60" w:after="60"/>
            </w:pPr>
            <w:r>
              <w:rPr>
                <w:rFonts w:hint="eastAsia"/>
                <w:color w:val="333333"/>
                <w:sz w:val="22"/>
                <w:szCs w:val="22"/>
              </w:rPr>
              <w:t>未承接（第一章 1.2.2、1.2.3）</w:t>
            </w:r>
          </w:p>
        </w:tc>
        <w:tc>
          <w:tcPr>
            <w:tcW w:w="2768" w:type="dxa"/>
            <w:tcBorders>
              <w:top w:val="single" w:color="CBCDD1" w:sz="4" w:space="0"/>
              <w:left w:val="single" w:color="CBCDD1" w:sz="4" w:space="0"/>
              <w:bottom w:val="single" w:color="CBCDD1" w:sz="4" w:space="0"/>
              <w:right w:val="single" w:color="CBCDD1" w:sz="4" w:space="0"/>
            </w:tcBorders>
            <w:vAlign w:val="center"/>
          </w:tcPr>
          <w:p w14:paraId="0B39BFC3">
            <w:pPr>
              <w:pStyle w:val="000012"/>
              <w:widowControl w:val="1"/>
              <w:spacing w:before="60" w:after="60"/>
            </w:pPr>
            <w:r>
              <w:rPr>
                <w:rFonts w:hint="eastAsia"/>
                <w:color w:val="333333"/>
                <w:sz w:val="22"/>
                <w:szCs w:val="22"/>
              </w:rPr>
              <w:t>重新接入（第三章 3.5）</w:t>
            </w:r>
          </w:p>
        </w:tc>
      </w:tr>
    </w:tbl>
    <w:p w14:paraId="289586FE">
      <w:pPr>
        <w:pStyle w:val="000012"/>
        <w:widowControl w:val="1"/>
        <w:spacing w:before="60" w:after="60"/>
        <w:ind w:firstLine="420"/>
      </w:pPr>
      <w:r>
        <w:rPr>
          <w:rFonts w:hint="eastAsia"/>
          <w:color w:val="333333"/>
          <w:sz w:val="22"/>
          <w:szCs w:val="22"/>
        </w:rPr>
        <w:t>表中第一行（“症状的名称”）值得单独说明：两种读法的第一个差别出现在命名上，甚至在读法开始之前。</w:t>
      </w:r>
    </w:p>
    <w:p w14:paraId="0B68847C">
      <w:pPr>
        <w:pStyle w:val="000012"/>
        <w:widowControl w:val="1"/>
        <w:spacing w:before="60" w:after="60"/>
        <w:ind w:firstLine="420"/>
      </w:pPr>
      <w:r>
        <w:rPr>
          <w:rFonts w:hint="eastAsia"/>
          <w:color w:val="333333"/>
          <w:sz w:val="22"/>
          <w:szCs w:val="22"/>
        </w:rPr>
        <w:t>第一种读法连“消费主义成瘾”这个名目都没有。现行的名目是购物癖、购物成瘾、强迫性购物障碍、强迫型消费、病理性购物，全部把成因留在个体内部；检索所及的文献里没有“消费主义成瘾”这一范畴。而当一套框架连称呼某类痛苦的词都没有时，“未承接”这件事就已经发生了，这一处比任何步骤分析都直接。很显然是，连名字都没给它起，就谈不上给它安排一个位置。</w:t>
      </w:r>
    </w:p>
    <w:p w14:paraId="43AF4417">
      <w:pPr>
        <w:pStyle w:val="000012"/>
        <w:widowControl w:val="1"/>
        <w:spacing w:before="60" w:after="60"/>
        <w:ind w:firstLine="420"/>
      </w:pPr>
      <w:r>
        <w:rPr>
          <w:rFonts w:hint="eastAsia"/>
          <w:color w:val="333333"/>
          <w:sz w:val="22"/>
          <w:szCs w:val="22"/>
        </w:rPr>
        <w:t>顺带回应一个可能的追问：“消费主义成瘾”不是一个临床诊断。这不成问题，反而正是论点所在：它算不上一个临床实体，它是笔者使用的分析范畴。第一种读法不这样命名，因为它没有这个范畴。</w:t>
      </w:r>
    </w:p>
    <w:p w14:paraId="35D4054A">
      <w:pPr>
        <w:ind w:firstLine="440" w:firstLineChars="200"/>
      </w:pPr>
      <w:r>
        <w:rPr>
          <w:rFonts w:hint="eastAsia"/>
        </w:rPr>
        <w:t>还有一层命名的自觉要交代。“成瘾”一词并不中性：它是医学与法律话语的产物，DSM 与 ICD 的相关类目就建在这个词上。本章沿用“成瘾”，不是接受了这套话语的分类，而是因为这类痛苦已经在社会话语中被这样命名——求助者会说“我上瘾了”，文献会写“购物成瘾”，这个名目先于本研究而存在。用它的名字指认它，与承认它的分类是两件事。词源上这一层看得更清楚：addictus 在罗马法上指被判交付给债权人的人，原义是债务归属，不是失控。把这个原义放回来，本章所说的“消费主义成瘾”恰好是它的字面意思：主体把自己交付给了那套要他不断偿付的循环。</w:t>
      </w:r>
    </w:p>
    <w:p w14:paraId="21DBC70B">
      <w:pPr>
        <w:pStyle w:val="000012"/>
        <w:widowControl w:val="1"/>
        <w:spacing w:before="60" w:after="60"/>
        <w:ind w:firstLine="420"/>
      </w:pPr>
      <w:r>
        <w:rPr>
          <w:rFonts w:hint="eastAsia"/>
          <w:color w:val="333333"/>
          <w:sz w:val="22"/>
          <w:szCs w:val="22"/>
        </w:rPr>
        <w:t>这里要再补一句，否则这一节的批评会被读成稻草人，这个范畴是分析性的，但它所指认的东西不是本研究发明的。“社会成因在干预层没有对应项”这一缺席，可以在 ICD-11 与 DSM-5 的分类位置里、在中文文献的干预栏里被独立观察到；4.2.2 记下的正是这一缺席，它算不上一个由本范畴凭空构造出来的空缺。范畴所起的作用只是给这一可观察的缺席一个名字；即便不使用这个范畴，成因栏与干预栏的不对称仍然在文本里。名字是后来补的，那处空位却是一开始就在的。</w:t>
      </w:r>
    </w:p>
    <w:p w14:paraId="076FBEB3">
      <w:pPr>
        <w:pStyle w:val="000008"/>
        <w:spacing w:before="100" w:beforeAutospacing="0" w:after="100" w:afterAutospacing="0"/>
      </w:pPr>
      <w:r>
        <w:rPr>
          <w:rFonts w:hint="eastAsia"/>
          <w:color w:val="333333"/>
          <w:sz w:val="32"/>
          <w:szCs w:val="32"/>
        </w:rPr>
        <w:t>4.4.2　这一对照说明了什么</w:t>
      </w:r>
    </w:p>
    <w:p w14:paraId="64F39A5D">
      <w:pPr>
        <w:pStyle w:val="000012"/>
        <w:widowControl w:val="1"/>
        <w:spacing w:before="60" w:after="60"/>
        <w:ind w:firstLine="420"/>
      </w:pPr>
      <w:r>
        <w:rPr>
          <w:rFonts w:hint="eastAsia"/>
          <w:color w:val="333333"/>
          <w:sz w:val="22"/>
          <w:szCs w:val="22"/>
        </w:rPr>
        <w:t>三处，分别对应前三章。</w:t>
      </w:r>
    </w:p>
    <w:p w14:paraId="7075CA9B">
      <w:pPr>
        <w:pStyle w:val="000012"/>
        <w:widowControl w:val="1"/>
        <w:spacing w:before="60" w:after="60"/>
        <w:ind w:firstLine="420"/>
      </w:pPr>
      <w:r>
        <w:rPr>
          <w:rFonts w:hint="eastAsia"/>
          <w:color w:val="333333"/>
          <w:sz w:val="22"/>
          <w:szCs w:val="22"/>
        </w:rPr>
        <w:t>对第一章 1.2.2 与 1.2.3 而言，第一种读法确实不承接社会维度。依据在框架处理的对象上，不在分析家的态度：4.2.1 所引的五步可以在技术教材里逐步找到页码，而五步之内没有一步把社会结构列为操作对象；4.2.4 的 Robert 个案更显示，一个明确以经济处境为触发事件的分析，其材料可以全程在个体史上运行，这算不上主观问题，是框架的问题。</w:t>
      </w:r>
    </w:p>
    <w:p w14:paraId="71EAA0EE">
      <w:pPr>
        <w:pStyle w:val="000012"/>
        <w:widowControl w:val="1"/>
        <w:spacing w:before="60" w:after="60"/>
        <w:ind w:firstLine="420"/>
      </w:pPr>
      <w:r>
        <w:rPr>
          <w:rFonts w:hint="eastAsia"/>
          <w:color w:val="333333"/>
          <w:sz w:val="22"/>
          <w:szCs w:val="22"/>
        </w:rPr>
        <w:t>对第二章 2.2.2。第一种读法不承接社会维度，不是因为它不想接。训练提供给分析家的语汇里没有这一维。4.2.2 所记的文献形态在这一侧提供了一个初步旁证：基于那次有限抽样，社会文化因素在成因栏出现、却不进入干预栏；这一形态在抽样范围内成立，尚不代表整个领域的分布。因此第二种读法不是“补一门政治经济学课”就能达到的，它改变的是读法本身。</w:t>
      </w:r>
    </w:p>
    <w:p w14:paraId="512CB7C8">
      <w:pPr>
        <w:pStyle w:val="000012"/>
        <w:widowControl w:val="1"/>
        <w:spacing w:before="60" w:after="60"/>
        <w:ind w:firstLine="420"/>
      </w:pPr>
      <w:r>
        <w:rPr>
          <w:rFonts w:hint="eastAsia"/>
          <w:color w:val="333333"/>
          <w:sz w:val="22"/>
          <w:szCs w:val="22"/>
        </w:rPr>
        <w:t>对第三章 3.5.2 所说的“不把社会维度的痛苦自动翻译成个体材料”，在第二种读法里具体长这样：症状的社会成因不被重新编码为移情位置、个人历史与欲望困境，而保留为症状的构成性条件。这一条在 4.3.2 到 4.3.5 的四层推进中各有一个落点。</w:t>
      </w:r>
    </w:p>
    <w:p w14:paraId="3B934E18">
      <w:pPr>
        <w:pStyle w:val="000008"/>
        <w:spacing w:before="100" w:beforeAutospacing="0" w:after="100" w:afterAutospacing="0"/>
      </w:pPr>
      <w:r>
        <w:rPr>
          <w:rFonts w:hint="eastAsia"/>
          <w:color w:val="333333"/>
          <w:sz w:val="32"/>
          <w:szCs w:val="32"/>
        </w:rPr>
        <w:t>4.4.3　两处的证据强度不一样</w:t>
      </w:r>
    </w:p>
    <w:p w14:paraId="1D27D1C7">
      <w:pPr>
        <w:pStyle w:val="000012"/>
        <w:widowControl w:val="1"/>
        <w:spacing w:before="60" w:after="60"/>
        <w:ind w:firstLine="420"/>
      </w:pPr>
      <w:r>
        <w:rPr>
          <w:rFonts w:hint="eastAsia"/>
          <w:color w:val="333333"/>
          <w:sz w:val="22"/>
          <w:szCs w:val="22"/>
        </w:rPr>
        <w:t>4.0 已作声明，这里把它落在具体位置：</w:t>
      </w:r>
    </w:p>
    <w:p w14:paraId="1BA777B7">
      <w:pPr>
        <w:pStyle w:val="000012"/>
        <w:widowControl w:val="1"/>
        <w:spacing w:before="60" w:after="60"/>
        <w:ind w:firstLine="420"/>
      </w:pPr>
      <w:r>
        <w:rPr>
          <w:rFonts w:hint="eastAsia"/>
          <w:color w:val="333333"/>
          <w:sz w:val="22"/>
          <w:szCs w:val="22"/>
        </w:rPr>
        <w:t>第一种读法的结论有双重依据——技术教材的议程（[9]，逐页见 4.2.1）与中文文献的实际写法（[43]）。就“现行框架不把社会维度作为对象”而言，这是一个有文本支撑的判断。</w:t>
      </w:r>
    </w:p>
    <w:p w14:paraId="02A878B5">
      <w:pPr>
        <w:ind w:firstLine="440" w:firstLineChars="200"/>
      </w:pPr>
      <w:r>
        <w:rPr>
          <w:rFonts w:hint="eastAsia"/>
        </w:rPr>
        <w:t>第二种读法的结论只有一重依据，即本研究依第三章所立方向所作的读法示范。它不涉及任何求助者，也不提供任何操作步骤；它是一项示范，不是一项验证。</w:t>
      </w:r>
    </w:p>
    <w:p w14:paraId="142B6756">
      <w:pPr>
        <w:ind w:firstLine="440" w:firstLineChars="200"/>
      </w:pPr>
      <w:r>
        <w:rPr>
          <w:rFonts w:hint="eastAsia"/>
        </w:rPr>
        <w:t>这里要把一件事说准，免得这处不对称被读成本章的缺陷。两处比的不是疗效。本章没有、也不打算给出“哪一种读法治得更好”的判断——那需要临床材料与随访，本章一件都没有。本章比的是对象的构成：同一批材料，在两种读法下被组织成两个不同的对象，一个有边界、可结案，一个把边界本身当作待解释项。对象的构成可以由文本比对来判定，疗效不能。因此第一种读法的强，强在它的对象有现成的文本依据；第二种读法的弱，弱在它的对象只能被示范出来。这不是一个公平的比较，本章也不假装它公平。</w:t>
      </w:r>
    </w:p>
    <w:p w14:paraId="60280ED5">
      <w:pPr>
        <w:pStyle w:val="000008"/>
        <w:spacing w:before="100" w:beforeAutospacing="0" w:after="100" w:afterAutospacing="0"/>
      </w:pPr>
      <w:r>
        <w:rPr>
          <w:rFonts w:hint="eastAsia"/>
          <w:color w:val="333333"/>
          <w:sz w:val="32"/>
          <w:szCs w:val="32"/>
        </w:rPr>
        <w:t>4.4.4　同一句话的两种回应</w:t>
      </w:r>
    </w:p>
    <w:p w14:paraId="7BCDE1E2">
      <w:pPr>
        <w:pStyle w:val="000012"/>
        <w:widowControl w:val="1"/>
        <w:spacing w:before="60" w:after="60"/>
        <w:ind w:firstLine="420"/>
      </w:pPr>
      <w:r>
        <w:rPr>
          <w:rFonts w:hint="eastAsia"/>
          <w:color w:val="333333"/>
          <w:sz w:val="22"/>
          <w:szCs w:val="22"/>
        </w:rPr>
        <w:t>两种读法的差别最好落在一处具体的临床瞬间里看。下面这一组不是新的临床材料，是为显示读法差别而写出的最小对照。</w:t>
      </w:r>
    </w:p>
    <w:p w14:paraId="245F9982">
      <w:pPr>
        <w:pStyle w:val="000012"/>
        <w:widowControl w:val="1"/>
        <w:spacing w:before="60" w:after="60"/>
        <w:ind w:firstLine="420"/>
      </w:pPr>
      <w:r>
        <w:rPr>
          <w:rFonts w:hint="eastAsia"/>
          <w:color w:val="333333"/>
          <w:sz w:val="22"/>
          <w:szCs w:val="22"/>
        </w:rPr>
        <w:t>求助者说：“这个月又刷爆了三张卡。我知道这样不对，可我就是控制不住。我想把这个问题解决了，回去好好过日子。”</w:t>
      </w:r>
    </w:p>
    <w:p w14:paraId="0290D431">
      <w:pPr>
        <w:pStyle w:val="000012"/>
        <w:widowControl w:val="1"/>
        <w:spacing w:before="60" w:after="60"/>
        <w:ind w:firstLine="420"/>
      </w:pPr>
      <w:r>
        <w:rPr>
          <w:rFonts w:hint="eastAsia"/>
          <w:color w:val="333333"/>
          <w:sz w:val="22"/>
          <w:szCs w:val="22"/>
        </w:rPr>
        <w:t>第一种读法的回应（据 4.2.1 五步）。先定位移情：这句“我知道这样不对”是在向谁交代？再追溯个人史：这种失控在别处出现过吗？随后把重复指认为欲望与享乐之间的纽结，并把工作指向支撑欲望的幻象，使“好好过日子”这一自我形象本身成为可被追问的东西（[9]209）。信用卡与什么社会关系绑定，在这一路径里不在议程上。</w:t>
      </w:r>
    </w:p>
    <w:p w14:paraId="0929059D">
      <w:pPr>
        <w:pStyle w:val="000012"/>
        <w:widowControl w:val="1"/>
        <w:spacing w:before="60" w:after="60"/>
        <w:ind w:firstLine="420"/>
      </w:pPr>
      <w:r>
        <w:rPr>
          <w:rFonts w:hint="eastAsia"/>
          <w:color w:val="333333"/>
          <w:sz w:val="22"/>
          <w:szCs w:val="22"/>
        </w:rPr>
        <w:t>第二种读法的回应（据 4.3 四层）。不把“控制不住”接受为需要被消除的个体缺陷，先问这个循环提供了什么：买完之后是什么，不买的时候是什么（4.3.2）；把“三张卡”读成一个被生产出来的需要形态，不是意志力的读数（4.3.3）；注意“好好过日子”里已经缝合进去的等值链（4.3.4）；终点仍是同一处，使消费不再需要回答“我是谁”（4.3.5）。</w:t>
      </w:r>
    </w:p>
    <w:p w14:paraId="05C91927">
      <w:pPr>
        <w:pStyle w:val="000012"/>
        <w:widowControl w:val="1"/>
        <w:spacing w:before="60" w:after="60"/>
        <w:ind w:firstLine="420"/>
      </w:pPr>
      <w:r>
        <w:rPr>
          <w:rFonts w:hint="eastAsia"/>
          <w:color w:val="333333"/>
          <w:sz w:val="22"/>
          <w:szCs w:val="22"/>
        </w:rPr>
        <w:t>两段路都可能通向一次幻象关系的改变，差别在于终点被陈述的方式。第一种读法所陈述的终点是：他不再需要那个补丁工具。第二种读法所要求的终点还包括一件事不再被跳过：那个装置为什么在他这里需要被修好。这一处对照是读法的对照，不是步骤清单；它要说的是同一句话在两种读法里被处理成不同的对象，与两种回应的优劣无关。</w:t>
      </w:r>
    </w:p>
    <w:p w14:paraId="0ED6B1B9">
      <w:pPr>
        <w:pStyle w:val="000007"/>
        <w:spacing w:before="100" w:beforeAutospacing="0" w:after="100" w:afterAutospacing="0"/>
      </w:pPr>
      <w:bookmarkStart w:id="23" w:name="_Toc243148909"/>
      <w:r>
        <w:rPr>
          <w:rFonts w:hint="eastAsia"/>
          <w:color w:val="333333"/>
          <w:sz w:val="32"/>
          <w:szCs w:val="32"/>
        </w:rPr>
        <w:t>4.5　文献的失语</w:t>
      </w:r>
      <w:bookmarkEnd w:id="23"/>
    </w:p>
    <w:p w14:paraId="5D6CB224">
      <w:pPr>
        <w:pStyle w:val="000008"/>
        <w:spacing w:before="100" w:beforeAutospacing="0" w:after="100" w:afterAutospacing="0"/>
      </w:pPr>
      <w:r>
        <w:rPr>
          <w:rFonts w:hint="eastAsia"/>
          <w:color w:val="333333"/>
          <w:sz w:val="32"/>
          <w:szCs w:val="32"/>
        </w:rPr>
        <w:t>4.5.1　把征候读法用在文献上</w:t>
      </w:r>
    </w:p>
    <w:p w14:paraId="2DFB0145">
      <w:pPr>
        <w:pStyle w:val="000012"/>
        <w:widowControl w:val="1"/>
        <w:spacing w:before="60" w:after="60"/>
        <w:ind w:firstLine="420"/>
      </w:pPr>
      <w:r>
        <w:rPr>
          <w:rFonts w:hint="eastAsia"/>
          <w:color w:val="333333"/>
          <w:sz w:val="22"/>
          <w:szCs w:val="22"/>
        </w:rPr>
        <w:t>4.1.3 已经辨明，征候读法的本义是读文本的沉默；本节把它用在临床文献上。</w:t>
      </w:r>
    </w:p>
    <w:p w14:paraId="116C8704">
      <w:pPr>
        <w:pStyle w:val="000012"/>
        <w:widowControl w:val="1"/>
        <w:spacing w:before="60" w:after="60"/>
        <w:ind w:firstLine="420"/>
      </w:pPr>
      <w:r>
        <w:rPr>
          <w:rFonts w:hint="eastAsia"/>
          <w:color w:val="333333"/>
          <w:sz w:val="22"/>
          <w:szCs w:val="22"/>
        </w:rPr>
        <w:t>一种被广泛采用的案例报告格式是：主诉—评估—干预—疗效。这一格式在中文的临床写作规范里是现成的，相关的案例写作教材即按这一路数组织案例。[42]</w:t>
      </w:r>
    </w:p>
    <w:p w14:paraId="0B845ADB">
      <w:pPr>
        <w:pStyle w:val="000012"/>
        <w:widowControl w:val="1"/>
        <w:spacing w:before="60" w:after="60"/>
        <w:ind w:firstLine="420"/>
      </w:pPr>
      <w:r>
        <w:rPr>
          <w:rFonts w:hint="eastAsia"/>
          <w:color w:val="333333"/>
          <w:sz w:val="22"/>
          <w:szCs w:val="22"/>
        </w:rPr>
        <w:t>这一格式不是本研究从中文文献里归纳出来的，它同时也是英语世界教材自己写下的规定。北美一本通行的动力学治疗临床手册把评估写成一条固定流程：先以开放式提问发现“主诉”（chief complaint），再取精神科现病史与既往史、发育史，作 DSM 多轴诊断，评自我功能（含特征性防御），评超我功能，最后列出强项与弱项[57]15。这本手册第 5 章把案例表述拆成四项，标题即为“问题→人→目标→资源”模型[57]43。另一本英国通行的动力学治疗导论体例不同，却把“工作不稳定”与“失业”写进了发展阶段一章[60]55。</w:t>
      </w:r>
    </w:p>
    <w:p w14:paraId="6F9E3216">
      <w:pPr>
        <w:pStyle w:val="000012"/>
        <w:widowControl w:val="1"/>
        <w:spacing w:before="60" w:after="60"/>
        <w:ind w:firstLine="420"/>
      </w:pPr>
      <w:r>
        <w:rPr>
          <w:rFonts w:hint="eastAsia"/>
          <w:color w:val="333333"/>
          <w:sz w:val="22"/>
          <w:szCs w:val="22"/>
        </w:rPr>
        <w:t>本节的命题到这里要拆成两层看。第一层是格式本身：这一层的判断不必再停在“待验证”的强度上。格式诸项要求上的推导，和两本非拉康派教材对这一格式的自我规定，指向的是同一件事；再加上一次抽样检索，这一层站得住。第二层是文献的实际形态：这一层仍待系统核验，下一步的工作是按同一口径逐篇核对中文案例报告，抽取若干份，逐栏记录“主诉—评估—干预—疗效”四项中是否出现劳动组织、雇佣状况与消费主义意识形态。</w:t>
      </w:r>
    </w:p>
    <w:p w14:paraId="22F46E7B">
      <w:pPr>
        <w:pStyle w:val="000012"/>
        <w:widowControl w:val="1"/>
        <w:spacing w:before="60" w:after="60"/>
        <w:ind w:firstLine="420"/>
      </w:pPr>
      <w:r>
        <w:rPr>
          <w:rFonts w:hint="eastAsia"/>
          <w:color w:val="333333"/>
          <w:sz w:val="22"/>
          <w:szCs w:val="22"/>
        </w:rPr>
        <w:t>命题本身仍然清楚：这个格式本身就在执行一次翻译。</w:t>
      </w:r>
    </w:p>
    <w:p w14:paraId="163F1B29">
      <w:pPr>
        <w:pStyle w:val="000012"/>
        <w:widowControl w:val="1"/>
        <w:spacing w:before="60" w:after="60"/>
        <w:ind w:firstLine="420"/>
      </w:pPr>
      <w:r>
        <w:rPr>
          <w:rFonts w:hint="eastAsia"/>
          <w:color w:val="333333"/>
          <w:sz w:val="22"/>
          <w:szCs w:val="22"/>
        </w:rPr>
        <w:t>一个案例报告要成为可发表的文本，必得先把症状整理成可评估、可结案的形态：主诉要能概括，评估要有可对照的分类位置，干预要能被描述为若干操作，疗效要能在某一时点上被判断，这一整套要求决定了什么样的内容可以被写进去。</w:t>
      </w:r>
    </w:p>
    <w:p w14:paraId="0E01A966">
      <w:pPr>
        <w:pStyle w:val="000012"/>
        <w:widowControl w:val="1"/>
        <w:spacing w:before="60" w:after="60"/>
        <w:ind w:firstLine="420"/>
      </w:pPr>
      <w:r>
        <w:rPr>
          <w:rFonts w:hint="eastAsia"/>
          <w:color w:val="333333"/>
          <w:sz w:val="22"/>
          <w:szCs w:val="22"/>
        </w:rPr>
        <w:t>有人会说，这不过是案例报告体例的老毛病，把格式改一改就行了。这个说法把体例当成一件可以随手换掉的外壳。而问题恰恰在于，体例不是一层外壳，它管辖的不只是句子怎么写，还有什么算作一项可写的内容。凡是不能被整理成这种形态的东西，就落在报告格式之外。当事人所处的劳动组织、雇佣的不稳定、消费主义意识形态对自我期待的规定，这些东西既不能被写成“评估”项，也不能被写成“干预”项，更无法在随访中给出一个“疗效”的读数，它们于是成为文献的系统性沉默。很显然是，想换掉一个外壳的人往往忘了一件事：填在里面的东西，本来就是照着这个壳的形状长出来的。</w:t>
      </w:r>
    </w:p>
    <w:p w14:paraId="70CC55B0">
      <w:pPr>
        <w:pStyle w:val="000012"/>
        <w:widowControl w:val="1"/>
        <w:spacing w:before="60" w:after="60"/>
        <w:ind w:firstLine="420"/>
      </w:pPr>
      <w:r>
        <w:rPr>
          <w:rFonts w:hint="eastAsia"/>
          <w:color w:val="333333"/>
          <w:sz w:val="22"/>
          <w:szCs w:val="22"/>
        </w:rPr>
        <w:t>这里可以借阿尔都塞自己的语汇把它说准。张一兵把“问题式”界定为“作为现代科学认识论中研究中心的主导性‘理论框架’（或称认知结构）”，它“令一种理论能够以特定的方式提出和解决问题”[73]26。案例报告的四项格式正是这样一套问题式：它并不禁止写社会维度，它只是没有为它准备位置。这与 4.1.3 是同一件事的两面，那边说的是读沉默的方法，这边说的是沉默由什么造成。</w:t>
      </w:r>
    </w:p>
    <w:p w14:paraId="6A004482">
      <w:pPr>
        <w:pStyle w:val="000012"/>
        <w:widowControl w:val="1"/>
        <w:spacing w:before="60" w:after="60"/>
        <w:ind w:firstLine="420"/>
      </w:pPr>
      <w:r>
        <w:rPr>
          <w:rFonts w:hint="eastAsia"/>
          <w:color w:val="333333"/>
          <w:sz w:val="22"/>
          <w:szCs w:val="22"/>
        </w:rPr>
        <w:t>这次抽样检索中有一例可以直接引。姜海丽、丛玉明的一篇个案研究用“元认知干预技术”处理一名女大学生的网购成瘾；据其摘要，干预方式是“临床暗示学习”，也就是在“放松训练中输入正确的程序性知识”，所得结论是这一方法对这一类问题的干预具有“有效性”，求助者可以做到“想放能放下”[44]。在这一处置里，“网购”只是成瘾行为发生的场所，电商平台、促销机制与消费指令本身既不在评估项里，也不在干预项里。这不是一篇写得不好的报告，它是一篇在格式上无可指摘的报告：正因为格式允许它被写成这样，社会维度才不必被写进去，也不会被读作缺失。很显然是，这是照着模子刻出来的合格件，问题不在刻的人手艺如何，在那只模子。</w:t>
      </w:r>
    </w:p>
    <w:p w14:paraId="27512DEF">
      <w:pPr>
        <w:pStyle w:val="000012"/>
        <w:widowControl w:val="1"/>
        <w:spacing w:before="60" w:after="60"/>
        <w:ind w:firstLine="420"/>
      </w:pPr>
      <w:r>
        <w:rPr>
          <w:rFonts w:hint="eastAsia"/>
          <w:color w:val="333333"/>
          <w:sz w:val="22"/>
          <w:szCs w:val="22"/>
        </w:rPr>
        <w:t>这里要补一处证据归属，因为它关系到本节命题的适用范围。这一例属元认知干预取向（与认知行为疗法同属行为—认知谱系），不是拉康派；把它放在本节的证据位上，正是因为这一处沉默并不依赖学派。若换成一例拉康取向的案例报告，格式的四项要求是一样的：主诉要能概括，评估要有可对照的分类位置，干预要能写成若干操作，疗效要能在一个时点上被判定。因此本节所论的约束算不上某一学派内部的做法，它是任何要按这一格式发表的报告都要服从的条件。学派差异在这一项上不产生差别，这一条才是它作为结构约束的证据；反过来说，若正式检索发现拉康取向的报告的确把社会维度写了进去，那才构成反例。</w:t>
      </w:r>
    </w:p>
    <w:p w14:paraId="705BE337">
      <w:pPr>
        <w:pStyle w:val="000012"/>
        <w:widowControl w:val="1"/>
        <w:spacing w:before="60" w:after="60"/>
        <w:ind w:firstLine="420"/>
      </w:pPr>
      <w:r>
        <w:rPr>
          <w:rFonts w:hint="eastAsia"/>
          <w:color w:val="333333"/>
          <w:sz w:val="22"/>
          <w:szCs w:val="22"/>
        </w:rPr>
        <w:t>两本教材把这一沉默的机制说得比中文文献更清楚，因为它们都把“社会”放进了一个明确的位置上，而那个位置不是分析对象。</w:t>
      </w:r>
    </w:p>
    <w:p w14:paraId="1028BA6E">
      <w:pPr>
        <w:pStyle w:val="000012"/>
        <w:widowControl w:val="1"/>
        <w:spacing w:before="60" w:after="60"/>
        <w:ind w:firstLine="420"/>
      </w:pPr>
      <w:r>
        <w:rPr>
          <w:rFonts w:hint="eastAsia"/>
          <w:color w:val="333333"/>
          <w:sz w:val="22"/>
          <w:szCs w:val="22"/>
        </w:rPr>
        <w:t>先看北美那本手册。它的评估清单里确实有一项涉及社会，叫作“资源与社会矩阵”（Resources and social matrix），要求治疗师不仅评估求助者的问题与内在资源，还要评估其外部资源与社会处境[57]22。但紧接着给出的例子是：一个只在这个国家再待两个月的人，不适合作长程动力学治疗[57]22。社会处境在这里的功能是判断候选资格、规定设置的现实条件，不在被分析之列。再看它处理“失业”的方式：全书里失业只出现在讲自我感受维护的一章，与重大疾病、爱情中的背叛、移居并列，作为使功能受损的“灾难性打击”之一[57]280，它是一个触发事件，不是干预项。第 5 章那四项于是各有归属：问题是对症状的心理学描述，人是发育史与人格结构，目标是临床可表述的改变，资源是求助者自身可动用的支持。劳动组织、雇佣状况、消费主义意识形态不落在任何一项里，它们算不上症状的心理学描述，也不是人格结构或可表述的临床目标，更不是求助者手上可动用的资源。</w:t>
      </w:r>
    </w:p>
    <w:p w14:paraId="0584D4C6">
      <w:pPr>
        <w:pStyle w:val="000012"/>
        <w:widowControl w:val="1"/>
        <w:spacing w:before="60" w:after="60"/>
        <w:ind w:firstLine="420"/>
      </w:pPr>
      <w:r>
        <w:rPr>
          <w:rFonts w:hint="eastAsia"/>
          <w:color w:val="333333"/>
          <w:sz w:val="22"/>
          <w:szCs w:val="22"/>
        </w:rPr>
        <w:t>英国那本导论的两处落点更直白。它在讨论发展阶段时明确写入“工作不稳定与失业”，但这一写入的后果被限定在发展时序上，即推迟亲密关系的建立与养育计划[60]55。在讨论医患关系时，社会阶级与族群差异确实被提起，落点却是“不同阶级与族群之间广泛存在的焦虑与不信任”，也就是一种妨碍信任建立的态度与偏见[60]97。社会因素在这本书里出现两次，一次作为发展背景，一次作为需要被克服的态度问题，两次都不在评估与干预的条目里。</w:t>
      </w:r>
    </w:p>
    <w:p w14:paraId="53E355FE">
      <w:pPr>
        <w:pStyle w:val="000012"/>
        <w:widowControl w:val="1"/>
        <w:spacing w:before="60" w:after="60"/>
        <w:ind w:firstLine="420"/>
      </w:pPr>
      <w:r>
        <w:rPr>
          <w:rFonts w:hint="eastAsia"/>
          <w:color w:val="333333"/>
          <w:sz w:val="22"/>
          <w:szCs w:val="22"/>
        </w:rPr>
        <w:t>评估栏里的“分类位置”还能再挖一层。4.2.2 记下的第一项事实是分类的缺席：ICD-11 把强迫性购物障碍列入“其他特定冲动控制障碍”，DSM-5 未把它列为独立条目。分类在这里看上去是描述，实际上是裁决。</w:t>
      </w:r>
    </w:p>
    <w:p w14:paraId="5366D59A">
      <w:pPr>
        <w:pStyle w:val="000012"/>
        <w:widowControl w:val="1"/>
        <w:spacing w:before="60" w:after="60"/>
        <w:ind w:firstLine="420"/>
      </w:pPr>
      <w:r>
        <w:rPr>
          <w:rFonts w:hint="eastAsia"/>
          <w:color w:val="333333"/>
          <w:sz w:val="22"/>
          <w:szCs w:val="22"/>
        </w:rPr>
        <w:t>拉康派内部有专门处理。雷德蒙（Jonathan D. Redmond）在讨论轻度精神病时指出，当代精神医学的镜片偏向明显的阳性现象，而“这种对精神病的狭窄理解，与 DSM 中的当代精神病学分类学如出一辙”；他由此把诊断框架本身当作需要被审视的对象，它算不上描述症状的中性工具[61]1。另一侧的例子更直接。格罗维奇复盘了“跨性别”在分类史上的位置变动：1980 年 DSM 把“性偏离”（paraphilia）作为“负担较轻的指称”收进行话，取代了旧词“性倒错”（perversion）；而在此前一步，Money 提出“常态偏好”（normophilia）时，用的就是一次“去病理化的姿态”（a depathologizing gesture）[62]49。把跨性别身份从精神障碍分类中移出，则要靠一项又一项实地研究来推动，其中一项是以墨西哥样本为 ICD-11 所作的实地研究[62]26。分类的每一次改动都伴随一次争论，这说明它从来不是对既有事实的记录，它是一次关于什么算病的裁决。</w:t>
      </w:r>
    </w:p>
    <w:p w14:paraId="2B1D571A">
      <w:pPr>
        <w:pStyle w:val="000012"/>
        <w:widowControl w:val="1"/>
        <w:spacing w:before="60" w:after="60"/>
        <w:ind w:firstLine="420"/>
      </w:pPr>
      <w:r>
        <w:rPr>
          <w:rFonts w:hint="eastAsia"/>
          <w:color w:val="333333"/>
          <w:sz w:val="22"/>
          <w:szCs w:val="22"/>
        </w:rPr>
        <w:t>把这一层接回来，4.2.2 那栏“分类位置”就不只是一项事实记录。现行框架把一个由社会条件持续生产出来的痛苦，安置在一个以个体冲动为名的类目里；类目一旦确定，干预的形态也就随之确定，因为任何分类都自带一套对应的处置方式。格子里放什么，格子自己会决定——它先划好了形状，再只收那些能塞进来的东西。</w:t>
      </w:r>
    </w:p>
    <w:p w14:paraId="1FA35857">
      <w:pPr>
        <w:pStyle w:val="000008"/>
        <w:spacing w:before="100" w:beforeAutospacing="0" w:after="100" w:afterAutospacing="0"/>
      </w:pPr>
      <w:r>
        <w:rPr>
          <w:rFonts w:hint="eastAsia"/>
          <w:color w:val="333333"/>
          <w:sz w:val="32"/>
          <w:szCs w:val="32"/>
        </w:rPr>
        <w:t>4.5.2　接回前两章</w:t>
      </w:r>
    </w:p>
    <w:p w14:paraId="5880B78D">
      <w:pPr>
        <w:pStyle w:val="000012"/>
        <w:widowControl w:val="1"/>
        <w:spacing w:before="60" w:after="60"/>
        <w:ind w:firstLine="420"/>
      </w:pPr>
      <w:r>
        <w:rPr>
          <w:rFonts w:hint="eastAsia"/>
          <w:color w:val="333333"/>
          <w:sz w:val="22"/>
          <w:szCs w:val="22"/>
        </w:rPr>
        <w:t>接回第一章 1.3.2。那一节指出概念被削平为可快速识别、快速归类的标签，材料只是用来证明概念的现成例子。本节补上的是另一侧：材料的可写性也被格式预先规定了。两侧合起来，才是“未承接”在写作上的完整形态。概念侧与材料侧各自完成了同一件事的一半。</w:t>
      </w:r>
    </w:p>
    <w:p w14:paraId="5D0E9408">
      <w:pPr>
        <w:pStyle w:val="000012"/>
        <w:widowControl w:val="1"/>
        <w:spacing w:before="60" w:after="60"/>
        <w:ind w:firstLine="420"/>
      </w:pPr>
      <w:r>
        <w:rPr>
          <w:rFonts w:hint="eastAsia"/>
          <w:color w:val="333333"/>
          <w:sz w:val="22"/>
          <w:szCs w:val="22"/>
        </w:rPr>
        <w:t>接回第二章 2.1.1。那一节指出，“结束”的判据在制度中被时长、双方同意与功能判据所替代。报告格式所要求的“疗效”，与认证制度所要求的可判定的“结束”，是同一种东西：一个可核验的替代物。它们都要把一个不可判定的东西换成一个可以记录、可以计数、可以写进评语的东西。技术规范与发表格式在这里是同构的。很显然是，表面上是两个不相干的场子——一个在诊室里定“结没结束”，一个在期刊上判“有没有效”——底下用的是同一把尺子。</w:t>
      </w:r>
    </w:p>
    <w:p w14:paraId="1351E1C2">
      <w:pPr>
        <w:pStyle w:val="000008"/>
        <w:spacing w:before="100" w:beforeAutospacing="0" w:after="100" w:afterAutospacing="0"/>
      </w:pPr>
      <w:r>
        <w:rPr>
          <w:rFonts w:hint="eastAsia"/>
          <w:color w:val="333333"/>
          <w:sz w:val="32"/>
          <w:szCs w:val="32"/>
        </w:rPr>
        <w:t>4.5.3　两条边界</w:t>
      </w:r>
    </w:p>
    <w:p w14:paraId="474E83B4">
      <w:pPr>
        <w:pStyle w:val="000012"/>
        <w:widowControl w:val="1"/>
        <w:spacing w:before="60" w:after="60"/>
        <w:ind w:firstLine="420"/>
      </w:pPr>
      <w:r>
        <w:rPr>
          <w:rFonts w:hint="eastAsia"/>
          <w:color w:val="333333"/>
          <w:sz w:val="22"/>
          <w:szCs w:val="22"/>
        </w:rPr>
        <w:t>其一，这是文本命题，不是经验命题。本节说的是格式的约束，与当事人的动机无关。它不主张写作者有意回避什么；恰恰相反，正因为这一约束先于个人意愿，它才是结构性的。那么，一份写不出这些的案例报告，算是写坏了吗？恐怕不算，它是按格式写对了。</w:t>
      </w:r>
    </w:p>
    <w:p w14:paraId="2A1F5B05">
      <w:pPr>
        <w:pStyle w:val="000012"/>
        <w:widowControl w:val="1"/>
        <w:spacing w:before="60" w:after="60"/>
        <w:ind w:firstLine="420"/>
      </w:pPr>
      <w:r>
        <w:rPr>
          <w:rFonts w:hint="eastAsia"/>
          <w:color w:val="333333"/>
          <w:sz w:val="22"/>
          <w:szCs w:val="22"/>
        </w:rPr>
        <w:t>其二，沉默不等于空缺。社会维度的缺席在报告里表现为“没有写”，但它在临床语境中并未消失——它只是没有获得一个可以在这一格式中出现的位置。这正是阿尔都塞那句话的意思：看不见的东西并不是不存在，它是“理所当然地从看得见的领域被排挤出来”。[41]18</w:t>
      </w:r>
    </w:p>
    <w:p w14:paraId="0FF3A55D">
      <w:pPr>
        <w:pStyle w:val="000007"/>
        <w:spacing w:before="100" w:beforeAutospacing="0" w:after="100" w:afterAutospacing="0"/>
      </w:pPr>
      <w:bookmarkStart w:id="24" w:name="_Toc243148910"/>
      <w:r>
        <w:rPr>
          <w:rFonts w:hint="eastAsia"/>
          <w:color w:val="333333"/>
          <w:sz w:val="32"/>
          <w:szCs w:val="32"/>
        </w:rPr>
        <w:t>4.6　本章的结论</w:t>
      </w:r>
      <w:bookmarkEnd w:id="24"/>
    </w:p>
    <w:p w14:paraId="111B8C66">
      <w:pPr>
        <w:pStyle w:val="000012"/>
        <w:widowControl w:val="1"/>
        <w:spacing w:before="60" w:after="60"/>
        <w:ind w:firstLine="420"/>
      </w:pPr>
      <w:r>
        <w:rPr>
          <w:rFonts w:hint="eastAsia"/>
          <w:color w:val="333333"/>
          <w:sz w:val="22"/>
          <w:szCs w:val="22"/>
        </w:rPr>
        <w:t>一、同一个症状可以在两种读法下显出不同的对象。在第一种读法里，消费主义成瘾的成因被安置在个体的强迫性、个人史与享乐纽结之内；在第二种读法里，同一批材料显出的是资本主义话语在一个具体主体身上的运行。二者的差别不在解释的精细程度，而在对象的范围。</w:t>
      </w:r>
    </w:p>
    <w:p w14:paraId="68E5CD97">
      <w:pPr>
        <w:pStyle w:val="000012"/>
        <w:widowControl w:val="1"/>
        <w:spacing w:before="60" w:after="60"/>
        <w:ind w:firstLine="420"/>
      </w:pPr>
      <w:r>
        <w:rPr>
          <w:rFonts w:hint="eastAsia"/>
          <w:color w:val="333333"/>
          <w:sz w:val="22"/>
          <w:szCs w:val="22"/>
        </w:rPr>
        <w:t>二、两种读法的终点不同，而这一不同对第一章扣下的那个问题给出了一个有限的回答。第一章 1.2.3 与第二章 2.1.4 留下的问题是：这一路线是否把“分析的结束”等同于主体被安置进符号秩序。据本节的对照，答案是否定的：第一种读法的终点是基本幻象在个体史与移情内的重构（[9]70-71、[9]209），“被安置得好”算不上它的判据。但这个否定有一个限度，而限度就是那个悬置了三章的命题现在得到的答案：在制度上可核验、在文献里可写下的表述，只剩下一件可计数、可结案的事。于是，把“结束”表述为符号秩序内的安置，不是这一框架的原初主张，它是这一框架的终点所能被表述出来的限度。第二种读法所要的终点是主体不再需要用消费来回答“我是谁”，而这一终点在现行的结束判据下无处可写，这正是 4.5 要说明的那种沉默。</w:t>
      </w:r>
    </w:p>
    <w:p w14:paraId="530CFDF5">
      <w:pPr>
        <w:pStyle w:val="000012"/>
        <w:widowControl w:val="1"/>
        <w:spacing w:before="60" w:after="60"/>
        <w:ind w:firstLine="420"/>
      </w:pPr>
      <w:r>
        <w:rPr>
          <w:rFonts w:hint="eastAsia"/>
          <w:color w:val="333333"/>
          <w:sz w:val="22"/>
          <w:szCs w:val="22"/>
        </w:rPr>
        <w:t>三、“未承接”在材料上有独立的印证，但这一印证有它的范围。4.2.4 的 Robert 个案与 4.2.2 所记的文献形态各自显示，社会成因被承认为诱因，却不进入操作项；前者是可直接复核的文本实录，后者是有限抽样的初步观察。两处材料互不相关，却指向同一结构，这一点支持第二章的诊断。需要说清的是：两处材料都属于社会成因较为显性的情形，因此这一印证确认的是“在显性材料上框架确实不承接”，而不是“在一切症状上都不承接”。</w:t>
      </w:r>
    </w:p>
    <w:p w14:paraId="3477939F">
      <w:pPr>
        <w:pStyle w:val="000012"/>
        <w:widowControl w:val="1"/>
        <w:spacing w:before="60" w:after="60"/>
        <w:ind w:firstLine="420"/>
      </w:pPr>
      <w:r>
        <w:rPr>
          <w:rFonts w:hint="eastAsia"/>
          <w:color w:val="333333"/>
          <w:sz w:val="22"/>
          <w:szCs w:val="22"/>
        </w:rPr>
        <w:t>还有三件事这一章判不了。第二种读法在真实临床中是否可行、求助者能否承受、分析家能否站稳这个位置，没有临床材料就无从判断，本章也不做疗效判断。第二种读法本身也在话语之内：按第三章的结论，逃离大学话语必然重新踏进去，这一读法同样处在学术话语与理论话语之中，它算不上站在资本主义话语外面所作的陈述，它是话语内部保持的一处裂隙，这处得写明，否则本章会显得像在提供一个立足点。最后，典型性不等于普遍性。这一章的适用范围需要正面写出，不能只用一句免责声明带过。</w:t>
      </w:r>
    </w:p>
    <w:p w14:paraId="6A66F8A6">
      <w:pPr>
        <w:ind w:firstLine="440" w:firstLineChars="200"/>
      </w:pPr>
      <w:r>
        <w:rPr>
          <w:rFonts w:hint="eastAsia"/>
        </w:rPr>
        <w:t>关于适用范围。本章的诊断在两处成立，在两处不成立。成立的：一是社会成因写在材料表面的症状——消费主义成瘾、与劳动处境直接相关的焦虑、以身体形象为轴并受媒介供给推动的痛苦，这类症状的描写一旦抽掉社会条件就不完整，“不翻译”因此有确定的对象；二是制度与写作层面，无论症状属哪一类，可发表的案例报告格式与可核验的结束判据都是同一套，4.5 的结论不依赖症状类型。不成立的：一是社会指涉需要绕道的症状——强迫仪式、恐惧对象，其内容可以是私人性的，硬把劳动关系读进去就是外加，4.3.6 已划此线；二是分析家位置层面，3.5.3 所说的“承认自己在话语内部”与症状类型无关，本章为它提供的是论证，不是材料。因此准确的说法是：本文证明了框架在社会成因显性的材料上系统性地不承接，并证明了写作与认证格式对一切症状一视同仁地施加约束；至于框架在隐性材料上是否同样不承接，本章没有回答。第二章的诊断应按此范围来读：它针对的是制度装置与对象清单，不是对全部临床症状的经验概括。</w:t>
      </w:r>
    </w:p>
    <w:p w14:paraId="0B5DF9DC">
      <w:pPr>
        <w:pStyle w:val="000012"/>
        <w:widowControl w:val="1"/>
        <w:spacing w:before="60" w:after="60"/>
        <w:ind w:firstLine="420"/>
      </w:pPr>
      <w:r>
        <w:rPr>
          <w:rFonts w:hint="eastAsia"/>
          <w:color w:val="333333"/>
          <w:sz w:val="22"/>
          <w:szCs w:val="22"/>
        </w:rPr>
        <w:t>同样要说清这一章不做什么。它不给出治疗方案，不写“分析家应当做 A、B、C”，按第一章的论证，一旦写成规范，它立刻变成新的工具化；4.4.4 给出的是同一句话在两种读法中的去向，不是一份可以照着做的步骤清单。它也不评价两种读法的优劣：第一种读法所处理的移情、个人史与享乐纽结固然都是真实的，分析里照样要做，这里要指出的是终点不同，问题不在第一种读法做得好不好。它更不宣称已经完成了“重新接入”：第三章所立的方向只是方向，本章把它们放到一个症状上读了一遍，这只是一次示范；真正的检验需要一条可落地的路径，而这条路径要成立需要满足哪些条件，只能另作专门讨论。</w:t>
      </w:r>
    </w:p>
    <w:p w14:paraId="2F472292">
      <w:pPr/>
      <w:r>
        <w:br w:type="page"/>
      </w:r>
    </w:p>
    <w:p w14:paraId="570616FA">
      <w:pPr>
        <w:keepNext w:val="1"/>
        <w:keepLines w:val="1"/>
        <w:spacing w:before="100" w:beforeAutospacing="1" w:after="100" w:afterAutospacing="1"/>
        <w:outlineLvl w:val="0"/>
        <w:rPr>
          <w:sz w:val="44"/>
          <w:szCs w:val="44"/>
        </w:rPr>
      </w:pPr>
      <w:bookmarkStart w:id="25" w:name="_Toc243148911"/>
      <w:r>
        <w:rPr>
          <w:rFonts w:hint="eastAsia"/>
          <w:b w:val="1"/>
          <w:sz w:val="44"/>
        </w:rPr>
        <w:t>参考文献</w:t>
      </w:r>
      <w:bookmarkEnd w:id="25"/>
    </w:p>
    <w:p w14:paraId="1FAC49CB">
      <w:pPr/>
      <w:r>
        <w:rPr>
          <w:rFonts w:hint="eastAsia"/>
        </w:rPr>
        <w:t>[1] [法]雅克·拉康. 雅克·拉康研讨班七：精神分析的伦理学（1959—1960）[M]. [法]雅克-阿兰·米勒, 编. 卢毅, 译. 北京: 商务印书馆, 2021.</w:t>
      </w:r>
    </w:p>
    <w:p w14:paraId="2F97A379">
      <w:pPr/>
      <w:r>
        <w:rPr>
          <w:rFonts w:hint="eastAsia"/>
        </w:rPr>
        <w:t>[2] Lacan J. Kant with Sade[M]//Écrits: The First Complete Translation in English. Trans. Fink B, Fink H, Grigg R. New York: W. W. Norton, 2006: 645-668.</w:t>
      </w:r>
    </w:p>
    <w:p w14:paraId="676731AC">
      <w:pPr/>
      <w:r>
        <w:rPr>
          <w:rFonts w:hint="eastAsia"/>
        </w:rPr>
        <w:t>[3] [法]雅克·拉康. 拉康选集[M]. 褚孝泉, 译. 上海: 上海三联书店, 2001.</w:t>
      </w:r>
    </w:p>
    <w:p w14:paraId="7CE96FB8">
      <w:pPr/>
      <w:r>
        <w:rPr>
          <w:rFonts w:hint="eastAsia"/>
        </w:rPr>
        <w:t>[4] Lacan J. The Direction of the Treatment and the Principles of Its Power[M]//Écrits: The First Complete Translation in English. Trans. Fink B, Fink H, Grigg R. New York: W. W. Norton, 2006: 489-542.</w:t>
      </w:r>
    </w:p>
    <w:p w14:paraId="226FD6B0">
      <w:pPr/>
      <w:r>
        <w:rPr>
          <w:rFonts w:hint="eastAsia"/>
        </w:rPr>
        <w:t>[5] Lacan J. Le Séminaire, livre XVII: L'envers de la psychanalyse (1969—1970)[M]. Texte établi par Miller J-A. Paris: Seuil, 1991.</w:t>
      </w:r>
    </w:p>
    <w:p w14:paraId="378BE6B2">
      <w:pPr/>
      <w:r>
        <w:rPr>
          <w:rFonts w:hint="eastAsia"/>
        </w:rPr>
        <w:t>[6] Miller J-A. Les six paradigmes de la jouissance[J]. La Cause freudienne, 1999(43).</w:t>
      </w:r>
    </w:p>
    <w:p w14:paraId="0D1DFC74">
      <w:pPr/>
      <w:r>
        <w:rPr>
          <w:rFonts w:hint="eastAsia"/>
        </w:rPr>
        <w:t>[7] Miller J-A. La Suture: Éléments de la logique du signifiant[J]. Cahiers pour l'Analyse, 1966, 1(3).</w:t>
      </w:r>
    </w:p>
    <w:p w14:paraId="526AB40C">
      <w:pPr/>
      <w:r>
        <w:rPr>
          <w:rFonts w:hint="eastAsia"/>
        </w:rPr>
        <w:t>[8] Hallward P, Peden K. Concept and Form, Volume 1: Selections from the Cahiers pour l'Analyse; Volume 2: Interviews and Essays on the Cahiers pour l'Analyse[M]. London: Verso, 2012.</w:t>
      </w:r>
    </w:p>
    <w:p w14:paraId="628A1C41">
      <w:pPr/>
      <w:r>
        <w:rPr>
          <w:rFonts w:hint="eastAsia"/>
        </w:rPr>
        <w:t>[9] Fink B. A Clinical Introduction to Lacanian Psychoanalysis: Theory and Technique[M]. Cambridge, MA: Harvard University Press, 1997.</w:t>
      </w:r>
    </w:p>
    <w:p w14:paraId="676AD908">
      <w:pPr/>
      <w:r>
        <w:rPr>
          <w:rFonts w:hint="eastAsia"/>
        </w:rPr>
        <w:t>[10] [美]布鲁斯·芬克. 精神分析技术的基础：拉康派实践者指南[M]. 张慧强, 徐雅珺, 译. 上海: 上海社会科学院出版社, 2022.</w:t>
      </w:r>
    </w:p>
    <w:p w14:paraId="0914E592">
      <w:pPr/>
      <w:r>
        <w:rPr>
          <w:rFonts w:hint="eastAsia"/>
        </w:rPr>
        <w:t>[11] Lacan J. Proposition du 9 octobre 1967 sur le psychanalyste de l'École[M]//Autres écrits. Paris: Seuil, 2001: 243-259.（英译：Proposition of 9 October 1967 on the Psychoanalyst of the School, trans. R. Grigg；本文所标页码据该英译本的页序）</w:t>
      </w:r>
    </w:p>
    <w:p w14:paraId="01B7C778">
      <w:pPr/>
      <w:r>
        <w:rPr>
          <w:rFonts w:hint="eastAsia"/>
        </w:rPr>
        <w:t>[12] [斯洛文尼亚]斯拉沃热·齐泽克. 意识形态的崇高客体[M]. 2 版. 季广茂, 译. 北京: 中央编译出版社, 2017.</w:t>
      </w:r>
    </w:p>
    <w:p w14:paraId="026BE744">
      <w:pPr/>
      <w:r>
        <w:rPr>
          <w:rFonts w:hint="eastAsia"/>
        </w:rPr>
        <w:t>[13] 赵淳. 拉康精神分析的伦理学悖论[J]. 外国文学, 2023(2): 82-94.</w:t>
      </w:r>
    </w:p>
    <w:p w14:paraId="0093D6AE">
      <w:pPr/>
      <w:r>
        <w:rPr>
          <w:rFonts w:hint="eastAsia"/>
        </w:rPr>
        <w:t>[14] 赵淳. 拉康的精神分析伦理学：一种批判的姿态[J]. 外国文学研究, 2021, 43(5): 93-105.</w:t>
      </w:r>
    </w:p>
    <w:p w14:paraId="429F7373">
      <w:pPr/>
      <w:r>
        <w:rPr>
          <w:rFonts w:hint="eastAsia"/>
        </w:rPr>
        <w:t>[15] 崔健, 舒练. 拉康“三界学说”对意识形态理论的启示及其局限[J]. 世界哲学, 2021(1): 102-109.</w:t>
      </w:r>
    </w:p>
    <w:p w14:paraId="7A1CD55C">
      <w:pPr/>
      <w:r>
        <w:rPr>
          <w:rFonts w:hint="eastAsia"/>
        </w:rPr>
        <w:t>[16] Lacan J. Science and Truth[M]//Écrits: The First Complete Translation in English. Trans. Fink B, Fink H, Grigg R. New York: W. W. Norton, 2006: 726-745.</w:t>
      </w:r>
    </w:p>
    <w:p w14:paraId="3F322D19">
      <w:pPr/>
      <w:r>
        <w:rPr>
          <w:rFonts w:hint="eastAsia"/>
        </w:rPr>
        <w:t>[17] Badiou A. Number and Numbers[M]. Trans. Mackay R. Cambridge: Polity, 2008.</w:t>
      </w:r>
    </w:p>
    <w:p w14:paraId="02F8E988">
      <w:pPr/>
      <w:r>
        <w:rPr>
          <w:rFonts w:hint="eastAsia"/>
        </w:rPr>
        <w:t>[18] Žižek S. 'Suture,' Forty Years Later[M]//Hallward P, Peden K. Concept and Form, Volume 2: Interviews and Essays on the Cahiers pour l'Analyse. London: Verso, 2012: 147-167.</w:t>
      </w:r>
    </w:p>
    <w:p w14:paraId="2223CAE5">
      <w:pPr/>
      <w:r>
        <w:rPr>
          <w:rFonts w:hint="eastAsia"/>
        </w:rPr>
        <w:t>[19] [德]康德. 道德形而上学原理[M]. 苗力田, 译. 上海: 上海人民出版社, 2023.</w:t>
      </w:r>
    </w:p>
    <w:p w14:paraId="522B676B">
      <w:pPr/>
      <w:r>
        <w:rPr>
          <w:rFonts w:hint="eastAsia"/>
        </w:rPr>
        <w:t>[20] [古希腊]索福克勒斯. 索福克勒斯悲剧五种[M]. 罗念生, 译. 上海: 上海人民出版社, 2018.</w:t>
      </w:r>
    </w:p>
    <w:p w14:paraId="662B5580">
      <w:pPr/>
      <w:r>
        <w:rPr>
          <w:rFonts w:hint="eastAsia"/>
        </w:rPr>
        <w:t>[21] 成都精神分析中心. 会员、分析家制度[EB/OL]. [2026-09-28]. http://www.cpsac.org.cn/about/83.html.</w:t>
      </w:r>
    </w:p>
    <w:p w14:paraId="277C0357">
      <w:pPr/>
      <w:r>
        <w:rPr>
          <w:rFonts w:hint="eastAsia"/>
        </w:rPr>
        <w:t>[22] Freud S. Analysis Terminable and Interminable[M]//The Standard Edition of the Complete Psychological Works of Sigmund Freud: Vol. XXIII. London: Hogarth Press, 1964: 209-254.</w:t>
      </w:r>
    </w:p>
    <w:p w14:paraId="5B98F366">
      <w:pPr/>
      <w:r>
        <w:rPr>
          <w:rFonts w:hint="eastAsia"/>
        </w:rPr>
        <w:t>[23] 成都精神分析中心. 成都精神分析中心的分析设置（成人）[EB/OL]. [2026-09-28]. http://www.cpsac.org.cn/about/91.html.</w:t>
      </w:r>
    </w:p>
    <w:p w14:paraId="15BE853F">
      <w:pPr/>
      <w:r>
        <w:rPr>
          <w:rFonts w:hint="eastAsia"/>
        </w:rPr>
        <w:t>[24] 成都精神分析中心. 霍大同访谈1：精神分析培训[EB/OL]. 2012-05-04. http://www.cpsac.org.cn/news/89_610.html.</w:t>
      </w:r>
    </w:p>
    <w:p w14:paraId="490A78A9">
      <w:pPr/>
      <w:r>
        <w:rPr>
          <w:rFonts w:hint="eastAsia"/>
        </w:rPr>
        <w:t>[25] Lacan J. L'expérience de la passe[M]//Lettres de l'École, n° 23, 1978: 180-181.</w:t>
      </w:r>
    </w:p>
    <w:p w14:paraId="31C3BCC5">
      <w:pPr/>
      <w:r>
        <w:rPr>
          <w:rFonts w:hint="eastAsia"/>
        </w:rPr>
        <w:t>[26] Lacan J. Lettre à Élisabeth Roudinesco (14 mars 1977)[M]//Pas tout Lacan.</w:t>
      </w:r>
    </w:p>
    <w:p w14:paraId="3D2D8F15">
      <w:pPr/>
      <w:r>
        <w:rPr>
          <w:rFonts w:hint="eastAsia"/>
        </w:rPr>
        <w:t>[27] École de la Cause freudienne. Le redépart de la passe: Recueil des textes présentés[M/OL]. Première Journée de la passe, 7 octobre 2023. https://www.causefreudienne.org/app/uploads/2024/04/Le-redepart-de-la-passe.pdf.</w:t>
      </w:r>
    </w:p>
    <w:p w14:paraId="17D6F757">
      <w:pPr/>
      <w:r>
        <w:rPr>
          <w:rFonts w:hint="eastAsia"/>
        </w:rPr>
        <w:t>[28] École de la Cause freudienne. Annuaire 2024[EB/OL]. 2024-06-13. https://www.causefreudienne.org/app/uploads/2024/06/ANNUAIRE-SITE-pour-site-juin-2024.pdf.</w:t>
      </w:r>
    </w:p>
    <w:p w14:paraId="2CDB8EDC">
      <w:pPr/>
      <w:r>
        <w:rPr>
          <w:rFonts w:hint="eastAsia"/>
        </w:rPr>
        <w:t>[29] Statutes of the World Association of Psychoanalysis[EB/OL]. 2008-04-29. https://londonsociety-nls.org.uk/statutes-of-the-world-association-of-psychoanalysis-amp/.</w:t>
      </w:r>
    </w:p>
    <w:p w14:paraId="7E0467FB">
      <w:pPr/>
      <w:r>
        <w:rPr>
          <w:rFonts w:hint="eastAsia"/>
        </w:rPr>
        <w:t>[30] Miller J-A. La passe, c'est deux choses[M/OL]. 转引自 École de la Cause freudienne. La passe[EB/OL]. https://www.causefreudienne.org/la-passe/.</w:t>
      </w:r>
    </w:p>
    <w:p w14:paraId="0A161521">
      <w:pPr/>
      <w:r>
        <w:rPr>
          <w:rFonts w:hint="eastAsia"/>
        </w:rPr>
        <w:t>[31] Lacan J. Le moment de conclure: Séance du 10 janvier 1978[M]. 速记稿.</w:t>
      </w:r>
    </w:p>
    <w:p w14:paraId="0C3539BB">
      <w:pPr/>
      <w:r>
        <w:rPr>
          <w:rFonts w:hint="eastAsia"/>
        </w:rPr>
        <w:t>[32] Nobus D. Jacques Lacan and the Freudian Practice of Psychoanalysis[M]. London: Routledge, 2000.</w:t>
      </w:r>
    </w:p>
    <w:p w14:paraId="70F46AE3">
      <w:pPr/>
      <w:r>
        <w:rPr>
          <w:rFonts w:hint="eastAsia"/>
        </w:rPr>
        <w:t>[33] [法]雅克·拉康. 精神分析的四个基本概念：研讨班第十一卷[M]. The Seminar of Jacques Lacan, Book XI: The Four Fundamental Concepts of Psychoanalysis. Trans. Sheridan A. London: Hogarth Press, 1977.</w:t>
      </w:r>
    </w:p>
    <w:p w14:paraId="6BB569E4">
      <w:pPr/>
      <w:r>
        <w:rPr>
          <w:rFonts w:hint="eastAsia"/>
        </w:rPr>
        <w:t>[34] [斯洛文尼亚]斯拉沃热·齐泽克. 视差之见[M]. 季广茂, 译. 杭州: 浙江大学出版社, 2014.</w:t>
      </w:r>
    </w:p>
    <w:p w14:paraId="29AC5188">
      <w:pPr/>
      <w:r>
        <w:rPr>
          <w:rFonts w:hint="eastAsia"/>
        </w:rPr>
        <w:t>[35] Žižek S. Less Than Nothing: Hegel and the Shadow of Dialectical Materialism[M]. London: Verso, 2012.</w:t>
      </w:r>
    </w:p>
    <w:p w14:paraId="52C09211">
      <w:pPr/>
      <w:r>
        <w:rPr>
          <w:rFonts w:hint="eastAsia"/>
        </w:rPr>
        <w:t>[36] Tomšič S. The Capitalist Unconscious: Marx and Lacan[M]. London: Verso, 2015.</w:t>
      </w:r>
    </w:p>
    <w:p w14:paraId="40B070D7">
      <w:pPr/>
      <w:r>
        <w:rPr>
          <w:rFonts w:hint="eastAsia"/>
        </w:rPr>
        <w:t>[37] Stavrakakis Y. The Lacanian Left: Psychoanalysis, Theory, Politics[M]. Edinburgh: Edinburgh University Press, 2007.</w:t>
      </w:r>
    </w:p>
    <w:p w14:paraId="4BE5B9B4">
      <w:pPr/>
      <w:r>
        <w:rPr>
          <w:rFonts w:hint="eastAsia"/>
        </w:rPr>
        <w:t>[38] 马克思. 资本论：第一卷[M]. 北京: 人民出版社, 1975.</w:t>
      </w:r>
    </w:p>
    <w:p w14:paraId="471200D0">
      <w:pPr/>
      <w:r>
        <w:rPr>
          <w:rFonts w:hint="eastAsia"/>
        </w:rPr>
        <w:t>[39] 马克思恩格斯选集：第一卷[M]. 中共中央马克思恩格斯列宁斯大林著作编译局, 编译. 2 版. 北京: 人民出版社, 1995.</w:t>
      </w:r>
    </w:p>
    <w:p w14:paraId="18B5FDE9">
      <w:pPr/>
      <w:r>
        <w:rPr>
          <w:rFonts w:hint="eastAsia"/>
        </w:rPr>
        <w:t>[40] [法]达妮埃尔·布里约. 拉康精神分析的临床概念化：从临床个案引入拉康精神分析的研讨班[M]. 李新雨, 译. 北京: 中国轻工业出版社, 2025.</w:t>
      </w:r>
    </w:p>
    <w:p w14:paraId="18DA9F06">
      <w:pPr/>
      <w:r>
        <w:rPr>
          <w:rFonts w:hint="eastAsia"/>
        </w:rPr>
        <w:t>[41] [法]路易·阿尔都塞, [法]艾蒂安·巴里巴尔. 读《资本论》[M]. 李其庆, 冯文光, 译. 北京: 中央编译出版社, 2001.</w:t>
      </w:r>
    </w:p>
    <w:p w14:paraId="161378AE">
      <w:pPr/>
      <w:r>
        <w:rPr>
          <w:rFonts w:hint="eastAsia"/>
        </w:rPr>
        <w:t>[42] [美]南希·麦克威廉斯. 精神分析案例解析[M]. 钟慧, 等译. 李鸣, 审校. 北京: 中国轻工业出版社, 2015.</w:t>
      </w:r>
    </w:p>
    <w:p w14:paraId="04097A57">
      <w:pPr/>
      <w:r>
        <w:rPr>
          <w:rFonts w:hint="eastAsia"/>
        </w:rPr>
        <w:t>[43] 赵杨, 王志华, 王林. 品牌忠诚和时间压力对强迫性网购行为的影响机制研究[J]. 东北大学学报（社会科学版）, 2020, 22(5): 40-48+89.</w:t>
      </w:r>
    </w:p>
    <w:p w14:paraId="7AA707E3">
      <w:pPr/>
      <w:r>
        <w:rPr>
          <w:rFonts w:hint="eastAsia"/>
        </w:rPr>
        <w:t>[44] 姜海丽, 丛玉明. 帮你和淘宝说“byebye”——元认知干预技术对大学生网购成瘾的个案研究[J]. 社会心理科学, 2014, 29(8): 53-55.</w:t>
      </w:r>
    </w:p>
    <w:p w14:paraId="74E676B7">
      <w:pPr/>
      <w:r>
        <w:rPr>
          <w:rFonts w:hint="eastAsia"/>
        </w:rPr>
        <w:t>[45] Schneiderman S. Returning to Freud: Clinical Psychoanalysis in the School of Lacan[M]. New Haven: Yale University Press, 1980.</w:t>
      </w:r>
    </w:p>
    <w:p w14:paraId="48653002">
      <w:pPr/>
      <w:r>
        <w:rPr>
          <w:rFonts w:hint="eastAsia"/>
        </w:rPr>
        <w:t>[46] Dor J. Introduction to the Reading of Lacan: The Unconscious Structured Like a Language[M]. New York: Other Press, 1998.</w:t>
      </w:r>
    </w:p>
    <w:p w14:paraId="6CEF9B5C">
      <w:pPr/>
      <w:r>
        <w:rPr>
          <w:rFonts w:hint="eastAsia"/>
        </w:rPr>
        <w:t>[47] Evans D. An Introductory Dictionary of Lacanian Psychoanalysis[M]. London: Routledge, 1996.</w:t>
      </w:r>
    </w:p>
    <w:p w14:paraId="3F280212">
      <w:pPr/>
      <w:r>
        <w:rPr>
          <w:rFonts w:hint="eastAsia"/>
        </w:rPr>
        <w:t>[48] 成都精神分析中心. 中心介绍[EB/OL]. [2026-09-28]. http://www.cpsac.org.cn/about/60.html.</w:t>
      </w:r>
    </w:p>
    <w:p w14:paraId="7CE44ADF">
      <w:pPr/>
      <w:r>
        <w:rPr>
          <w:rFonts w:hint="eastAsia"/>
        </w:rPr>
        <w:t>[49] 成都精神分析中心. 理论讨论班活动记录[EB/OL]. [2026-09-28]. http://www.cpsac.org.cn/.</w:t>
      </w:r>
    </w:p>
    <w:p w14:paraId="5D194126">
      <w:pPr/>
      <w:r>
        <w:rPr>
          <w:rFonts w:hint="eastAsia"/>
        </w:rPr>
        <w:t>[50] 刘司墨. 论齐泽克性化的主体性[D]. 上海: 上海社会科学院, 2018.</w:t>
      </w:r>
    </w:p>
    <w:p w14:paraId="2CE53DA0">
      <w:pPr/>
      <w:r>
        <w:rPr>
          <w:rFonts w:hint="eastAsia"/>
        </w:rPr>
        <w:t>[51] 孔明安, 王雅俊. 论精神分析伦理学及其欲望向度[J]. 哲学动态, 2024(1): 109-116.</w:t>
      </w:r>
    </w:p>
    <w:p w14:paraId="7179EF66">
      <w:pPr/>
      <w:r>
        <w:rPr>
          <w:rFonts w:hint="eastAsia"/>
        </w:rPr>
        <w:t>[52] 黄秋萍. 论精神分析伦理学中的善与恶[J]. 世界哲学, 2023(6): 147-156+158.</w:t>
      </w:r>
    </w:p>
    <w:p w14:paraId="6DE218CF">
      <w:pPr/>
      <w:r>
        <w:rPr>
          <w:rFonts w:hint="eastAsia"/>
        </w:rPr>
        <w:t>[53] 肖炜静. 形式同构：马克思与齐泽克论“节欲”[J]. 中国图书评论, 2025(2): 106-114.</w:t>
      </w:r>
    </w:p>
    <w:p w14:paraId="15DEA7AD">
      <w:pPr/>
      <w:r>
        <w:rPr>
          <w:rFonts w:hint="eastAsia"/>
        </w:rPr>
        <w:t>[54] Pavón-Cuéllar D. Capitalist discourse: Marx, Lacan and the neoliberal jouissance of capital[J]. In Analysis, 2024, 8(3): 1-7.</w:t>
      </w:r>
    </w:p>
    <w:p w14:paraId="19D34FAC">
      <w:pPr/>
      <w:r>
        <w:rPr>
          <w:rFonts w:hint="eastAsia"/>
        </w:rPr>
        <w:t>[55] 王洁, 陈健芷, 高爽. 从物质主义价值观视角看强迫性购物：一项元分析[J]. 中国临床心理学杂志, 2014, 22(3): 451-456.</w:t>
      </w:r>
    </w:p>
    <w:p w14:paraId="5AA43952">
      <w:pPr/>
      <w:r>
        <w:rPr>
          <w:rFonts w:hint="eastAsia"/>
        </w:rPr>
        <w:t>[56] 曾欣虹, 陈飞. 大学生网络强迫性购物的调查研究[J]. 福建师大福清分校学报, 2015(1): 66-73.</w:t>
      </w:r>
    </w:p>
    <w:p w14:paraId="6937F5B3">
      <w:pPr/>
      <w:r>
        <w:rPr>
          <w:rFonts w:hint="eastAsia"/>
        </w:rPr>
        <w:t>[57] Cabaniss D L, Cherry S, Douglas C J, et al. Psychodynamic Psychotherapy: A Clinical Manual[M]. Chichester: Wiley-Blackwell, 2011.</w:t>
      </w:r>
    </w:p>
    <w:p w14:paraId="22D9B7FC">
      <w:pPr/>
      <w:r>
        <w:rPr>
          <w:rFonts w:hint="eastAsia"/>
        </w:rPr>
        <w:t>[58] Gabbard G O, Litowitz B E, Williams P. Textbook of Psychoanalysis[M]. 2nd ed. Washington, DC: American Psychiatric Publishing, 2012.</w:t>
      </w:r>
    </w:p>
    <w:p w14:paraId="1573FDDD">
      <w:pPr/>
      <w:r>
        <w:rPr>
          <w:rFonts w:hint="eastAsia"/>
        </w:rPr>
        <w:t>[59] Levenson H, Gay V, Binder J L. Deliberate Practice in Psychodynamic Psychotherapy[M]. Washington, DC: American Psychological Association, 2023.</w:t>
      </w:r>
    </w:p>
    <w:p w14:paraId="1DDECD6C">
      <w:pPr/>
      <w:r>
        <w:rPr>
          <w:rFonts w:hint="eastAsia"/>
        </w:rPr>
        <w:t>[60] Bateman A, Brown D, Pedder J. Introduction to Psychotherapy: An Outline of Psychodynamic Principles and Practice[M]. 4th ed. London: Routledge, 2010.</w:t>
      </w:r>
    </w:p>
    <w:p w14:paraId="077B5C50">
      <w:pPr/>
      <w:r>
        <w:rPr>
          <w:rFonts w:hint="eastAsia"/>
        </w:rPr>
        <w:t>[61] Redmond J D. Ordinary Psychosis and the Body: A Contemporary Lacanian Approach[M]. Basingstoke: Palgrave Macmillan, 2014.</w:t>
      </w:r>
    </w:p>
    <w:p w14:paraId="229125C2">
      <w:pPr/>
      <w:r>
        <w:rPr>
          <w:rFonts w:hint="eastAsia"/>
        </w:rPr>
        <w:t>[62] Gherovici P. Transgender Psychoanalysis: A Lacanian Perspective on Sexual Difference[M]. London: Routledge, 2017.</w:t>
      </w:r>
    </w:p>
    <w:p w14:paraId="35623BE6">
      <w:pPr/>
      <w:r>
        <w:rPr>
          <w:rFonts w:hint="eastAsia"/>
        </w:rPr>
        <w:t>[63] Salecl R, Žižek S. Gaze and Voice as Love Objects[M]. Durham: Duke University Press, 1996.</w:t>
      </w:r>
    </w:p>
    <w:p w14:paraId="14A0B7C8">
      <w:pPr/>
      <w:r>
        <w:rPr>
          <w:rFonts w:hint="eastAsia"/>
        </w:rPr>
        <w:t>[64] 韩振江. 齐泽克意识形态理论研究[M]. 北京: 人民出版社, 2009.</w:t>
      </w:r>
    </w:p>
    <w:p w14:paraId="74B7233C">
      <w:pPr/>
      <w:r>
        <w:rPr>
          <w:rFonts w:hint="eastAsia"/>
        </w:rPr>
        <w:t>[65] [美]布鲁斯·芬克. 拉康式主体：在语言与享乐之间[M]. 张慧强, 译. 上海: 上海文艺出版社, 2024.</w:t>
      </w:r>
    </w:p>
    <w:p w14:paraId="30CF9BC0">
      <w:pPr/>
      <w:r>
        <w:rPr>
          <w:rFonts w:hint="eastAsia"/>
        </w:rPr>
        <w:t>[66] [斯洛文尼亚]斯拉沃热·齐泽克, [英]格林·戴利. 要求不可能：对话齐泽克[M]. 胡顺, 译. 上海: 上海三联书店, 2025.</w:t>
      </w:r>
    </w:p>
    <w:p w14:paraId="2796DE68">
      <w:pPr/>
      <w:r>
        <w:rPr>
          <w:rFonts w:hint="eastAsia"/>
        </w:rPr>
        <w:t>[67] 林哲元. 空无与行动：齐泽克左翼激进政治理论研究[M]. 北京: 北京师范大学出版社, 2018.</w:t>
      </w:r>
    </w:p>
    <w:p w14:paraId="61DF0476">
      <w:pPr/>
      <w:r>
        <w:rPr>
          <w:rFonts w:hint="eastAsia"/>
        </w:rPr>
        <w:t>[68] 科朗. 精神分析与哲学：第十讲[EB/OL]. 霍大同, 译. 居飞, 校. 成都: 成都精神分析中心, 2012-05-04 [2026-10-03]. http://www.cpsac.org.cn/news/67_649.html.</w:t>
      </w:r>
    </w:p>
    <w:p w14:paraId="43BB040D">
      <w:pPr/>
      <w:r>
        <w:rPr>
          <w:rFonts w:hint="eastAsia"/>
        </w:rPr>
        <w:t>[69] 霍大同. 在中国（成都）培养精神分析家的独特性（上、下）[EB/OL]. 萧晓曦, 译. 成都: 成都精神分析中心, 2012-01-03 [2026-10-03]. http://www.cpsac.org.cn/news/70_473.html；http://www.cpsac.org.cn/news/70_474.html.</w:t>
      </w:r>
    </w:p>
    <w:p w14:paraId="789730C0">
      <w:pPr/>
      <w:r>
        <w:rPr>
          <w:rFonts w:hint="eastAsia"/>
        </w:rPr>
        <w:t>[70] Perelson S. O passe: da articulação entre a autonomia e a dependência[J]. Psicologia Clínica, 2009, 21(2): 329-343. DOI: 10.1590/S0103-56652009000200006.</w:t>
      </w:r>
    </w:p>
    <w:p w14:paraId="5B362145">
      <w:pPr/>
      <w:r>
        <w:rPr>
          <w:rFonts w:hint="eastAsia"/>
        </w:rPr>
        <w:t>[71] Lacan J. Note italienne[M]//Autres écrits. Paris: Seuil, 2001: 307-311.</w:t>
      </w:r>
    </w:p>
    <w:p w14:paraId="46A74715">
      <w:pPr/>
      <w:r>
        <w:rPr>
          <w:rFonts w:hint="eastAsia"/>
        </w:rPr>
        <w:t>[72] Bibliographie sur la « Proposition du 9 octobre 1967 » de J. Lacan, suivie des occurrences « passe »[Z]. Document établi avec la bibliothèque de l'École lacanienne de psychanalyse, 2005.</w:t>
      </w:r>
    </w:p>
    <w:p w14:paraId="1A5EC381">
      <w:pPr/>
      <w:r>
        <w:rPr>
          <w:rFonts w:hint="eastAsia"/>
        </w:rPr>
        <w:t>[73] 张一兵. 问题式、症候阅读与意识形态：关于阿尔都塞的一种文本学解读[M]. 北京: 中央编译出版社, 2003.</w:t>
      </w:r>
    </w:p>
    <w:p w14:paraId="407EDB4B">
      <w:pPr/>
      <w:r>
        <w:rPr>
          <w:rFonts w:hint="eastAsia"/>
        </w:rPr>
        <w:t>[74] 严泽胜. 穿越“我思”的幻象：拉康主体性理论及其当代效应[M]. 北京: 东方出版社, 2007.</w:t>
      </w:r>
    </w:p>
    <w:p w14:paraId="5DAFA542">
      <w:pPr/>
      <w:r>
        <w:rPr>
          <w:rFonts w:hint="eastAsia"/>
        </w:rPr>
        <w:t>[75] [法]乔治·巴塔耶. 被诅咒的部分[M]. 刘云虹, 胡陈尧, 译. 南京: 南京大学出版社, 2019.</w:t>
      </w:r>
    </w:p>
    <w:p w14:paraId="3663CD16">
      <w:pPr/>
      <w:r>
        <w:rPr>
          <w:rFonts w:hint="eastAsia"/>
        </w:rPr>
        <w:t>[76] [意]吉奥乔·阿甘本. 神圣人：至高权力与赤裸生命[M]. 吴冠军, 译. 北京: 中央编译出版社, 2016.</w:t>
      </w:r>
    </w:p>
    <w:p w14:paraId="2DBFA55A">
      <w:pPr/>
      <w:r>
        <w:rPr>
          <w:rFonts w:hint="eastAsia"/>
        </w:rPr>
        <w:t>[77] Safdie J, Safdie B. Uncut Gems[Z]. New York: A24, 2019.</w:t>
      </w:r>
    </w:p>
    <w:p w14:paraId="2C3737CD">
      <w:pPr/>
      <w:r>
        <w:rPr>
          <w:rFonts w:hint="eastAsia"/>
        </w:rPr>
        <w:t>[78] [美]赫伯特·马尔库塞. 单向度的人：发达工业社会意识形态研究[M]. 刘继, 译. 上海: 上海译文出版社, 2014.</w:t>
      </w:r>
    </w:p>
    <w:p w14:paraId="5D647F99">
      <w:pPr/>
      <w:r>
        <w:rPr>
          <w:rFonts w:hint="eastAsia"/>
        </w:rPr>
        <w:t>[79] [德]马克斯·霍克海默, [德]西奥多·阿道尔诺. 启蒙辩证法：哲学断片[M]. 渠敬东, 曹卫东, 译. 上海: 上海人民出版社, 2006.</w:t>
      </w:r>
    </w:p>
    <w:p w14:paraId="737FFF66">
      <w:pPr/>
      <w:r>
        <w:rPr>
          <w:rFonts w:hint="eastAsia"/>
        </w:rPr>
        <w:t>[80] Lacan J. The Sinthome: The Seminar of Jacques Lacan, Book XXIII[M]. Miller J-A, ed. Price A R, trans. Cambridge: Polity, 2016.</w:t>
      </w:r>
    </w:p>
    <w:p w14:paraId="1075DEB3">
      <w:pPr>
        <w:rPr>
          <w:szCs w:val="22"/>
        </w:rPr>
      </w:pPr>
      <w:r>
        <w:rPr>
          <w:rFonts w:hint="eastAsia"/>
          <w:szCs w:val="22"/>
        </w:rPr>
        <w:t>[81] [法]米歇尔·福柯. 性经验史（第三卷）：关注自我[M]. 余碧平, 译. 上海: 上海人民出版社, 2016.</w:t>
      </w:r>
    </w:p>
    <w:p w14:paraId="14ED2936">
      <w:pPr>
        <w:rPr>
          <w:rFonts w:hint="eastAsia" w:ascii="黑体" w:hAnsi="黑体" w:eastAsia="黑体" w:cs="黑体"/>
          <w:szCs w:val="22"/>
        </w:rPr>
      </w:pPr>
      <w:r>
        <w:rPr>
          <w:rFonts w:hint="eastAsia" w:ascii="黑体" w:hAnsi="黑体" w:eastAsia="黑体" w:cs="黑体"/>
          <w:szCs w:val="22"/>
        </w:rPr>
        <w:t>[82] [美]朱迪斯·巴特勒. 安提戈涅的诉求：生与死之间的亲缘关系[M]. 王楠, 译. 郑州: 河南大学出版社, 2017.</w:t>
      </w:r>
    </w:p>
    <w:p w14:paraId="6952A839">
      <w:pPr>
        <w:rPr>
          <w:rFonts w:hint="eastAsia" w:ascii="宋体" w:hAnsi="宋体" w:eastAsia="宋体" w:cs="宋体"/>
          <w:szCs w:val="22"/>
        </w:rPr>
      </w:pPr>
      <w:r>
        <w:rPr>
          <w:rFonts w:hint="eastAsia" w:ascii="黑体" w:hAnsi="黑体" w:eastAsia="黑体" w:cs="黑体"/>
          <w:szCs w:val="22"/>
        </w:rPr>
        <w:t>[83] Lacan J. On a Purpose[M]//Écrits: The First Complete Translation in English. Trans. Fink B, Fink H, Grigg R. New York: W. W.</w:t>
      </w:r>
      <w:r>
        <w:rPr>
          <w:rFonts w:ascii="宋体" w:hAnsi="宋体" w:eastAsia="宋体" w:cs="宋体"/>
          <w:szCs w:val="22"/>
        </w:rPr>
        <w:t xml:space="preserve"> Norton, 2006: 303-307.</w:t>
      </w:r>
    </w:p>
    <w:p w14:paraId="230C87F9">
      <w:pPr>
        <w:rPr>
          <w:rFonts w:hint="eastAsia" w:ascii="黑体" w:hAnsi="黑体" w:eastAsia="黑体" w:cs="黑体"/>
          <w:szCs w:val="22"/>
        </w:rPr>
      </w:pPr>
      <w:r>
        <w:rPr>
          <w:rFonts w:hint="eastAsia" w:ascii="黑体" w:hAnsi="黑体" w:eastAsia="黑体" w:cs="黑体"/>
          <w:szCs w:val="22"/>
        </w:rPr>
        <w:t>[84] [法]米歇尔·福柯. 规训与惩罚：监狱的诞生[M]. 2 版. 刘北成, 杨远婴, 译. 北京: 生活·读书·新知三联书店, 2003.</w:t>
      </w:r>
    </w:p>
    <w:p w14:paraId="32C91933">
      <w:pPr>
        <w:rPr>
          <w:rFonts w:hint="eastAsia" w:ascii="黑体" w:hAnsi="黑体" w:eastAsia="黑体" w:cs="黑体"/>
          <w:szCs w:val="22"/>
        </w:rPr>
      </w:pPr>
      <w:r>
        <w:rPr>
          <w:rFonts w:hint="eastAsia" w:ascii="黑体" w:hAnsi="黑体" w:eastAsia="黑体" w:cs="黑体"/>
          <w:szCs w:val="22"/>
        </w:rPr>
        <w:t>[85] [法]P. 布尔迪厄. 国家精英：名牌大学与群体精神[M]. 杨亚平, 译. 北京: 商务印书馆, 2004.</w:t>
      </w:r>
    </w:p>
    <w:p w14:paraId="67D886C7">
      <w:pPr>
        <w:rPr>
          <w:rFonts w:hint="eastAsia" w:ascii="黑体" w:hAnsi="黑体" w:eastAsia="黑体" w:cs="黑体"/>
          <w:szCs w:val="22"/>
        </w:rPr>
      </w:pPr>
      <w:r>
        <w:rPr>
          <w:rFonts w:hint="eastAsia" w:ascii="黑体" w:hAnsi="黑体" w:eastAsia="黑体" w:cs="黑体"/>
          <w:szCs w:val="22"/>
        </w:rPr>
        <w:t>[86] [美]迈克尔·W. 阿普尔. 意识形态与课程[M]. 黄忠敬, 译. 袁振国, 审校. 上海: 华东师范大学出版社, 2001.</w:t>
      </w:r>
    </w:p>
    <w:p w14:paraId="78B7648B">
      <w:pPr>
        <w:rPr>
          <w:rFonts w:hint="eastAsia" w:ascii="黑体" w:hAnsi="黑体" w:eastAsia="黑体" w:cs="黑体"/>
          <w:szCs w:val="22"/>
        </w:rPr>
      </w:pPr>
      <w:r>
        <w:rPr>
          <w:rFonts w:hint="eastAsia" w:ascii="黑体" w:hAnsi="黑体" w:eastAsia="黑体" w:cs="黑体"/>
          <w:szCs w:val="22"/>
        </w:rPr>
        <w:t>[87] [美]兰德尔·柯林斯. 文凭社会：教育与分层的历史社会学[M]. 刘冉, 译. 纪东杰, 校. 北京: 北京大学出版社, 2018.</w:t>
      </w:r>
    </w:p>
    <w:p w14:paraId="2E992A0C">
      <w:pPr>
        <w:jc w:val="both"/>
        <w:rPr>
          <w:bCs w:val="1"/>
        </w:rPr>
      </w:pPr>
      <w:r>
        <w:rPr>
          <w:rFonts w:hint="eastAsia"/>
          <w:bCs w:val="1"/>
        </w:rPr>
        <w:t>[88] [英]恩斯特·拉克劳, [英]尚塔尔·墨菲. 领导权与社会主义的策略：走向激进民主政治[M]. 尹树广, 鉴传今, 译. 哈尔滨: 黑龙江人民出版社, 2003.</w:t>
      </w:r>
    </w:p>
    <w:p w14:paraId="44EEEA72">
      <w:pPr/>
      <w:r>
        <w:rPr>
          <w:rFonts w:hint="eastAsia"/>
        </w:rPr>
        <w:t>[89] [法]让·鲍德里亚. 消费社会[M]. 刘成富, 全志钢, 译. 南京: 南京大学出版社, 2014.</w:t>
      </w:r>
    </w:p>
    <w:p w14:paraId="1CA4FA52">
      <w:pPr>
        <w:ind w:firstLineChars="0"/>
      </w:pPr>
      <w:r>
        <w:rPr>
          <w:rFonts w:hint="eastAsia"/>
        </w:rPr>
        <w:t>[90] Parker I. What is wrong with the discourse of the university in psychotherapy training?[J]. European Journal of Psychotherapy &amp; Counselling, 2001, 4(1): 27-43.</w:t>
      </w:r>
    </w:p>
    <w:sectPr w:rsidR="006C3CC8">
      <w:pgSz w:w="12240" w:h="15840"/>
      <w:pgMar w:top="1440" w:right="1800" w:bottom="1440" w:left="1800" w:header="720" w:footer="720" w:gutter="0"/>
      <w:cols w:space="72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continuationSeparator" w:id="1">
    <w:p w14:paraId="4ADC5E06">
      <w:pPr>
        <w:spacing w:line="240" w:lineRule="auto"/>
      </w:pPr>
      <w:r>
        <w:continuationSeparator/>
      </w:r>
    </w:p>
  </w:endnote>
  <w:endnote w:type="separator" w:id="0">
    <w:p w14:paraId="0A15DC92">
      <w:pPr>
        <w:spacing w:line="240" w:lineRule="auto"/>
      </w:pPr>
      <w:r>
        <w:separator/>
      </w:r>
    </w:p>
  </w:endnote>
</w:endnotes>
</file>

<file path=word/fontTable.xml><?xml version="1.0" encoding="utf-8"?>
<w:fonts xmlns:w="http://schemas.openxmlformats.org/wordprocessingml/2006/main">
  <w:font w:name="黑体">
    <w:altName w:val="SimHei"/>
    <w:panose1 w:val="02010609060101010101"/>
    <w:charset w:val="86" w:characterSet="ISO-8859-1"/>
    <w:family w:val="modern"/>
    <w:pitch w:val="fixed"/>
    <w:sig w:usb0="800002BF" w:usb1="38CF7CFA"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continuationSeparator" w:id="1">
    <w:p w14:paraId="1E5DB38C">
      <w:pPr>
        <w:spacing w:after="0"/>
      </w:pPr>
      <w:r>
        <w:continuationSeparator/>
      </w:r>
    </w:p>
  </w:footnote>
  <w:footnote w:type="separator" w:id="0">
    <w:p w14:paraId="0355DFF1">
      <w:pPr>
        <w:spacing w:after="0"/>
      </w:pPr>
      <w:r>
        <w:separator/>
      </w:r>
    </w:p>
  </w:footnote>
</w:footnotes>
</file>

<file path=word/settings.xml><?xml version="1.0" encoding="utf-8"?>
<w:settings xmlns:w="http://schemas.openxmlformats.org/wordprocessingml/2006/main">
  <w:zoom w:percent="100"/>
  <w:bordersDoNotSurroundHeader w:val="1"/>
  <w:bordersDoNotSurroundFooter w:val="1"/>
  <w:defaultTabStop w:val="420"/>
  <w:noPunctuationKerning w:val="1"/>
  <w:characterSpacingControl w:val="doNotCompress"/>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doNotWrapTextWithPunct w:val="1"/>
    <w:doNotUseEastAsianBreakRules w:val="1"/>
    <w:useFELayout w:val="1"/>
    <w:compatSetting w:name="doNotFlipMirrorIndent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4"/>
    <w:compatSetting w:name="enableOpenTypeFeatures" w:uri="http://schemas.microsoft.com/office/word" w:val="1"/>
  </w:compat>
  <w:rsids>
    <w:rsidRoot w:val="00B30C23"/>
    <w:rsid w:val="000A74D0"/>
    <w:rsid w:val="001463C7"/>
    <w:rsid w:val="00152AA8"/>
    <w:rsid w:val="00296819"/>
    <w:rsid w:val="002B1F30"/>
    <w:rsid w:val="002C1EC2"/>
    <w:rsid w:val="00462264"/>
    <w:rsid w:val="004B354A"/>
    <w:rsid w:val="00537E9A"/>
    <w:rsid w:val="006314E4"/>
    <w:rsid w:val="006C3CC8"/>
    <w:rsid w:val="007A708D"/>
    <w:rsid w:val="007C7C20"/>
    <w:rsid w:val="007D29E7"/>
    <w:rsid w:val="007D6006"/>
    <w:rsid w:val="00860444"/>
    <w:rsid w:val="008C7235"/>
    <w:rsid w:val="00915B1B"/>
    <w:rsid w:val="00921887"/>
    <w:rsid w:val="00A36CC4"/>
    <w:rsid w:val="00A77BFD"/>
    <w:rsid w:val="00AC3428"/>
    <w:rsid w:val="00AF5F3F"/>
    <w:rsid w:val="00B30C23"/>
    <w:rsid w:val="00B629F5"/>
    <w:rsid w:val="00B9179D"/>
    <w:rsid w:val="00BA0A4C"/>
    <w:rsid w:val="00BD6000"/>
    <w:rsid w:val="00C94FEB"/>
    <w:rsid w:val="00D0346E"/>
    <w:rsid w:val="00D32A2B"/>
    <w:rsid w:val="00D867CE"/>
    <w:rsid w:val="00DD6278"/>
    <w:rsid w:val="00DE4110"/>
    <w:rsid w:val="00E732BB"/>
    <w:rsid w:val="01427F3B"/>
    <w:rsid w:val="02FA5546"/>
    <w:rsid w:val="03F500E7"/>
    <w:rsid w:val="048A268F"/>
    <w:rsid w:val="048F14A4"/>
    <w:rsid w:val="050B359B"/>
    <w:rsid w:val="0935436E"/>
    <w:rsid w:val="095C26A9"/>
    <w:rsid w:val="09987BF4"/>
    <w:rsid w:val="09A669D2"/>
    <w:rsid w:val="0C75515C"/>
    <w:rsid w:val="0C9D222F"/>
    <w:rsid w:val="0EC37FA5"/>
    <w:rsid w:val="0EF3685E"/>
    <w:rsid w:val="0EF5379F"/>
    <w:rsid w:val="0F146473"/>
    <w:rsid w:val="0F44530B"/>
    <w:rsid w:val="120619C6"/>
    <w:rsid w:val="134B1C11"/>
    <w:rsid w:val="1383098D"/>
    <w:rsid w:val="138F1469"/>
    <w:rsid w:val="140B381F"/>
    <w:rsid w:val="142F068A"/>
    <w:rsid w:val="167D24DA"/>
    <w:rsid w:val="1736755D"/>
    <w:rsid w:val="174E59CB"/>
    <w:rsid w:val="18240824"/>
    <w:rsid w:val="187D53EA"/>
    <w:rsid w:val="19C77E41"/>
    <w:rsid w:val="1A1B55D0"/>
    <w:rsid w:val="1A2924C3"/>
    <w:rsid w:val="1A807414"/>
    <w:rsid w:val="1B0E4A1F"/>
    <w:rsid w:val="1B2A38E1"/>
    <w:rsid w:val="1C202C5C"/>
    <w:rsid w:val="1CDB1767"/>
    <w:rsid w:val="1CEA4EFC"/>
    <w:rsid w:val="1DCB2DDC"/>
    <w:rsid w:val="1EBF52A0"/>
    <w:rsid w:val="201C198C"/>
    <w:rsid w:val="205B0707"/>
    <w:rsid w:val="21ED35E0"/>
    <w:rsid w:val="23177925"/>
    <w:rsid w:val="23703FD6"/>
    <w:rsid w:val="252C232F"/>
    <w:rsid w:val="25454733"/>
    <w:rsid w:val="25AE5C8C"/>
    <w:rsid w:val="276C31F9"/>
    <w:rsid w:val="27922388"/>
    <w:rsid w:val="27AB5541"/>
    <w:rsid w:val="288E55CB"/>
    <w:rsid w:val="28BD2C02"/>
    <w:rsid w:val="2A5E1B2D"/>
    <w:rsid w:val="2A956657"/>
    <w:rsid w:val="2BBC1F97"/>
    <w:rsid w:val="2BCC24B9"/>
    <w:rsid w:val="2D572256"/>
    <w:rsid w:val="2D945DB5"/>
    <w:rsid w:val="2DB655C5"/>
    <w:rsid w:val="30A9665E"/>
    <w:rsid w:val="30AD0B0B"/>
    <w:rsid w:val="320429C7"/>
    <w:rsid w:val="335D652D"/>
    <w:rsid w:val="366876C3"/>
    <w:rsid w:val="36C04C7A"/>
    <w:rsid w:val="37A05395"/>
    <w:rsid w:val="37C74FD7"/>
    <w:rsid w:val="39156BA4"/>
    <w:rsid w:val="39FA54B1"/>
    <w:rsid w:val="3BF15E6C"/>
    <w:rsid w:val="3C0B0DDB"/>
    <w:rsid w:val="3C6D7D53"/>
    <w:rsid w:val="3E3143FD"/>
    <w:rsid w:val="3EBC3D1F"/>
    <w:rsid w:val="3EC23602"/>
    <w:rsid w:val="3FE148A8"/>
    <w:rsid w:val="403C786A"/>
    <w:rsid w:val="40980764"/>
    <w:rsid w:val="40C17647"/>
    <w:rsid w:val="44254A04"/>
    <w:rsid w:val="4520477E"/>
    <w:rsid w:val="452627E2"/>
    <w:rsid w:val="480C66F0"/>
    <w:rsid w:val="49086CBA"/>
    <w:rsid w:val="4977360C"/>
    <w:rsid w:val="4A431740"/>
    <w:rsid w:val="4AB50890"/>
    <w:rsid w:val="4AB5107D"/>
    <w:rsid w:val="4B917D44"/>
    <w:rsid w:val="4C7841CA"/>
    <w:rsid w:val="4C891FD4"/>
    <w:rsid w:val="4DBA3D6E"/>
    <w:rsid w:val="4DD060DA"/>
    <w:rsid w:val="4E804E66"/>
    <w:rsid w:val="4F9D5D96"/>
    <w:rsid w:val="4FC11A85"/>
    <w:rsid w:val="51234079"/>
    <w:rsid w:val="5302038E"/>
    <w:rsid w:val="542B05EA"/>
    <w:rsid w:val="55D22371"/>
    <w:rsid w:val="57562336"/>
    <w:rsid w:val="57EE0746"/>
    <w:rsid w:val="58747376"/>
    <w:rsid w:val="590C5C18"/>
    <w:rsid w:val="597C018A"/>
    <w:rsid w:val="5B412FCF"/>
    <w:rsid w:val="5B4C1CC2"/>
    <w:rsid w:val="5D3C6E1A"/>
    <w:rsid w:val="5D6D5E3A"/>
    <w:rsid w:val="5E517119"/>
    <w:rsid w:val="5EA86928"/>
    <w:rsid w:val="5EFB0A8F"/>
    <w:rsid w:val="5F577D10"/>
    <w:rsid w:val="5FB10E8E"/>
    <w:rsid w:val="605F0815"/>
    <w:rsid w:val="63A8713F"/>
    <w:rsid w:val="6402627D"/>
    <w:rsid w:val="642B5714"/>
    <w:rsid w:val="6ADE331F"/>
    <w:rsid w:val="6B2F07EE"/>
    <w:rsid w:val="6B57365C"/>
    <w:rsid w:val="6B6562D0"/>
    <w:rsid w:val="6B8224A1"/>
    <w:rsid w:val="6DA8556D"/>
    <w:rsid w:val="6E041063"/>
    <w:rsid w:val="6E895A0C"/>
    <w:rsid w:val="6F1B3A07"/>
    <w:rsid w:val="70C06B5A"/>
    <w:rsid w:val="71DC5E53"/>
    <w:rsid w:val="72CB65F3"/>
    <w:rsid w:val="73950AD3"/>
    <w:rsid w:val="74994E21"/>
    <w:rsid w:val="74E57E37"/>
    <w:rsid w:val="773358EB"/>
    <w:rsid w:val="78454752"/>
    <w:rsid w:val="785745A3"/>
    <w:rsid w:val="78C67A94"/>
    <w:rsid w:val="7A5E78DC"/>
    <w:rsid w:val="7A641593"/>
    <w:rsid w:val="7BF02C26"/>
    <w:rsid w:val="7C684EB3"/>
    <w:rsid w:val="7C70710D"/>
    <w:rsid w:val="7D197F5B"/>
    <w:rsid w:val="7D6F01A7"/>
    <w:rsid w:val="7E221091"/>
    <w:rsid w:val="7F1A0947"/>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docDefaults>
  <w:latentStyles w:defLockedState="0" w:defUIPriority="99" w:defSemiHidden="0" w:defUnhideWhenUsed="0" w:defQFormat="0" w:count="376">
    <w:lsdException w:name="List Table 6 Colorful Accent 5" w:uiPriority="51"/>
    <w:lsdException w:name="Light List Accent 4" w:uiPriority="61"/>
    <w:lsdException w:name="Subtle Emphasis" w:uiPriority="19" w:qFormat="1"/>
    <w:lsdException w:name="Medium List 1 Accent 4" w:uiPriority="65"/>
    <w:lsdException w:name="toc 7" w:uiPriority="39" w:semiHidden="1" w:unhideWhenUsed="1"/>
    <w:lsdException w:name="Medium Grid 1 Accent 6" w:uiPriority="67"/>
    <w:lsdException w:name="Medium List 2 Accent 4" w:uiPriority="66"/>
    <w:lsdException w:name="List Table 2 Accent 4" w:uiPriority="47"/>
    <w:lsdException w:name="Grid Table 4 Accent 1" w:uiPriority="49"/>
    <w:lsdException w:name="Medium List 1 Accent 1" w:uiPriority="65"/>
    <w:lsdException w:name="Smart Hyperlink" w:semiHidden="1" w:unhideWhenUsed="1"/>
    <w:lsdException w:name="List Table 5 Dark Accent 1" w:uiPriority="50"/>
    <w:lsdException w:name="Medium Grid 3 Accent 3" w:uiPriority="69"/>
    <w:lsdException w:name="Colorful Grid Accent 6" w:uiPriority="73"/>
    <w:lsdException w:name="Closing" w:semiHidden="1" w:unhideWhenUsed="1"/>
    <w:lsdException w:name="List Table 2 Accent 3" w:uiPriority="47"/>
    <w:lsdException w:name="Grid Table 4 Accent 4" w:uiPriority="49"/>
    <w:lsdException w:name="Light Shading Accent 5" w:uiPriority="60"/>
    <w:lsdException w:name="Grid Table 5 Dark Accent 1" w:uiPriority="50"/>
    <w:lsdException w:name="Medium Grid 3 Accent 4" w:uiPriority="69"/>
    <w:lsdException w:name="Table 3D effects 2" w:semiHidden="1" w:unhideWhenUsed="1"/>
    <w:lsdException w:name="Grid Table 6 Colorful Accent 1" w:uiPriority="51"/>
    <w:lsdException w:name="Table Columns 3" w:semiHidden="1" w:unhideWhenUsed="1"/>
    <w:lsdException w:name="Light Shading Accent 2" w:uiPriority="60"/>
    <w:lsdException w:name="Colorful Grid Accent 1" w:uiPriority="73"/>
    <w:lsdException w:name="Dark List Accent 5" w:uiPriority="70"/>
    <w:lsdException w:name="Grid Table 6 Colorful Accent 2" w:uiPriority="51"/>
    <w:lsdException w:name="Normal Table" w:semiHidden="1" w:unhideWhenUsed="1"/>
    <w:lsdException w:name="Quote" w:semiHidden="1" w:unhideWhenUsed="1"/>
    <w:lsdException w:name="No List" w:semiHidden="1" w:unhideWhenUsed="1"/>
    <w:lsdException w:name="Salutation" w:semiHidden="1" w:unhideWhenUsed="1"/>
    <w:lsdException w:name="Table Grid 6" w:semiHidden="1" w:unhideWhenUsed="1"/>
    <w:lsdException w:name="Dark List Accent 6" w:uiPriority="70"/>
    <w:lsdException w:name="Medium Grid 2 Accent 4" w:uiPriority="68"/>
    <w:lsdException w:name="Intense Reference" w:uiPriority="32" w:qFormat="1"/>
    <w:lsdException w:name="Body Text First Indent" w:semiHidden="1" w:unhideWhenUsed="1"/>
    <w:lsdException w:name="List Bullet 3" w:semiHidden="1" w:unhideWhenUsed="1"/>
    <w:lsdException w:name="List Table 5 Dark Accent 4" w:uiPriority="50"/>
    <w:lsdException w:name="Medium List 1" w:uiPriority="65"/>
    <w:lsdException w:name="List Bullet 5" w:semiHidden="1" w:unhideWhenUsed="1"/>
    <w:lsdException w:name="Smart Link" w:semiHidden="1" w:unhideWhenUsed="1"/>
    <w:lsdException w:name="Medium List 2 Accent 6" w:uiPriority="66"/>
    <w:lsdException w:name="List Table 3 Accent 6" w:uiPriority="48"/>
    <w:lsdException w:name="Colorful Grid" w:uiPriority="73"/>
    <w:lsdException w:name="Colorful List Accent 5" w:uiPriority="72"/>
    <w:lsdException w:name="Grid Table 1 Light Accent 3" w:uiPriority="46"/>
    <w:lsdException w:name="Medium Shading 2" w:uiPriority="64"/>
    <w:lsdException w:name="Body Text" w:semiHidden="1" w:unhideWhenUsed="1"/>
    <w:lsdException w:name="Colorful List" w:uiPriority="72"/>
    <w:lsdException w:name="Table Simple 3" w:semiHidden="1" w:unhideWhenUsed="1"/>
    <w:lsdException w:name="table of authorities" w:semiHidden="1" w:unhideWhenUsed="1"/>
    <w:lsdException w:name="List Table 2 Accent 1" w:uiPriority="47"/>
    <w:lsdException w:name="Medium Grid 3 Accent 1" w:uiPriority="69"/>
    <w:lsdException w:name="Title" w:uiPriority="10" w:qFormat="1"/>
    <w:lsdException w:name="List Table 4" w:uiPriority="49"/>
    <w:lsdException w:name="HTML Top of Form" w:semiHidden="1" w:unhideWhenUsed="1"/>
    <w:lsdException w:name="List Table 3 Accent 5" w:uiPriority="48"/>
    <w:lsdException w:name="Colorful List Accent 2" w:uiPriority="72"/>
    <w:lsdException w:name="toa heading" w:semiHidden="1" w:unhideWhenUsed="1"/>
    <w:lsdException w:name="Table Colorful 2" w:semiHidden="1" w:unhideWhenUsed="1"/>
    <w:lsdException w:name="Table Grid 3" w:semiHidden="1" w:unhideWhenUsed="1"/>
    <w:lsdException w:name="Colorful Grid Accent 3" w:uiPriority="73"/>
    <w:lsdException w:name="line number" w:semiHidden="1" w:unhideWhenUsed="1"/>
    <w:lsdException w:name="Table Contemporary" w:semiHidden="1" w:unhideWhenUsed="1"/>
    <w:lsdException w:name="Medium Grid 1 Accent 4" w:uiPriority="67"/>
    <w:lsdException w:name="envelope address" w:semiHidden="1" w:unhideWhenUsed="1"/>
    <w:lsdException w:name="Document Map" w:semiHidden="1" w:unhideWhenUsed="1"/>
    <w:lsdException w:name="Grid Table Light" w:uiPriority="40"/>
    <w:lsdException w:name="Table Web 1" w:semiHidden="1" w:unhideWhenUsed="1"/>
    <w:lsdException w:name="List Continue 4" w:semiHidden="1" w:unhideWhenUsed="1"/>
    <w:lsdException w:name="List Table 1 Light Accent 2" w:uiPriority="46"/>
    <w:lsdException w:name="Table Grid 8" w:semiHidden="1" w:unhideWhenUsed="1"/>
    <w:lsdException w:name="HTML Typewriter" w:semiHidden="1" w:unhideWhenUsed="1"/>
    <w:lsdException w:name="index 6" w:semiHidden="1" w:unhideWhenUsed="1"/>
    <w:lsdException w:name="Medium Grid 1 Accent 1" w:uiPriority="67"/>
    <w:lsdException w:name="Grid Table 5 Dark Accent 4" w:uiPriority="50"/>
    <w:lsdException w:name="index 4" w:semiHidden="1" w:unhideWhenUsed="1"/>
    <w:lsdException w:name="List Continue 2" w:semiHidden="1" w:unhideWhenUsed="1"/>
    <w:lsdException w:name="Intense Quote" w:semiHidden="1" w:unhideWhenUsed="1"/>
    <w:lsdException w:name="Table Colorful 1" w:semiHidden="1" w:unhideWhenUsed="1"/>
    <w:lsdException w:name="Grid Table 2 Accent 5" w:uiPriority="47"/>
    <w:lsdException w:name="Normal Indent" w:semiHidden="1" w:unhideWhenUsed="1"/>
    <w:lsdException w:name="List Table 1 Light Accent 5" w:uiPriority="46"/>
    <w:lsdException w:name="Emphasis" w:uiPriority="20" w:qFormat="1"/>
    <w:lsdException w:name="Revision" w:semiHidden="1" w:unhideWhenUsed="1"/>
    <w:lsdException w:name="Hyperlink" w:unhideWhenUsed="1" w:qFormat="1"/>
    <w:lsdException w:name="index 3" w:semiHidden="1" w:unhideWhenUsed="1"/>
    <w:lsdException w:name="Grid Table 2 Accent 6" w:uiPriority="47"/>
    <w:lsdException w:name="Outline List 1" w:semiHidden="1" w:unhideWhenUsed="1"/>
    <w:lsdException w:name="Table List 5" w:semiHidden="1" w:unhideWhenUsed="1"/>
    <w:lsdException w:name="List Table 4 Accent 6" w:uiPriority="49"/>
    <w:lsdException w:name="Light List Accent 1" w:uiPriority="61"/>
    <w:lsdException w:name="Light List Accent 6" w:uiPriority="61"/>
    <w:lsdException w:name="Grid Table 5 Dark" w:uiPriority="50"/>
    <w:lsdException w:name="Table List 2" w:semiHidden="1" w:unhideWhenUsed="1"/>
    <w:lsdException w:name="Normal (Web)" w:semiHidden="1" w:unhideWhenUsed="1" w:qFormat="1"/>
    <w:lsdException w:name="List Number 4" w:semiHidden="1" w:unhideWhenUsed="1"/>
    <w:lsdException w:name="Table Simple 1" w:semiHidden="1" w:unhideWhenUsed="1"/>
    <w:lsdException w:name="Table Subtle 1" w:semiHidden="1" w:unhideWhenUsed="1"/>
    <w:lsdException w:name="Light Grid" w:uiPriority="62"/>
    <w:lsdException w:name="Outline List 2" w:semiHidden="1" w:unhideWhenUsed="1"/>
    <w:lsdException w:name="Body Text 2" w:semiHidden="1" w:unhideWhenUsed="1"/>
    <w:lsdException w:name="heading 4" w:uiPriority="9" w:semiHidden="1" w:unhideWhenUsed="1" w:qFormat="1"/>
    <w:lsdException w:name="List Number 3" w:semiHidden="1" w:unhideWhenUsed="1"/>
    <w:lsdException w:name="annotation text" w:semiHidden="1" w:unhideWhenUsed="1"/>
    <w:lsdException w:name="FollowedHyperlink" w:semiHidden="1" w:unhideWhenUsed="1"/>
    <w:lsdException w:name="heading 1" w:uiPriority="9" w:qFormat="1"/>
    <w:lsdException w:name="Medium Grid 2 Accent 3" w:uiPriority="68"/>
    <w:lsdException w:name="heading 9" w:uiPriority="9" w:semiHidden="1" w:unhideWhenUsed="1" w:qFormat="1"/>
    <w:lsdException w:name="Colorful Shading Accent 6" w:uiPriority="71"/>
    <w:lsdException w:name="Grid Table 7 Colorful Accent 5" w:uiPriority="52"/>
    <w:lsdException w:name="Medium Grid 2 Accent 1" w:uiPriority="68"/>
    <w:lsdException w:name="Note Heading" w:semiHidden="1" w:unhideWhenUsed="1"/>
    <w:lsdException w:name="List Table 7 Colorful Accent 1" w:uiPriority="52"/>
    <w:lsdException w:name="Light Grid Accent 5" w:uiPriority="62"/>
    <w:lsdException w:name="table of figures" w:semiHidden="1" w:unhideWhenUsed="1"/>
    <w:lsdException w:name="Grid Table 3 Accent 3" w:uiPriority="48"/>
    <w:lsdException w:name="Plain Table 3" w:uiPriority="43"/>
    <w:lsdException w:name="heading 6" w:uiPriority="9" w:semiHidden="1" w:unhideWhenUsed="1" w:qFormat="1"/>
    <w:lsdException w:name="Medium Shading 1 Accent 6" w:uiPriority="63"/>
    <w:lsdException w:name="Grid Table 7 Colorful Accent 2" w:uiPriority="52"/>
    <w:lsdException w:name="envelope return" w:semiHidden="1" w:unhideWhenUsed="1"/>
    <w:lsdException w:name="Grid Table 3 Accent 1" w:uiPriority="48"/>
    <w:lsdException w:name="List Table 4 Accent 3" w:uiPriority="49"/>
    <w:lsdException w:name="Medium Shading 1 Accent 3" w:uiPriority="63"/>
    <w:lsdException w:name="Light Grid Accent 2" w:uiPriority="62"/>
    <w:lsdException w:name="List Table 7 Colorful Accent 6" w:uiPriority="52"/>
    <w:lsdException w:name="Plain Table 4" w:uiPriority="44"/>
    <w:lsdException w:name="Medium Shading 2 Accent 2" w:uiPriority="64"/>
    <w:lsdException w:name="List Bullet" w:semiHidden="1" w:unhideWhenUsed="1"/>
    <w:lsdException w:name="Signature" w:semiHidden="1" w:unhideWhenUsed="1"/>
    <w:lsdException w:name="E-mail Signature" w:semiHidden="1" w:unhideWhenUsed="1"/>
    <w:lsdException w:name="Grid Table 3 Accent 4" w:uiPriority="48"/>
    <w:lsdException w:name="Subtitle" w:uiPriority="11" w:qFormat="1"/>
    <w:lsdException w:name="List 2" w:semiHidden="1" w:unhideWhenUsed="1"/>
    <w:lsdException w:name="Medium Shading 1 Accent 4" w:uiPriority="63"/>
    <w:lsdException w:name="Medium List 1 Accent 5" w:uiPriority="65"/>
    <w:lsdException w:name="toc 8" w:uiPriority="39" w:semiHidden="1" w:unhideWhenUsed="1"/>
    <w:lsdException w:name="Light List Accent 5" w:uiPriority="61"/>
    <w:lsdException w:name="Medium Shading 2 Accent 5" w:uiPriority="64"/>
    <w:lsdException w:name="Grid Table 4 Accent 2" w:uiPriority="49"/>
    <w:lsdException w:name="toc 5" w:uiPriority="39" w:semiHidden="1" w:unhideWhenUsed="1"/>
    <w:lsdException w:name="List Table 6 Colorful Accent 1" w:uiPriority="51"/>
    <w:lsdException w:name="Medium List 1 Accent 2" w:uiPriority="65"/>
    <w:lsdException w:name="List 5" w:semiHidden="1" w:unhideWhenUsed="1"/>
    <w:lsdException w:name="toc 3" w:uiPriority="39" w:semiHidden="1" w:unhideWhenUsed="1"/>
    <w:lsdException w:name="Colorful Shading Accent 3" w:uiPriority="71"/>
    <w:lsdException w:name="Body Text Indent 3" w:semiHidden="1" w:unhideWhenUsed="1"/>
    <w:lsdException w:name="HTML Preformatted" w:semiHidden="1" w:unhideWhenUsed="1"/>
    <w:lsdException w:name="Light Shading Accent 6" w:uiPriority="60"/>
    <w:lsdException w:name="Table Columns 5" w:semiHidden="1" w:unhideWhenUsed="1"/>
    <w:lsdException w:name="Dark List" w:uiPriority="70"/>
    <w:lsdException w:name="List Table 6 Colorful Accent 2" w:uiPriority="51"/>
    <w:lsdException w:name="Grid Table 4 Accent 5" w:uiPriority="49"/>
    <w:lsdException w:name="Table 3D effects 1" w:semiHidden="1" w:unhideWhenUsed="1"/>
    <w:lsdException w:name="Grid Table 6 Colorful Accent 4" w:uiPriority="51"/>
    <w:lsdException w:name="Grid Table 3" w:uiPriority="48"/>
    <w:lsdException w:name="Light Shading" w:uiPriority="60"/>
    <w:lsdException w:name="Intense Emphasis" w:uiPriority="21" w:qFormat="1"/>
    <w:lsdException w:name="Light List" w:uiPriority="61"/>
    <w:lsdException w:name="Table Columns 2" w:semiHidden="1" w:unhideWhenUsed="1"/>
    <w:lsdException w:name="Grid Table 6 Colorful Accent 6" w:uiPriority="51"/>
    <w:lsdException w:name="Dark List Accent 2" w:uiPriority="70"/>
    <w:lsdException w:name="Plain Text" w:semiHidden="1" w:unhideWhenUsed="1"/>
    <w:lsdException w:name="Light Shading Accent 1" w:uiPriority="60"/>
    <w:lsdException w:name="Hashtag" w:semiHidden="1" w:unhideWhenUsed="1"/>
    <w:lsdException w:name="Grid Table 6 Colorful Accent 3" w:uiPriority="51"/>
    <w:lsdException w:name="List Table 7 Colorful Accent 4" w:uiPriority="52"/>
    <w:lsdException w:name="header" w:unhideWhenUsed="1" w:qFormat="1"/>
    <w:lsdException w:name="List Bullet 2" w:semiHidden="1" w:unhideWhenUsed="1"/>
    <w:lsdException w:name="Medium List 2 Accent 2" w:uiPriority="66"/>
    <w:lsdException w:name="HTML Bottom of Form" w:semiHidden="1" w:unhideWhenUsed="1"/>
    <w:lsdException w:name="HTML Code" w:semiHidden="1" w:unhideWhenUsed="1"/>
    <w:lsdException w:name="Date" w:semiHidden="1" w:unhideWhenUsed="1"/>
    <w:lsdException w:name="List Table 3 Accent 1" w:uiPriority="48"/>
    <w:lsdException w:name="Medium List 2 Accent 1" w:uiPriority="66"/>
    <w:lsdException w:name="Colorful List Accent 6" w:uiPriority="72"/>
    <w:lsdException w:name="List Table 2 Accent 5" w:uiPriority="47"/>
    <w:lsdException w:name="List Table 5 Dark Accent 6" w:uiPriority="50"/>
    <w:lsdException w:name="Grid Table 1 Light Accent 2" w:uiPriority="46"/>
    <w:lsdException w:name="Medium Grid 3 Accent 6" w:uiPriority="69"/>
    <w:lsdException w:name="Table Classic 1" w:semiHidden="1" w:unhideWhenUsed="1"/>
    <w:lsdException w:name="List Table 3 Accent 4" w:uiPriority="48"/>
    <w:lsdException w:name="List Table 2 Accent 6" w:uiPriority="47"/>
    <w:lsdException w:name="Grid Table 1 Light Accent 5" w:uiPriority="46"/>
    <w:lsdException w:name="Table Classic 2" w:semiHidden="1" w:unhideWhenUsed="1"/>
    <w:lsdException w:name="Colorful List Accent 1" w:uiPriority="72"/>
    <w:lsdException w:name="List Table 2" w:uiPriority="47"/>
    <w:lsdException w:name="List Table 5 Dark Accent 3" w:uiPriority="50"/>
    <w:lsdException w:name="HTML Acronym" w:semiHidden="1" w:unhideWhenUsed="1"/>
    <w:lsdException w:name="List Table 3 Accent 3" w:uiPriority="48"/>
    <w:lsdException w:name="Table Colorful 3" w:semiHidden="1" w:unhideWhenUsed="1"/>
    <w:lsdException w:name="Medium Grid 3 Accent 5" w:uiPriority="69"/>
    <w:lsdException w:name="Colorful Grid Accent 4" w:uiPriority="73"/>
    <w:lsdException w:name="Table Web 2" w:semiHidden="1" w:unhideWhenUsed="1"/>
    <w:lsdException w:name="Light Shading Accent 3" w:uiPriority="60"/>
    <w:lsdException w:name="List Continue 5" w:semiHidden="1" w:unhideWhenUsed="1"/>
    <w:lsdException w:name="Table Grid 1" w:semiHidden="1" w:unhideWhenUsed="1"/>
    <w:lsdException w:name="Grid Table 5 Dark Accent 3" w:uiPriority="50"/>
    <w:lsdException w:name="Grid Table 2 Accent 2" w:uiPriority="47"/>
    <w:lsdException w:name="Table Grid 7" w:semiHidden="1" w:unhideWhenUsed="1"/>
    <w:lsdException w:name="index 7" w:semiHidden="1" w:unhideWhenUsed="1"/>
    <w:lsdException w:name="Medium Grid 1 Accent 2" w:uiPriority="67"/>
    <w:lsdException w:name="Grid Table 5 Dark Accent 6" w:uiPriority="50"/>
    <w:lsdException w:name="footer" w:unhideWhenUsed="1" w:qFormat="1"/>
    <w:lsdException w:name="index 8" w:semiHidden="1" w:unhideWhenUsed="1"/>
    <w:lsdException w:name="Table Grid 4" w:semiHidden="1" w:unhideWhenUsed="1"/>
    <w:lsdException w:name="Light List Accent 2" w:uiPriority="61"/>
    <w:lsdException w:name="List Table 1 Light Accent 6" w:uiPriority="46"/>
    <w:lsdException w:name="Table List 6" w:semiHidden="1" w:unhideWhenUsed="1"/>
    <w:lsdException w:name="Medium List 2" w:uiPriority="66"/>
    <w:lsdException w:name="Body Text Indent" w:semiHidden="1" w:unhideWhenUsed="1"/>
    <w:lsdException w:name="List Table 1 Light Accent 1" w:uiPriority="46"/>
    <w:lsdException w:name="Outline List 3" w:semiHidden="1" w:unhideWhenUsed="1"/>
    <w:lsdException w:name="Default Paragraph Font" w:uiPriority="1" w:semiHidden="1" w:unhideWhenUsed="1"/>
    <w:lsdException w:name="Colorful List Accent 3" w:uiPriority="72"/>
    <w:lsdException w:name="Subtle Reference" w:uiPriority="31" w:qFormat="1"/>
    <w:lsdException w:name="Body Text 3" w:semiHidden="1" w:unhideWhenUsed="1"/>
    <w:lsdException w:name="heading 2" w:uiPriority="9" w:semiHidden="1" w:unhideWhenUsed="1" w:qFormat="1"/>
    <w:lsdException w:name="Grid Table 7 Colorful Accent 6" w:uiPriority="52"/>
    <w:lsdException w:name="Medium Grid 3" w:uiPriority="69"/>
    <w:lsdException w:name="index 5" w:semiHidden="1" w:unhideWhenUsed="1"/>
    <w:lsdException w:name="Grid Table 7 Colorful Accent 1" w:uiPriority="52"/>
    <w:lsdException w:name="endnote reference" w:semiHidden="1" w:unhideWhenUsed="1"/>
    <w:lsdException w:name="List Table 1 Light Accent 4" w:uiPriority="46"/>
    <w:lsdException w:name="Mention" w:semiHidden="1" w:unhideWhenUsed="1"/>
    <w:lsdException w:name="Colorful Shading" w:uiPriority="71"/>
    <w:lsdException w:name="List Table 4 Accent 1" w:uiPriority="49"/>
    <w:lsdException w:name="Table List 8" w:semiHidden="1" w:unhideWhenUsed="1"/>
    <w:lsdException w:name="HTML Variable" w:semiHidden="1" w:unhideWhenUsed="1"/>
    <w:lsdException w:name="Grid Table 6 Colorful" w:uiPriority="51"/>
    <w:lsdException w:name="toc 9" w:uiPriority="39" w:semiHidden="1" w:unhideWhenUsed="1"/>
    <w:lsdException w:name="Medium Shading 2 Accent 6" w:uiPriority="64"/>
    <w:lsdException w:name="List Table 6 Colorful Accent 4" w:uiPriority="51"/>
    <w:lsdException w:name="List Table 4 Accent 4" w:uiPriority="49"/>
    <w:lsdException w:name="Book Title" w:uiPriority="33" w:qFormat="1"/>
    <w:lsdException w:name="toc 6" w:uiPriority="39" w:semiHidden="1" w:unhideWhenUsed="1"/>
    <w:lsdException w:name="List Table 6 Colorful Accent 6" w:uiPriority="51"/>
    <w:lsdException w:name="Table List 3" w:semiHidden="1" w:unhideWhenUsed="1"/>
    <w:lsdException w:name="List Number 2" w:semiHidden="1" w:unhideWhenUsed="1"/>
    <w:lsdException w:name="Medium Shading 2 Accent 1" w:uiPriority="64"/>
    <w:lsdException w:name="toc 4" w:uiPriority="39" w:semiHidden="1" w:unhideWhenUsed="1"/>
    <w:lsdException w:name="Grid Table 4 Accent 6" w:uiPriority="49"/>
    <w:lsdException w:name="Medium List 1 Accent 6" w:uiPriority="65"/>
    <w:lsdException w:name="List Table 6 Colorful Accent 3" w:uiPriority="51"/>
    <w:lsdException w:name="toc 1" w:uiPriority="39" w:unhideWhenUsed="1" w:qFormat="1"/>
    <w:lsdException w:name="Grid Table 7 Colorful Accent 4" w:uiPriority="52"/>
    <w:lsdException w:name="Table Columns 1" w:semiHidden="1" w:unhideWhenUsed="1"/>
    <w:lsdException w:name="Colorful Shading Accent 1" w:uiPriority="71"/>
    <w:lsdException w:name="Medium Grid 2 Accent 2" w:uiPriority="68"/>
    <w:lsdException w:name="Normal" w:uiPriority="0" w:qFormat="1"/>
    <w:lsdException w:name="Dark List Accent 3" w:uiPriority="70"/>
    <w:lsdException w:name="List Table 7 Colorful Accent 3" w:uiPriority="52"/>
    <w:lsdException w:name="Grid Table 3 Accent 2" w:uiPriority="48"/>
    <w:lsdException w:name="Colorful Shading Accent 4" w:uiPriority="71"/>
    <w:lsdException w:name="heading 7" w:uiPriority="9" w:semiHidden="1" w:unhideWhenUsed="1" w:qFormat="1"/>
    <w:lsdException w:name="Unresolved Mention" w:semiHidden="1" w:unhideWhenUsed="1"/>
    <w:lsdException w:name="No Spacing" w:semiHidden="1" w:unhideWhenUsed="1"/>
    <w:lsdException w:name="Dark List Accent 4" w:uiPriority="70"/>
    <w:lsdException w:name="Plain Table 5" w:uiPriority="45"/>
    <w:lsdException w:name="macro" w:semiHidden="1" w:unhideWhenUsed="1"/>
    <w:lsdException w:name="Light Grid Accent 3" w:uiPriority="62"/>
    <w:lsdException w:name="Grid Table 4" w:uiPriority="49"/>
    <w:lsdException w:name="footnote reference" w:semiHidden="1" w:unhideWhenUsed="1"/>
    <w:lsdException w:name="caption" w:uiPriority="35" w:semiHidden="1" w:unhideWhenUsed="1" w:qFormat="1"/>
    <w:lsdException w:name="List Continue" w:semiHidden="1" w:unhideWhenUsed="1"/>
    <w:lsdException w:name="Medium Shading 1 Accent 5" w:uiPriority="63"/>
    <w:lsdException w:name="List 3" w:semiHidden="1" w:unhideWhenUsed="1"/>
    <w:lsdException w:name="Grid Table 4 Accent 3" w:uiPriority="49"/>
    <w:lsdException w:name="List Table 5 Dark Accent 5" w:uiPriority="50"/>
    <w:lsdException w:name="Medium Shading 2 Accent 4" w:uiPriority="64"/>
    <w:lsdException w:name="List Bullet 4" w:semiHidden="1" w:unhideWhenUsed="1"/>
    <w:lsdException w:name="Table Theme" w:semiHidden="1" w:unhideWhenUsed="1"/>
    <w:lsdException w:name="Medium List 1 Accent 3" w:uiPriority="65"/>
    <w:lsdException w:name="Grid Table 1 Light Accent 1" w:uiPriority="46"/>
    <w:lsdException w:name="List Table 1 Light" w:uiPriority="46"/>
    <w:lsdException w:name="Table Columns 4" w:semiHidden="1" w:unhideWhenUsed="1"/>
    <w:lsdException w:name="Bibliography" w:uiPriority="37" w:semiHidden="1" w:unhideWhenUsed="1"/>
    <w:lsdException w:name="Medium List 2 Accent 5" w:uiPriority="66"/>
    <w:lsdException w:name="Grid Table 6 Colorful Accent 5" w:uiPriority="51"/>
    <w:lsdException w:name="Table Classic 3" w:semiHidden="1" w:unhideWhenUsed="1"/>
    <w:lsdException w:name="Colorful Grid Accent 5" w:uiPriority="73"/>
    <w:lsdException w:name="List Table 5 Dark Accent 2" w:uiPriority="50"/>
    <w:lsdException w:name="Grid Table 1 Light Accent 6" w:uiPriority="46"/>
    <w:lsdException w:name="Medium Grid 3 Accent 2" w:uiPriority="69"/>
    <w:lsdException w:name="Light Shading Accent 4" w:uiPriority="60"/>
    <w:lsdException w:name="Medium Grid 1" w:uiPriority="67"/>
    <w:lsdException w:name="Grid Table 5 Dark Accent 2" w:uiPriority="50"/>
    <w:lsdException w:name="Table Classic 4" w:semiHidden="1" w:unhideWhenUsed="1"/>
    <w:lsdException w:name="List Table 2 Accent 2" w:uiPriority="47"/>
    <w:lsdException w:name="Table 3D effects 3" w:semiHidden="1" w:unhideWhenUsed="1"/>
    <w:lsdException w:name="Table Grid 2" w:semiHidden="1" w:unhideWhenUsed="1"/>
    <w:lsdException w:name="Colorful Grid Accent 2" w:uiPriority="73"/>
    <w:lsdException w:name="Grid Table 5 Dark Accent 5" w:uiPriority="50"/>
    <w:lsdException w:name="List Continue 3" w:semiHidden="1" w:unhideWhenUsed="1"/>
    <w:lsdException w:name="Grid Table 2 Accent 4" w:uiPriority="47"/>
    <w:lsdException w:name="Table Grid 5" w:semiHidden="1" w:unhideWhenUsed="1"/>
    <w:lsdException w:name="Medium Grid 2 Accent 6" w:uiPriority="68"/>
    <w:lsdException w:name="Dark List Accent 1" w:uiPriority="70"/>
    <w:lsdException w:name="Medium Grid 2 Accent 5" w:uiPriority="68"/>
    <w:lsdException w:name="Placeholder Text" w:semiHidden="1" w:unhideWhenUsed="1"/>
    <w:lsdException w:name="annotation subject" w:semiHidden="1" w:unhideWhenUsed="1"/>
    <w:lsdException w:name="page number" w:semiHidden="1" w:unhideWhenUsed="1"/>
    <w:lsdException w:name="Grid Table 2 Accent 3" w:uiPriority="47"/>
    <w:lsdException w:name="TOC Heading" w:uiPriority="39" w:semiHidden="1" w:unhideWhenUsed="1" w:qFormat="1"/>
    <w:lsdException w:name="Table Professional" w:semiHidden="1" w:unhideWhenUsed="1"/>
    <w:lsdException w:name="Medium Shading 1" w:uiPriority="63"/>
    <w:lsdException w:name="endnote text" w:semiHidden="1" w:unhideWhenUsed="1"/>
    <w:lsdException w:name="Colorful List Accent 4" w:uiPriority="72"/>
    <w:lsdException w:name="Table Simple 2" w:semiHidden="1" w:unhideWhenUsed="1"/>
    <w:lsdException w:name="Grid Table 1 Light Accent 4" w:uiPriority="46"/>
    <w:lsdException w:name="annotation reference" w:semiHidden="1" w:unhideWhenUsed="1"/>
    <w:lsdException w:name="List Table 3" w:uiPriority="48"/>
    <w:lsdException w:name="HTML Keyboard" w:semiHidden="1" w:unhideWhenUsed="1"/>
    <w:lsdException w:name="List" w:semiHidden="1" w:unhideWhenUsed="1"/>
    <w:lsdException w:name="List Table 3 Accent 2" w:uiPriority="48"/>
    <w:lsdException w:name="List Table 6 Colorful" w:uiPriority="51"/>
    <w:lsdException w:name="Grid Table 1 Light" w:uiPriority="46"/>
    <w:lsdException w:name="Table Web 3" w:semiHidden="1" w:unhideWhenUsed="1"/>
    <w:lsdException w:name="Medium Grid 1 Accent 3" w:uiPriority="67"/>
    <w:lsdException w:name="index 2" w:semiHidden="1" w:unhideWhenUsed="1"/>
    <w:lsdException w:name="Medium Grid 1 Accent 5" w:uiPriority="67"/>
    <w:lsdException w:name="List Table 1 Light Accent 3" w:uiPriority="46"/>
    <w:lsdException w:name="Grid Table 7 Colorful" w:uiPriority="52"/>
    <w:lsdException w:name="index 1" w:semiHidden="1" w:unhideWhenUsed="1"/>
    <w:lsdException w:name="HTML Definition" w:semiHidden="1" w:unhideWhenUsed="1"/>
    <w:lsdException w:name="index 9" w:semiHidden="1" w:unhideWhenUsed="1"/>
    <w:lsdException w:name="List Table 4 Accent 2" w:uiPriority="49"/>
    <w:lsdException w:name="Table Grid" w:uiPriority="39"/>
    <w:lsdException w:name="Light List Accent 3" w:uiPriority="61"/>
    <w:lsdException w:name="List Paragraph" w:semiHidden="1" w:unhideWhenUsed="1"/>
    <w:lsdException w:name="Table List 7" w:semiHidden="1" w:unhideWhenUsed="1"/>
    <w:lsdException w:name="Grid Table 2 Accent 1" w:uiPriority="47"/>
    <w:lsdException w:name="Body Text First Indent 2" w:semiHidden="1" w:unhideWhenUsed="1"/>
    <w:lsdException w:name="Table List 4" w:semiHidden="1" w:unhideWhenUsed="1"/>
    <w:lsdException w:name="List Table 4 Accent 5" w:uiPriority="49"/>
    <w:lsdException w:name="HTML Cite" w:semiHidden="1" w:unhideWhenUsed="1"/>
    <w:lsdException w:name="List Number 5" w:semiHidden="1" w:unhideWhenUsed="1"/>
    <w:lsdException w:name="HTML Address" w:semiHidden="1" w:unhideWhenUsed="1"/>
    <w:lsdException w:name="Block Text" w:semiHidden="1" w:unhideWhenUsed="1"/>
    <w:lsdException w:name="Colorful Shading Accent 2" w:uiPriority="71"/>
    <w:lsdException w:name="heading 3" w:uiPriority="9" w:semiHidden="1" w:unhideWhenUsed="1" w:qFormat="1"/>
    <w:lsdException w:name="Table List 1" w:semiHidden="1" w:unhideWhenUsed="1"/>
    <w:lsdException w:name="Message Header" w:semiHidden="1" w:unhideWhenUsed="1"/>
    <w:lsdException w:name="Table Subtle 2" w:semiHidden="1" w:unhideWhenUsed="1"/>
    <w:lsdException w:name="Grid Table 7 Colorful Accent 3" w:uiPriority="52"/>
    <w:lsdException w:name="toc 2" w:uiPriority="39" w:unhideWhenUsed="1" w:qFormat="1"/>
    <w:lsdException w:name="Body Text Indent 2" w:semiHidden="1" w:unhideWhenUsed="1"/>
    <w:lsdException w:name="Table Elegant" w:semiHidden="1" w:unhideWhenUsed="1"/>
    <w:lsdException w:name="Grid Table 2" w:uiPriority="47"/>
    <w:lsdException w:name="Plain Table 1" w:uiPriority="41"/>
    <w:lsdException w:name="Colorful Shading Accent 5" w:uiPriority="71"/>
    <w:lsdException w:name="heading 8" w:uiPriority="9" w:semiHidden="1" w:unhideWhenUsed="1" w:qFormat="1"/>
    <w:lsdException w:name="index heading" w:semiHidden="1" w:unhideWhenUsed="1"/>
    <w:lsdException w:name="Medium Grid 2" w:uiPriority="68"/>
    <w:lsdException w:name="List Table 7 Colorful Accent 2" w:uiPriority="52"/>
    <w:lsdException w:name="Light Grid Accent 6" w:uiPriority="62"/>
    <w:lsdException w:name="Plain Table 2" w:uiPriority="42"/>
    <w:lsdException w:name="heading 5" w:uiPriority="9" w:semiHidden="1" w:unhideWhenUsed="1" w:qFormat="1"/>
    <w:lsdException w:name="Medium Shading 1 Accent 1" w:uiPriority="63"/>
    <w:lsdException w:name="Light Grid Accent 4" w:uiPriority="62"/>
    <w:lsdException w:name="Balloon Text" w:semiHidden="1" w:unhideWhenUsed="1"/>
    <w:lsdException w:name="List Table 7 Colorful Accent 5" w:uiPriority="52"/>
    <w:lsdException w:name="HTML Sample" w:semiHidden="1" w:unhideWhenUsed="1"/>
    <w:lsdException w:name="List Table 5 Dark" w:uiPriority="50"/>
    <w:lsdException w:name="Light Grid Accent 1" w:uiPriority="62"/>
    <w:lsdException w:name="Grid Table 3 Accent 6" w:uiPriority="48"/>
    <w:lsdException w:name="List Number" w:semiHidden="1" w:unhideWhenUsed="1"/>
    <w:lsdException w:name="Strong" w:uiPriority="22" w:qFormat="1"/>
    <w:lsdException w:name="footnote text" w:semiHidden="1" w:unhideWhenUsed="1"/>
    <w:lsdException w:name="List 4" w:semiHidden="1" w:unhideWhenUsed="1"/>
    <w:lsdException w:name="Medium Shading 1 Accent 2" w:uiPriority="63"/>
    <w:lsdException w:name="List Table 7 Colorful" w:uiPriority="52"/>
    <w:lsdException w:name="Medium Shading 2 Accent 3" w:uiPriority="64"/>
    <w:lsdException w:name="Medium List 2 Accent 3" w:uiPriority="66"/>
    <w:lsdException w:name="Grid Table 3 Accent 5" w:uiPriority="48"/>
  </w:latentStyles>
  <w:style w:type="paragraph" w:styleId="000008">
    <w:name w:val="heading 3"/>
    <w:basedOn w:val="000005"/>
    <w:next w:val="000005"/>
    <w:uiPriority w:val="9"/>
    <w:semiHidden w:val="1"/>
    <w:unhideWhenUsed w:val="1"/>
    <w:qFormat w:val="1"/>
    <w:pPr>
      <w:widowControl w:val="1"/>
      <w:spacing w:beforeAutospacing="1" w:after="0" w:afterAutospacing="1"/>
      <w:outlineLvl w:val="2"/>
    </w:pPr>
    <w:rPr>
      <w:rFonts w:hint="eastAsia" w:ascii="宋体" w:hAnsi="宋体" w:eastAsia="宋体" w:cs="Times New Roman"/>
      <w:b w:val="1"/>
      <w:bCs w:val="1"/>
      <w:kern w:val="0"/>
      <w:sz w:val="27"/>
      <w:szCs w:val="27"/>
    </w:rPr>
  </w:style>
  <w:style w:type="paragraph" w:styleId="000005" w:default="1">
    <w:name w:val="Normal"/>
    <w:qFormat w:val="1"/>
    <w:pPr>
      <w:widowControl w:val="0"/>
      <w:spacing w:after="160" w:line="278" w:lineRule="auto"/>
    </w:pPr>
    <w:rPr>
      <w:rFonts w:asciiTheme="minorHAnsi" w:hAnsiTheme="minorHAnsi" w:eastAsiaTheme="minorEastAsia" w:cstheme="minorBidi"/>
      <w:kern w:val="2"/>
      <w:sz w:val="22"/>
      <w:szCs w:val="24"/>
      <w14:ligatures w14:val="standardContextual"/>
    </w:rPr>
  </w:style>
  <w:style w:type="character" w:styleId="000009" w:default="1">
    <w:name w:val="Default Paragraph Font"/>
    <w:uiPriority w:val="1"/>
    <w:semiHidden w:val="1"/>
    <w:unhideWhenUsed w:val="1"/>
  </w:style>
  <w:style w:type="paragraph" w:styleId="00000c">
    <w:name w:val="footer"/>
    <w:basedOn w:val="000005"/>
    <w:link w:val="00000d"/>
    <w:uiPriority w:val="99"/>
    <w:unhideWhenUsed w:val="1"/>
    <w:qFormat w:val="1"/>
    <w:pPr>
      <w:tabs>
        <w:tab w:val="center" w:pos="4153"/>
        <w:tab w:val="right" w:pos="8306"/>
      </w:tabs>
      <w:snapToGrid w:val="0"/>
      <w:spacing w:line="240" w:lineRule="auto"/>
    </w:pPr>
    <w:rPr>
      <w:sz w:val="18"/>
      <w:szCs w:val="18"/>
    </w:rPr>
  </w:style>
  <w:style w:type="character" w:styleId="000013">
    <w:name w:val="Hyperlink"/>
    <w:basedOn w:val="000009"/>
    <w:uiPriority w:val="99"/>
    <w:unhideWhenUsed w:val="1"/>
    <w:qFormat w:val="1"/>
    <w:rPr>
      <w:color w:val="0000FF" w:themeColor="hyperlink"/>
      <w:u w:val="single"/>
    </w:rPr>
  </w:style>
  <w:style w:type="paragraph" w:styleId="00000e">
    <w:name w:val="header"/>
    <w:basedOn w:val="000005"/>
    <w:link w:val="00000f"/>
    <w:uiPriority w:val="99"/>
    <w:unhideWhenUsed w:val="1"/>
    <w:qFormat w:val="1"/>
    <w:pPr>
      <w:tabs>
        <w:tab w:val="center" w:pos="4153"/>
        <w:tab w:val="right" w:pos="8306"/>
      </w:tabs>
      <w:snapToGrid w:val="0"/>
      <w:spacing w:line="240" w:lineRule="auto"/>
      <w:jc w:val="center"/>
    </w:pPr>
    <w:rPr>
      <w:sz w:val="18"/>
      <w:szCs w:val="18"/>
    </w:rPr>
  </w:style>
  <w:style w:type="paragraph" w:styleId="000012">
    <w:name w:val="Normal (Web)"/>
    <w:basedOn w:val="000005"/>
    <w:uiPriority w:val="99"/>
    <w:semiHidden w:val="1"/>
    <w:unhideWhenUsed w:val="1"/>
    <w:qFormat w:val="1"/>
    <w:rPr>
      <w:sz w:val="24"/>
    </w:rPr>
  </w:style>
  <w:style w:type="character" w:styleId="00000d" w:customStyle="1">
    <w:name w:val="页脚 字符"/>
    <w:basedOn w:val="000009"/>
    <w:link w:val="00000c"/>
    <w:uiPriority w:val="99"/>
    <w:qFormat w:val="1"/>
    <w:rPr>
      <w:sz w:val="18"/>
      <w:szCs w:val="18"/>
    </w:rPr>
  </w:style>
  <w:style w:type="paragraph" w:styleId="000006">
    <w:name w:val="heading 1"/>
    <w:basedOn w:val="000005"/>
    <w:next w:val="000005"/>
    <w:uiPriority w:val="9"/>
    <w:qFormat w:val="1"/>
    <w:pPr>
      <w:widowControl w:val="1"/>
      <w:spacing w:beforeAutospacing="1" w:after="0" w:afterAutospacing="1"/>
      <w:outlineLvl w:val="0"/>
    </w:pPr>
    <w:rPr>
      <w:rFonts w:hint="eastAsia" w:ascii="宋体" w:hAnsi="宋体" w:eastAsia="宋体" w:cs="Times New Roman"/>
      <w:b w:val="1"/>
      <w:bCs w:val="1"/>
      <w:kern w:val="44"/>
      <w:sz w:val="48"/>
      <w:szCs w:val="48"/>
    </w:rPr>
  </w:style>
  <w:style w:type="numbering" w:styleId="00000b" w:default="1">
    <w:name w:val="No List"/>
    <w:uiPriority w:val="99"/>
    <w:semiHidden w:val="1"/>
    <w:unhideWhenUsed w:val="1"/>
  </w:style>
  <w:style w:type="paragraph" w:styleId="000007">
    <w:name w:val="heading 2"/>
    <w:basedOn w:val="000005"/>
    <w:next w:val="000005"/>
    <w:uiPriority w:val="9"/>
    <w:semiHidden w:val="1"/>
    <w:unhideWhenUsed w:val="1"/>
    <w:qFormat w:val="1"/>
    <w:pPr>
      <w:widowControl w:val="1"/>
      <w:spacing w:beforeAutospacing="1" w:after="0" w:afterAutospacing="1"/>
      <w:outlineLvl w:val="1"/>
    </w:pPr>
    <w:rPr>
      <w:rFonts w:hint="eastAsia" w:ascii="宋体" w:hAnsi="宋体" w:eastAsia="宋体" w:cs="Times New Roman"/>
      <w:b w:val="1"/>
      <w:bCs w:val="1"/>
      <w:kern w:val="0"/>
      <w:sz w:val="36"/>
      <w:szCs w:val="36"/>
    </w:rPr>
  </w:style>
  <w:style w:type="character" w:styleId="00000f" w:customStyle="1">
    <w:name w:val="页眉 字符"/>
    <w:basedOn w:val="000009"/>
    <w:link w:val="00000e"/>
    <w:uiPriority w:val="99"/>
    <w:qFormat w:val="1"/>
    <w:rPr>
      <w:sz w:val="18"/>
      <w:szCs w:val="18"/>
    </w:rPr>
  </w:style>
  <w:style w:type="paragraph" w:styleId="000011">
    <w:name w:val="toc 2"/>
    <w:basedOn w:val="000005"/>
    <w:next w:val="000005"/>
    <w:autoRedefine w:val="1"/>
    <w:uiPriority w:val="39"/>
    <w:unhideWhenUsed w:val="1"/>
    <w:qFormat w:val="1"/>
    <w:pPr>
      <w:ind w:left="420" w:leftChars="200"/>
    </w:pPr>
  </w:style>
  <w:style w:type="paragraph" w:styleId="000010">
    <w:name w:val="toc 1"/>
    <w:basedOn w:val="000005"/>
    <w:next w:val="000005"/>
    <w:autoRedefine w:val="1"/>
    <w:uiPriority w:val="39"/>
    <w:unhideWhenUsed w:val="1"/>
    <w:qFormat w:val="1"/>
  </w:style>
  <w:style w:type="table" w:styleId="00000a" w:default="1">
    <w:name w:val="Normal Table"/>
    <w:uiPriority w:val="99"/>
    <w:semiHidden w:val="1"/>
    <w:unhideWhenUsed w:val="1"/>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5" Type="http://schemas.openxmlformats.org/officeDocument/2006/relationships/theme" Target="theme/theme1.xml" /><Relationship Id="rId3" Type="http://schemas.openxmlformats.org/officeDocument/2006/relationships/endnotes" Target="endnotes.xml" /><Relationship Id="rId2" Type="http://schemas.openxmlformats.org/officeDocument/2006/relationships/footnotes" Target="footnotes.xml" /><Relationship Id="rId4" Type="http://schemas.openxmlformats.org/officeDocument/2006/relationships/fontTable" Target="fontTable.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2026-10-17T17:03:27Z</dcterms:created>
  <dcterms:modified xsi:type="dcterms:W3CDTF">2026-10-17T17:03:27Z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eyJoZGlkIjoiNGVkZjNkNGUwYjU1MTUxM2E5MTk2ZjU2MDNlMDMyNmUiLCJ1c2VySWQiOiI2NTU3MDMzNDUifQ==</vt:lpwstr>
  </property>
  <property fmtid="{D5CDD505-2E9C-101B-9397-08002B2CF9AE}" pid="3" name="KSOProductBuildVer">
    <vt:lpwstr>2052-12.1.0.29161</vt:lpwstr>
  </property>
  <property fmtid="{D5CDD505-2E9C-101B-9397-08002B2CF9AE}" pid="4" name="ICV">
    <vt:lpwstr>CCF079B40BC5447F8D33C524A9E89FCB_13</vt:lpwstr>
  </property>
</Properties>
</file>