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C636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t xml:space="preserve">Our aims are to </w:t>
      </w:r>
    </w:p>
    <w:p w14:paraId="7224DA6B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t xml:space="preserve">1) determine clinically important factors on point of care ultrasound that may assist clinicians in determining progression of simple acute appendicitis diagnosed in children seen in an emergency </w:t>
      </w:r>
      <w:proofErr w:type="gramStart"/>
      <w:r>
        <w:t>department;</w:t>
      </w:r>
      <w:proofErr w:type="gramEnd"/>
      <w:r>
        <w:t xml:space="preserve"> </w:t>
      </w:r>
    </w:p>
    <w:p w14:paraId="716DD503" w14:textId="7144A96E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t>2) identify enabling and deterring factors for doing serial POCUS.</w:t>
      </w:r>
    </w:p>
    <w:p w14:paraId="2C60DA14" w14:textId="1A9AF78D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</w:p>
    <w:p w14:paraId="46179E3C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BDB11D3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4D7D7CC" w14:textId="587BC9F4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Demographics: age, gender, weight, height of the patients</w:t>
      </w:r>
      <w:r w:rsidR="005A42AF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  <w:r w:rsidR="005A42AF" w:rsidRPr="005A42AF">
        <w:rPr>
          <w:rFonts w:ascii="Calibri" w:hAnsi="Calibri" w:cs="Calibri"/>
          <w:sz w:val="22"/>
          <w:szCs w:val="22"/>
          <w:bdr w:val="none" w:sz="0" w:space="0" w:color="auto" w:frame="1"/>
        </w:rPr>
        <w:t>- Visualization or summary statistics if we are just going to explore the dataset</w:t>
      </w:r>
      <w:r w:rsidR="005A42AF" w:rsidRPr="005A42AF">
        <w:rPr>
          <w:rFonts w:ascii="Calibri" w:hAnsi="Calibri" w:cs="Calibri"/>
          <w:sz w:val="22"/>
          <w:szCs w:val="22"/>
          <w:bdr w:val="none" w:sz="0" w:space="0" w:color="auto" w:frame="1"/>
        </w:rPr>
        <w:br/>
        <w:t>- For purposes below, we can include those demo factors into the corresponding models.</w:t>
      </w:r>
      <w:r w:rsidR="00EE0490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</w:p>
    <w:p w14:paraId="177EA4FF" w14:textId="66EFBC7C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2.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Stages of the acute appendicitis found on the second ultrasound (US) compared to the surgical pathology findings</w:t>
      </w:r>
      <w:r w:rsidR="00EE0490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  <w:r w:rsidR="00EE0490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  <w:r w:rsidR="00EE0490" w:rsidRPr="00EE0490">
        <w:rPr>
          <w:rFonts w:ascii="Calibri" w:hAnsi="Calibri" w:cs="Calibri"/>
          <w:sz w:val="22"/>
          <w:szCs w:val="22"/>
          <w:bdr w:val="none" w:sz="0" w:space="0" w:color="auto" w:frame="1"/>
        </w:rPr>
        <w:t>- Confusion matrix</w:t>
      </w:r>
      <w:r w:rsidR="00B114FD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 (Sequential Staging </w:t>
      </w:r>
      <w:proofErr w:type="spellStart"/>
      <w:r w:rsidR="00B114FD">
        <w:rPr>
          <w:rFonts w:ascii="Calibri" w:hAnsi="Calibri" w:cs="Calibri"/>
          <w:sz w:val="22"/>
          <w:szCs w:val="22"/>
          <w:bdr w:val="none" w:sz="0" w:space="0" w:color="auto" w:frame="1"/>
        </w:rPr>
        <w:t>v.s</w:t>
      </w:r>
      <w:proofErr w:type="spellEnd"/>
      <w:r w:rsidR="00B114FD">
        <w:rPr>
          <w:rFonts w:ascii="Calibri" w:hAnsi="Calibri" w:cs="Calibri"/>
          <w:sz w:val="22"/>
          <w:szCs w:val="22"/>
          <w:bdr w:val="none" w:sz="0" w:space="0" w:color="auto" w:frame="1"/>
        </w:rPr>
        <w:t>. Surg Path Findings)</w:t>
      </w:r>
      <w:r w:rsidR="00865049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</w:p>
    <w:p w14:paraId="708C9616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3.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Changes in the stages of the acute appendicitis between the first (US1) and second US (US2)</w:t>
      </w:r>
    </w:p>
    <w:p w14:paraId="529F3556" w14:textId="77777777" w:rsidR="00EE0490" w:rsidRDefault="007D4261" w:rsidP="00EE049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administration of antibiotics make a difference?</w:t>
      </w:r>
    </w:p>
    <w:p w14:paraId="5C66C6D2" w14:textId="4FCEDF07" w:rsidR="007D4261" w:rsidRPr="00EE0490" w:rsidRDefault="0044528F" w:rsidP="0044528F">
      <w:pPr>
        <w:pStyle w:val="NormalWeb"/>
        <w:shd w:val="clear" w:color="auto" w:fill="FFFFFF"/>
        <w:spacing w:before="0" w:beforeAutospacing="0" w:after="0" w:afterAutospacing="0"/>
        <w:ind w:left="720" w:firstLine="6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- </w:t>
      </w:r>
      <w:r w:rsidRPr="0044528F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Mixed Effect Model with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ordinary</w:t>
      </w:r>
      <w:r w:rsidRPr="0044528F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variable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adjusted by other factors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  <w:t xml:space="preserve">-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Wilcoxon signed ranks test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  <w:t>- Simple Logistic regression (decrease or not)</w:t>
      </w:r>
      <w:r w:rsidR="00947A8A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="00947A8A" w:rsidRPr="005A42AF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adjusted by </w:t>
      </w:r>
      <w:r w:rsidR="00947A8A">
        <w:rPr>
          <w:rFonts w:asciiTheme="minorEastAsia" w:eastAsiaTheme="minorEastAsia" w:hAnsiTheme="minorEastAsia" w:cs="Calibri" w:hint="eastAsia"/>
          <w:sz w:val="22"/>
          <w:szCs w:val="22"/>
          <w:bdr w:val="none" w:sz="0" w:space="0" w:color="auto" w:frame="1"/>
        </w:rPr>
        <w:t>de</w:t>
      </w:r>
      <w:r w:rsidR="00947A8A">
        <w:rPr>
          <w:rFonts w:ascii="Calibri" w:hAnsi="Calibri" w:cs="Calibri"/>
          <w:sz w:val="22"/>
          <w:szCs w:val="22"/>
          <w:bdr w:val="none" w:sz="0" w:space="0" w:color="auto" w:frame="1"/>
        </w:rPr>
        <w:t>mographics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</w:r>
    </w:p>
    <w:p w14:paraId="6DE657CE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4.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Time it takes to perform the POCUS</w:t>
      </w:r>
    </w:p>
    <w:p w14:paraId="38C35ACB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By Radiology (RADUS)</w:t>
      </w:r>
    </w:p>
    <w:p w14:paraId="76C09074" w14:textId="237D14C8" w:rsidR="0044528F" w:rsidRDefault="007D4261" w:rsidP="0044528F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By pediatric emergency medicine team (POCUS)</w:t>
      </w:r>
    </w:p>
    <w:p w14:paraId="16209B76" w14:textId="33E47DC7" w:rsidR="0044528F" w:rsidRPr="005A42AF" w:rsidRDefault="0044528F" w:rsidP="0044528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  <w:bdr w:val="none" w:sz="0" w:space="0" w:color="auto" w:frame="1"/>
        </w:rPr>
      </w:pPr>
      <w:r w:rsidRPr="005A42AF">
        <w:rPr>
          <w:rFonts w:ascii="Calibri" w:hAnsi="Calibri" w:cs="Calibri"/>
          <w:sz w:val="22"/>
          <w:szCs w:val="22"/>
          <w:bdr w:val="none" w:sz="0" w:space="0" w:color="auto" w:frame="1"/>
        </w:rPr>
        <w:tab/>
        <w:t xml:space="preserve">- </w:t>
      </w:r>
      <w:r w:rsidR="005A42AF" w:rsidRPr="005A42AF">
        <w:rPr>
          <w:rFonts w:ascii="Calibri" w:hAnsi="Calibri" w:cs="Calibri"/>
          <w:sz w:val="22"/>
          <w:szCs w:val="22"/>
          <w:bdr w:val="none" w:sz="0" w:space="0" w:color="auto" w:frame="1"/>
        </w:rPr>
        <w:t>Two sample T test for simple comparison</w:t>
      </w:r>
    </w:p>
    <w:p w14:paraId="5FBA11E9" w14:textId="67CD51FB" w:rsidR="005A42AF" w:rsidRDefault="005A42AF" w:rsidP="00A674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bdr w:val="none" w:sz="0" w:space="0" w:color="auto" w:frame="1"/>
        </w:rPr>
      </w:pPr>
      <w:r w:rsidRPr="005A42AF">
        <w:rPr>
          <w:rFonts w:ascii="Calibri" w:hAnsi="Calibri" w:cs="Calibri"/>
          <w:sz w:val="22"/>
          <w:szCs w:val="22"/>
          <w:bdr w:val="none" w:sz="0" w:space="0" w:color="auto" w:frame="1"/>
        </w:rPr>
        <w:tab/>
        <w:t xml:space="preserve">- MLR adjusted by </w:t>
      </w:r>
      <w:r w:rsidR="00947A8A">
        <w:rPr>
          <w:rFonts w:asciiTheme="minorEastAsia" w:eastAsiaTheme="minorEastAsia" w:hAnsiTheme="minorEastAsia" w:cs="Calibri" w:hint="eastAsia"/>
          <w:sz w:val="22"/>
          <w:szCs w:val="22"/>
          <w:bdr w:val="none" w:sz="0" w:space="0" w:color="auto" w:frame="1"/>
        </w:rPr>
        <w:t>de</w:t>
      </w:r>
      <w:r w:rsidR="00947A8A">
        <w:rPr>
          <w:rFonts w:ascii="Calibri" w:hAnsi="Calibri" w:cs="Calibri"/>
          <w:sz w:val="22"/>
          <w:szCs w:val="22"/>
          <w:bdr w:val="none" w:sz="0" w:space="0" w:color="auto" w:frame="1"/>
        </w:rPr>
        <w:t>mographics</w:t>
      </w:r>
      <w:r w:rsidR="00A674BF">
        <w:rPr>
          <w:rFonts w:ascii="Calibri" w:hAnsi="Calibri" w:cs="Calibri"/>
          <w:sz w:val="22"/>
          <w:szCs w:val="22"/>
          <w:bdr w:val="none" w:sz="0" w:space="0" w:color="auto" w:frame="1"/>
        </w:rPr>
        <w:br/>
      </w:r>
    </w:p>
    <w:p w14:paraId="2EDC32D1" w14:textId="2584841F" w:rsidR="00A674BF" w:rsidRPr="005A42AF" w:rsidRDefault="00A674BF" w:rsidP="00A674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sz w:val="22"/>
          <w:szCs w:val="22"/>
          <w:bdr w:val="none" w:sz="0" w:space="0" w:color="auto" w:frame="1"/>
        </w:rPr>
        <w:tab/>
        <w:t xml:space="preserve">Note: We might need to consider about the cohort effect. </w:t>
      </w:r>
    </w:p>
    <w:p w14:paraId="5732040F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5.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Receptivity of the POCUS by the performers</w:t>
      </w:r>
    </w:p>
    <w:p w14:paraId="34D29D06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performers find this easy to do?</w:t>
      </w:r>
    </w:p>
    <w:p w14:paraId="0EDEC666" w14:textId="367E1BB9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patients tolerate the diagnostic test (POCUS) well?</w:t>
      </w:r>
    </w:p>
    <w:p w14:paraId="1EFA4E44" w14:textId="1EC8CEBE" w:rsidR="005A42AF" w:rsidRDefault="005A42AF" w:rsidP="005A42A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ab/>
        <w:t>-</w:t>
      </w:r>
      <w:r w:rsidRPr="00070E66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 Visualization and Summary Statistics</w:t>
      </w:r>
    </w:p>
    <w:p w14:paraId="553B22FB" w14:textId="30FBADBF" w:rsidR="0056626D" w:rsidRDefault="0056626D"/>
    <w:sectPr w:rsidR="0056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9F87D" w14:textId="77777777" w:rsidR="003240CD" w:rsidRDefault="003240CD" w:rsidP="00947A8A">
      <w:pPr>
        <w:spacing w:after="0" w:line="240" w:lineRule="auto"/>
      </w:pPr>
      <w:r>
        <w:separator/>
      </w:r>
    </w:p>
  </w:endnote>
  <w:endnote w:type="continuationSeparator" w:id="0">
    <w:p w14:paraId="3B3C72A9" w14:textId="77777777" w:rsidR="003240CD" w:rsidRDefault="003240CD" w:rsidP="0094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73DAB" w14:textId="77777777" w:rsidR="003240CD" w:rsidRDefault="003240CD" w:rsidP="00947A8A">
      <w:pPr>
        <w:spacing w:after="0" w:line="240" w:lineRule="auto"/>
      </w:pPr>
      <w:r>
        <w:separator/>
      </w:r>
    </w:p>
  </w:footnote>
  <w:footnote w:type="continuationSeparator" w:id="0">
    <w:p w14:paraId="7952F5E5" w14:textId="77777777" w:rsidR="003240CD" w:rsidRDefault="003240CD" w:rsidP="00947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A90"/>
    <w:multiLevelType w:val="hybridMultilevel"/>
    <w:tmpl w:val="3E687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D578B"/>
    <w:multiLevelType w:val="hybridMultilevel"/>
    <w:tmpl w:val="D070E222"/>
    <w:lvl w:ilvl="0" w:tplc="F1A6EF32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61"/>
    <w:rsid w:val="00070E66"/>
    <w:rsid w:val="001E7B96"/>
    <w:rsid w:val="003240CD"/>
    <w:rsid w:val="0044528F"/>
    <w:rsid w:val="0047395C"/>
    <w:rsid w:val="004F4926"/>
    <w:rsid w:val="0056626D"/>
    <w:rsid w:val="005A42AF"/>
    <w:rsid w:val="007D4261"/>
    <w:rsid w:val="00865049"/>
    <w:rsid w:val="008C1B2E"/>
    <w:rsid w:val="008F5495"/>
    <w:rsid w:val="00947A8A"/>
    <w:rsid w:val="00A674BF"/>
    <w:rsid w:val="00B114FD"/>
    <w:rsid w:val="00C06A38"/>
    <w:rsid w:val="00E850FF"/>
    <w:rsid w:val="00EE0490"/>
    <w:rsid w:val="00F525BF"/>
    <w:rsid w:val="00FB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9359"/>
  <w15:chartTrackingRefBased/>
  <w15:docId w15:val="{4F5CC3F3-94E3-4752-9AE3-145015D2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unhideWhenUsed/>
    <w:qFormat/>
    <w:rsid w:val="0056626D"/>
    <w:pPr>
      <w:widowControl w:val="0"/>
      <w:spacing w:after="0" w:line="240" w:lineRule="auto"/>
      <w:ind w:firstLineChars="200" w:firstLine="420"/>
      <w:jc w:val="both"/>
    </w:pPr>
    <w:rPr>
      <w:rFonts w:ascii="Times New Roman" w:hAnsi="Times New Roman" w:cs="Arial Unicode MS"/>
      <w:color w:val="000000"/>
      <w:kern w:val="2"/>
      <w:sz w:val="21"/>
      <w:szCs w:val="21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4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A8A"/>
  </w:style>
  <w:style w:type="paragraph" w:styleId="Footer">
    <w:name w:val="footer"/>
    <w:basedOn w:val="Normal"/>
    <w:link w:val="FooterChar"/>
    <w:uiPriority w:val="99"/>
    <w:unhideWhenUsed/>
    <w:rsid w:val="0094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Yiling</dc:creator>
  <cp:keywords/>
  <dc:description/>
  <cp:lastModifiedBy>Yang Yiling</cp:lastModifiedBy>
  <cp:revision>12</cp:revision>
  <dcterms:created xsi:type="dcterms:W3CDTF">2020-09-22T22:08:00Z</dcterms:created>
  <dcterms:modified xsi:type="dcterms:W3CDTF">2020-09-24T17:39:00Z</dcterms:modified>
</cp:coreProperties>
</file>