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Generative Adversarial Networks</w:t>
      </w:r>
    </w:p>
    <w:p w:rsidR="00000000" w:rsidDel="00000000" w:rsidP="00000000" w:rsidRDefault="00000000" w:rsidRPr="00000000" w14:paraId="00000008">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Yong-Jin Lee </w:t>
      </w:r>
    </w:p>
    <w:p w:rsidR="00000000" w:rsidDel="00000000" w:rsidP="00000000" w:rsidRDefault="00000000" w:rsidRPr="00000000" w14:paraId="00000009">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CSC580</w:t>
      </w:r>
    </w:p>
    <w:p w:rsidR="00000000" w:rsidDel="00000000" w:rsidP="00000000" w:rsidRDefault="00000000" w:rsidRPr="00000000" w14:paraId="0000000A">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CSU Global </w:t>
      </w:r>
    </w:p>
    <w:p w:rsidR="00000000" w:rsidDel="00000000" w:rsidP="00000000" w:rsidRDefault="00000000" w:rsidRPr="00000000" w14:paraId="0000000B">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Issa, Instructor </w:t>
      </w:r>
    </w:p>
    <w:p w:rsidR="00000000" w:rsidDel="00000000" w:rsidP="00000000" w:rsidRDefault="00000000" w:rsidRPr="00000000" w14:paraId="0000000C">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9/10/2023 </w:t>
      </w:r>
    </w:p>
    <w:p w:rsidR="00000000" w:rsidDel="00000000" w:rsidP="00000000" w:rsidRDefault="00000000" w:rsidRPr="00000000" w14:paraId="0000000D">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spacing w:after="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widowControl w:val="0"/>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 - Generative Adversarial Networks</w:t>
      </w:r>
      <w:r w:rsidDel="00000000" w:rsidR="00000000" w:rsidRPr="00000000">
        <w:rPr>
          <w:rtl w:val="0"/>
        </w:rPr>
      </w:r>
    </w:p>
    <w:p w:rsidR="00000000" w:rsidDel="00000000" w:rsidP="00000000" w:rsidRDefault="00000000" w:rsidRPr="00000000" w14:paraId="00000013">
      <w:pPr>
        <w:shd w:fill="ffffff" w:val="clear"/>
        <w:spacing w:after="180" w:before="180" w:line="480" w:lineRule="auto"/>
        <w:ind w:firstLine="720"/>
        <w:rPr>
          <w:rFonts w:ascii="Times New Roman" w:cs="Times New Roman" w:eastAsia="Times New Roman" w:hAnsi="Times New Roman"/>
          <w:color w:val="343a3f"/>
          <w:sz w:val="24"/>
          <w:szCs w:val="24"/>
        </w:rPr>
      </w:pPr>
      <w:r w:rsidDel="00000000" w:rsidR="00000000" w:rsidRPr="00000000">
        <w:rPr>
          <w:rFonts w:ascii="Times New Roman" w:cs="Times New Roman" w:eastAsia="Times New Roman" w:hAnsi="Times New Roman"/>
          <w:color w:val="343a3f"/>
          <w:sz w:val="24"/>
          <w:szCs w:val="24"/>
          <w:rtl w:val="0"/>
        </w:rPr>
        <w:t xml:space="preserve">Since their inception, generative adversarial networks (GANs) have found applications across various industries, enabling innovations that were previously impractical or required substantial resources. The two major components are the generator that provides plausible data and the discriminator that learns to distinguish between fake data from the generator and real data. This conflict is essential in dealing with overfitting, a significant drawback experienced by many machine learning models. Several models are available from the vanilla GAN to the Laplacian Pyramid GAN. The following are distinct use cases where GANs have been employed in different industry sectors: medical imaging, galaxy morphology, industrial quality control, fraud detection, and restoration of historical artifacts.</w:t>
      </w:r>
      <w:r w:rsidDel="00000000" w:rsidR="00000000" w:rsidRPr="00000000">
        <w:rPr>
          <w:rtl w:val="0"/>
        </w:rPr>
      </w:r>
    </w:p>
    <w:p w:rsidR="00000000" w:rsidDel="00000000" w:rsidP="00000000" w:rsidRDefault="00000000" w:rsidRPr="00000000" w14:paraId="00000014">
      <w:pPr>
        <w:shd w:fill="ffffff" w:val="clear"/>
        <w:spacing w:after="180" w:before="180" w:line="480" w:lineRule="auto"/>
        <w:ind w:firstLine="720"/>
        <w:rPr>
          <w:rFonts w:ascii="Times New Roman" w:cs="Times New Roman" w:eastAsia="Times New Roman" w:hAnsi="Times New Roman"/>
          <w:color w:val="343a3f"/>
          <w:sz w:val="24"/>
          <w:szCs w:val="24"/>
        </w:rPr>
      </w:pPr>
      <w:r w:rsidDel="00000000" w:rsidR="00000000" w:rsidRPr="00000000">
        <w:rPr>
          <w:rFonts w:ascii="Times New Roman" w:cs="Times New Roman" w:eastAsia="Times New Roman" w:hAnsi="Times New Roman"/>
          <w:color w:val="343a3f"/>
          <w:sz w:val="24"/>
          <w:szCs w:val="24"/>
          <w:rtl w:val="0"/>
        </w:rPr>
        <w:t xml:space="preserve">Super-resolution imaging is the process of enhancing the resolution of medical and satellite imaging benefit greatly from this application. Ahmad et al. proposed a model with three improved components: a multi-path architecture to extract shallow features on multiple scales, a ResNet34 architecture to extract deep features which get upscaled, and a reconstruction convolutional layer to map back these features into a high-resolution image (Ahmad et al., p. 1, 2022). This model was evaluated with four different medical image datasets on retinal fundoscopy images, brain MRI scans, dermoscopy images, and cardiac ultrasound images and was found to achieve superior accuracy based on peak signal-to-noise ratio and structure similarity index. Their study concluded that their method could preserve fine details and enhanced the overall quality of medical images. Diagnostic models with these results would lead to earlier and more accurate disease detection and treatment. </w:t>
      </w:r>
    </w:p>
    <w:p w:rsidR="00000000" w:rsidDel="00000000" w:rsidP="00000000" w:rsidRDefault="00000000" w:rsidRPr="00000000" w14:paraId="00000015">
      <w:pPr>
        <w:shd w:fill="ffffff" w:val="clear"/>
        <w:spacing w:after="180" w:before="180" w:line="480" w:lineRule="auto"/>
        <w:ind w:firstLine="720"/>
        <w:rPr>
          <w:rFonts w:ascii="Times New Roman" w:cs="Times New Roman" w:eastAsia="Times New Roman" w:hAnsi="Times New Roman"/>
          <w:color w:val="343a3f"/>
          <w:sz w:val="24"/>
          <w:szCs w:val="24"/>
        </w:rPr>
      </w:pPr>
      <w:r w:rsidDel="00000000" w:rsidR="00000000" w:rsidRPr="00000000">
        <w:rPr>
          <w:rFonts w:ascii="Times New Roman" w:cs="Times New Roman" w:eastAsia="Times New Roman" w:hAnsi="Times New Roman"/>
          <w:color w:val="343a3f"/>
          <w:sz w:val="24"/>
          <w:szCs w:val="24"/>
          <w:rtl w:val="0"/>
        </w:rPr>
        <w:t xml:space="preserve">The same process can be utilized for galaxy morphology. Synthetic images of galaxies can be constructed based on existing data so that they can be later utilized for simulations in astrophysical research. GAN can help recover features from low quality imaging data of galaxies that are unrecoverable through deconvolution. The peak signal-to-noise ratio (PSNR) from images recovered through GAN was observed to stay within at most 4.2 at a maximum value of 39.6. The images in this study were set with white noise level relative to the original image from 1.0 Gaussian to 10.0 Gaussian and Gaussian Point Spread Function (PSF) Full Width at Half Maximum (FWHM) from 1.4 to 2.5 inches. The PSF is the response of an optical system to a point source of light while FWHM is the width of the Gaussian distribution at half of its maximum intensity. The FWHM informs on how wide the central peak of the PSF is where most of the light is concentrated. When compared to results through blind deconvolution and Lucy-Richardson Deconvolution, the PSNR dropped at least 13.9 and 15.9 respectively. This GAN which was used by Schawinski and others was also seen to improve the PSNR of images from 34.6 to 37.9 when the size of the training set was increased from 5 to 2000; this stresses how its performance was strongly dependent on the training set as “it cannot reconstruct features it has not learned to recognize” (Schawinski et al., p. 4, 2017). Having such images will also aid in classifying galaxies by making their structural form and features more observable. The enhanced images will also allow researchers to better understand how galaxies form, evolve, and interact with their environment over cosmic time. </w:t>
      </w:r>
    </w:p>
    <w:p w:rsidR="00000000" w:rsidDel="00000000" w:rsidP="00000000" w:rsidRDefault="00000000" w:rsidRPr="00000000" w14:paraId="00000016">
      <w:pPr>
        <w:shd w:fill="ffffff" w:val="clear"/>
        <w:spacing w:after="180" w:before="180" w:line="480" w:lineRule="auto"/>
        <w:ind w:firstLine="720"/>
        <w:rPr>
          <w:rFonts w:ascii="Times New Roman" w:cs="Times New Roman" w:eastAsia="Times New Roman" w:hAnsi="Times New Roman"/>
          <w:color w:val="343a3f"/>
          <w:sz w:val="24"/>
          <w:szCs w:val="24"/>
        </w:rPr>
      </w:pPr>
      <w:r w:rsidDel="00000000" w:rsidR="00000000" w:rsidRPr="00000000">
        <w:rPr>
          <w:rFonts w:ascii="Times New Roman" w:cs="Times New Roman" w:eastAsia="Times New Roman" w:hAnsi="Times New Roman"/>
          <w:color w:val="343a3f"/>
          <w:sz w:val="24"/>
          <w:szCs w:val="24"/>
          <w:rtl w:val="0"/>
        </w:rPr>
        <w:t xml:space="preserve">Data augmentation intends to artificially increase the training set by creating modified copies of a dataset with existing data. GANs are much more versatile in working with various lighting conditions, noise components, defect size, shape, and position of industrial materials than human inspection in supporting nondestructive testing. The manufacturing sector needs to properly identify defects to maintain quality control and mitigate safety risks. Not only do GAN reduce operational costs by addressing the need to collect defective images with different combinations at a large scale, the Magna-Defect model can generate synthetic data that can help avoid overfitting with conventional augmentations and GAN-generated synthetic images. The conventional augmentations extrapolate the training data distribution while the GAN-generated synthetic images “add more diversity by interpolating between the the discrete data points in the manifold” (Sampath et al., p. 15, 2023). Models trained with such data can be very valuable in assisting human operators make more accurate and consistent quality assessments.</w:t>
      </w:r>
    </w:p>
    <w:p w:rsidR="00000000" w:rsidDel="00000000" w:rsidP="00000000" w:rsidRDefault="00000000" w:rsidRPr="00000000" w14:paraId="00000017">
      <w:pPr>
        <w:shd w:fill="ffffff" w:val="clear"/>
        <w:spacing w:after="180" w:before="180" w:line="480" w:lineRule="auto"/>
        <w:ind w:firstLine="720"/>
        <w:rPr>
          <w:rFonts w:ascii="Times New Roman" w:cs="Times New Roman" w:eastAsia="Times New Roman" w:hAnsi="Times New Roman"/>
          <w:color w:val="05103e"/>
          <w:sz w:val="24"/>
          <w:szCs w:val="24"/>
          <w:shd w:fill="fcfcfc" w:val="clear"/>
        </w:rPr>
      </w:pPr>
      <w:r w:rsidDel="00000000" w:rsidR="00000000" w:rsidRPr="00000000">
        <w:rPr>
          <w:rFonts w:ascii="Times New Roman" w:cs="Times New Roman" w:eastAsia="Times New Roman" w:hAnsi="Times New Roman"/>
          <w:color w:val="343a3f"/>
          <w:sz w:val="24"/>
          <w:szCs w:val="24"/>
          <w:rtl w:val="0"/>
        </w:rPr>
        <w:t xml:space="preserve">Anomaly detection is a feature that plays a significant role in detecting fraud. GANs can learn the statistical properties of genuine transactions to better recognize potential threats and fraudulent activities. Fraud detection tasks will often involve time series, structured, textual, visual, and behavioral data. Because GANs can generate synthetic data and anomalies, data privacy can be preserved by reducing the need to either need or share real data and the burden of manually labeling rare and fraudulent instance is reduced. </w:t>
      </w:r>
      <w:r w:rsidDel="00000000" w:rsidR="00000000" w:rsidRPr="00000000">
        <w:rPr>
          <w:rFonts w:ascii="Times New Roman" w:cs="Times New Roman" w:eastAsia="Times New Roman" w:hAnsi="Times New Roman"/>
          <w:color w:val="05103e"/>
          <w:sz w:val="24"/>
          <w:szCs w:val="24"/>
          <w:rtl w:val="0"/>
        </w:rPr>
        <w:t xml:space="preserve">Di Mattia</w:t>
      </w:r>
      <w:r w:rsidDel="00000000" w:rsidR="00000000" w:rsidRPr="00000000">
        <w:rPr>
          <w:rFonts w:ascii="Times New Roman" w:cs="Times New Roman" w:eastAsia="Times New Roman" w:hAnsi="Times New Roman"/>
          <w:color w:val="05103e"/>
          <w:sz w:val="24"/>
          <w:szCs w:val="24"/>
          <w:shd w:fill="fcfcfc" w:val="clear"/>
          <w:rtl w:val="0"/>
        </w:rPr>
        <w:t xml:space="preserve"> along with three other fellow engineers expressed how such framework has success in modeling complex and high dimensional distribution of data by creating a representation of typical behavior “using the adversarial training process and detecting the anomalies measuring anomaly score” (Di Mattia et al., p. 1, 2019). When it came to making the anomaly score easier to interpet, they agreed upon having feature scaling applied to have the scores within the probabilistic range of [0,1]. </w:t>
      </w:r>
    </w:p>
    <w:p w:rsidR="00000000" w:rsidDel="00000000" w:rsidP="00000000" w:rsidRDefault="00000000" w:rsidRPr="00000000" w14:paraId="00000018">
      <w:pPr>
        <w:shd w:fill="ffffff" w:val="clear"/>
        <w:spacing w:after="180" w:before="180" w:line="480" w:lineRule="auto"/>
        <w:ind w:firstLine="720"/>
        <w:rPr>
          <w:rFonts w:ascii="Times New Roman" w:cs="Times New Roman" w:eastAsia="Times New Roman" w:hAnsi="Times New Roman"/>
          <w:color w:val="343a3f"/>
          <w:sz w:val="24"/>
          <w:szCs w:val="24"/>
        </w:rPr>
      </w:pPr>
      <w:r w:rsidDel="00000000" w:rsidR="00000000" w:rsidRPr="00000000">
        <w:rPr>
          <w:rFonts w:ascii="Times New Roman" w:cs="Times New Roman" w:eastAsia="Times New Roman" w:hAnsi="Times New Roman"/>
          <w:color w:val="05103e"/>
          <w:sz w:val="24"/>
          <w:szCs w:val="24"/>
          <w:shd w:fill="fcfcfc" w:val="clear"/>
          <w:rtl w:val="0"/>
        </w:rPr>
        <w:t xml:space="preserve">Image-to-image translation presents itself to be vital for restoring historical artifacts. Different variations of the image can be created to help generate missing or damaged parts of artifacts. This process can also be used to recreate textures and details due to natural deterioration. All of these changes make it less necessary to resort to invasive restoration methods that may irreparably alter the state of the piece. For ancient Chinese murals, a consistency-enhanced GAN was found to “repair mural images with complex image information and strong texture structures” as the index values for PSNR and structural similarity were shown to have improved by an average of 6-8 dB and by 0.08-0.12 respectively (Cao et al., p.11, 2020). Restoring priceless artifacts contributes to the preservation of cultural heritage for future generations, allows pieces that have been digitally restored to become accessible to a wider audience, and enables researchers to gain new insights.</w:t>
      </w: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1A">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1B">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1C">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1D">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1E">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1F">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0">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1">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2">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3">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4">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5">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6">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7">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8">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9">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A">
      <w:pPr>
        <w:shd w:fill="ffffff" w:val="clear"/>
        <w:spacing w:after="180" w:before="180" w:lineRule="auto"/>
        <w:rPr>
          <w:rFonts w:ascii="Times New Roman" w:cs="Times New Roman" w:eastAsia="Times New Roman" w:hAnsi="Times New Roman"/>
          <w:color w:val="343a3f"/>
          <w:sz w:val="24"/>
          <w:szCs w:val="24"/>
        </w:rPr>
      </w:pPr>
      <w:r w:rsidDel="00000000" w:rsidR="00000000" w:rsidRPr="00000000">
        <w:rPr>
          <w:rtl w:val="0"/>
        </w:rPr>
      </w:r>
    </w:p>
    <w:p w:rsidR="00000000" w:rsidDel="00000000" w:rsidP="00000000" w:rsidRDefault="00000000" w:rsidRPr="00000000" w14:paraId="0000002B">
      <w:pPr>
        <w:widowControl w:val="0"/>
        <w:shd w:fill="ffffff" w:val="clear"/>
        <w:spacing w:after="200" w:line="480" w:lineRule="auto"/>
        <w:ind w:lef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W., Ali, H., Shah, Z., &amp; Azmat, S. (2022). A new generative adversarial network for </w:t>
      </w:r>
    </w:p>
    <w:p w:rsidR="00000000" w:rsidDel="00000000" w:rsidP="00000000" w:rsidRDefault="00000000" w:rsidRPr="00000000" w14:paraId="0000002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images super resolution. </w:t>
      </w:r>
      <w:r w:rsidDel="00000000" w:rsidR="00000000" w:rsidRPr="00000000">
        <w:rPr>
          <w:rFonts w:ascii="Times New Roman" w:cs="Times New Roman" w:eastAsia="Times New Roman" w:hAnsi="Times New Roman"/>
          <w:i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(1). https://doi.org/10.1038/s41598-022-13658-4</w:t>
      </w:r>
    </w:p>
    <w:p w:rsidR="00000000" w:rsidDel="00000000" w:rsidP="00000000" w:rsidRDefault="00000000" w:rsidRPr="00000000" w14:paraId="0000002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J., Zhang, Z., Zhao, A., Cui, H., &amp; Zhang, Q. (2020). Ancient mural restoration based on a modified generative adversarial network. </w:t>
      </w:r>
      <w:r w:rsidDel="00000000" w:rsidR="00000000" w:rsidRPr="00000000">
        <w:rPr>
          <w:rFonts w:ascii="Times New Roman" w:cs="Times New Roman" w:eastAsia="Times New Roman" w:hAnsi="Times New Roman"/>
          <w:i w:val="1"/>
          <w:sz w:val="24"/>
          <w:szCs w:val="24"/>
          <w:rtl w:val="0"/>
        </w:rPr>
        <w:t xml:space="preserve">Heritage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(1). https://doi.org/10.1186/s40494-020-0355-x</w:t>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Mattia, F., Galeone, P., De Simoni, M., &amp; Ghelfi, E. (2019). A survey on GANs for anomaly </w:t>
      </w:r>
    </w:p>
    <w:p w:rsidR="00000000" w:rsidDel="00000000" w:rsidP="00000000" w:rsidRDefault="00000000" w:rsidRPr="00000000" w14:paraId="0000003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w:t>
      </w:r>
      <w:r w:rsidDel="00000000" w:rsidR="00000000" w:rsidRPr="00000000">
        <w:rPr>
          <w:rFonts w:ascii="Times New Roman" w:cs="Times New Roman" w:eastAsia="Times New Roman" w:hAnsi="Times New Roman"/>
          <w:i w:val="1"/>
          <w:sz w:val="24"/>
          <w:szCs w:val="24"/>
          <w:rtl w:val="0"/>
        </w:rPr>
        <w:t xml:space="preserve">arXiv (Cornell University)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http://export.arxiv.org/pdf/1906.11632</w:t>
      </w:r>
    </w:p>
    <w:p w:rsidR="00000000" w:rsidDel="00000000" w:rsidP="00000000" w:rsidRDefault="00000000" w:rsidRPr="00000000" w14:paraId="0000003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Sampath, V., Maurtua, I., Martín, J. J. A., Iriondo, A., Lluvia, I., &amp; Aizpurua, G. (2023). Intraclass image augmentation for defect detection using generative adversarial neural networks.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(4), 1861. https://doi.org/10.3390/s23041861</w:t>
      </w:r>
      <w:r w:rsidDel="00000000" w:rsidR="00000000" w:rsidRPr="00000000">
        <w:rPr>
          <w:rtl w:val="0"/>
        </w:rPr>
      </w:r>
    </w:p>
    <w:p w:rsidR="00000000" w:rsidDel="00000000" w:rsidP="00000000" w:rsidRDefault="00000000" w:rsidRPr="00000000" w14:paraId="0000003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Schawinski, K., Zhang, C., Zhang, H., Fowler, L., &amp; Santhanam, G. K. (2017). Generative Adversarial Networks recover features in astrophysical images of galaxies beyond the deconvolution limit. </w:t>
      </w:r>
      <w:r w:rsidDel="00000000" w:rsidR="00000000" w:rsidRPr="00000000">
        <w:rPr>
          <w:rFonts w:ascii="Times New Roman" w:cs="Times New Roman" w:eastAsia="Times New Roman" w:hAnsi="Times New Roman"/>
          <w:i w:val="1"/>
          <w:sz w:val="24"/>
          <w:szCs w:val="24"/>
          <w:rtl w:val="0"/>
        </w:rPr>
        <w:t xml:space="preserve">Monthly Notices of the Royal Astronomical Society: Letters</w:t>
      </w:r>
      <w:r w:rsidDel="00000000" w:rsidR="00000000" w:rsidRPr="00000000">
        <w:rPr>
          <w:rFonts w:ascii="Times New Roman" w:cs="Times New Roman" w:eastAsia="Times New Roman" w:hAnsi="Times New Roman"/>
          <w:sz w:val="24"/>
          <w:szCs w:val="24"/>
          <w:rtl w:val="0"/>
        </w:rPr>
        <w:t xml:space="preserve">, slx008. https://doi.org/10.1093/mnrasl/slx008</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head:  Applications of Generative Adversarial Networks    </w:t>
      <w:tab/>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