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专利技术交底草稿</w:t>
      </w:r>
    </w:p>
    <w:p>
      <w:r>
        <w:t>拟题：一种结合工况条件基线与传感器质量约束的电动工具状态监测及维护闭环方法与系统</w:t>
      </w:r>
    </w:p>
    <w:p>
      <w:r>
        <w:t>版本：研发讨论稿，2026-10-08。第一实施对象为电钻。依据研发任务书与端到端技术说明整理；此稿不代表已完成查新或已具备授权条件，未提交专利申请。</w:t>
      </w:r>
    </w:p>
    <w:p>
      <w:pPr>
        <w:pStyle w:val="Heading1"/>
      </w:pPr>
      <w:r>
        <w:t>一、技术领域与问题</w:t>
      </w:r>
    </w:p>
    <w:p>
      <w:r>
        <w:t>涉及电动工具状态监测、多源传感数据处理与设备维护。电钻的负载、转速和运行模式改变会引起振动、电流和温升变化；单一幅值阈值可能将正常重载误判为磨损。传感器缺测、失真与真实退化并存时，简单融合和连续告警计数还可能扩大误判。维修后部件和传感器传递特性变化，也要求重新建立有效的监测状态。</w:t>
      </w:r>
    </w:p>
    <w:p>
      <w:pPr>
        <w:pStyle w:val="Heading1"/>
      </w:pPr>
      <w:r>
        <w:t>二、候选技术方案</w:t>
      </w:r>
    </w:p>
    <w:p>
      <w:r>
        <w:t>S1 获取设备、运行段、采样时刻、工况及振动、电流、温度窗口特征，并分别取得传感器质量分数。质量证据与磨损标签分开；不能因振动异常幅值大直接判定传感器无效。</w:t>
      </w:r>
    </w:p>
    <w:p>
      <w:r>
        <w:t>S2 仅使用确认健康且高质量的训练设备数据拟合工况条件基线。本实施例采用带截距的线性回归，以独立负载、转速和环境温度为自变量，输出六维特征的正常中心。用健康残差标准差建立尺度：r_j=(f_j−μ_j(c))/max(σ_j,ε_j)。新设备推理时固定基线，不使用其未来标签。</w:t>
      </w:r>
    </w:p>
    <w:p>
      <w:r>
        <w:t>S3 三路传感器分别将两维特征编码到32维共同表示。门控网络输入为工况与质量；按 w_m=q_m·exp(s_m)/Σ(q_k·exp(s_k)) 归一化有效通道。无效通道掩蔽；全部无效则暂停输出，不用零值替代健康观测。融合向量另加入工况与缺失质量编码。</w:t>
      </w:r>
    </w:p>
    <w:p>
      <w:r>
        <w:t>S4 以截至当前窗口的连续16个一分钟特征为序列，经单层双头 Transformer 编码与单层32维 LSTM 得到当前状态。三输出头分别输出四级磨损类别、模拟HI、排序后的10/50/90分位数剩余有效运行小时。训练使用分类交叉熵、HI均方误差与RUL分位数损失之和。每次完整序列重新初始化LSTM；不同设备、运行段、缺口不得拼接。</w:t>
      </w:r>
    </w:p>
    <w:p>
      <w:r>
        <w:t>S5 未知工况、历史不足或全部通道无效标记数据不足；关键通道缺失时降级且暂停RUL。工况切换清除普通退化累计证据。最近5个有效结果中至少3个风险评分不低于0.4为预警，不低于0.8为高风险；恢复要求连续5个评分低于0.25。阈值是仿真原型参数，真实设备需验证。瞬时过流过温硬件保护不由该模型替代。</w:t>
      </w:r>
    </w:p>
    <w:p>
      <w:r>
        <w:t>S6 将告警关联唯一设备及运行段，合并重复事件并升级严重度。确认收到只更新业务处理状态，不消除技术告警。维修记录部件、现场结论、操作及证据，生成新的运行段；在稳定工况下获得连续5个有效低风险复测结果后关闭事件。维修标签保持待审核，基线保持冻结；避免将未经确认的退化样本写入健康参考。</w:t>
      </w:r>
    </w:p>
    <w:p>
      <w:pPr>
        <w:pStyle w:val="Heading1"/>
      </w:pPr>
      <w:r>
        <w:t>三、系统组成</w:t>
      </w:r>
    </w:p>
    <w:p>
      <w:r>
        <w:t>采集与校准模块、时间及质量检查模块、窗口特征模块、健康工况基线模块、质量约束融合模块、时序预测模块、有效性与连续证据模块、事件及工单模块、维修复测及审核模块、模型版本追溯模块。</w:t>
      </w:r>
    </w:p>
    <w:p>
      <w:r>
        <w:t>当前软件实施例在CPU和网页运行，SQLite保存业务记录；采集硬件、蓝牙网关、MCU与生产APP属于待开发实施方式，不能写成已经完成的实测事实。</w:t>
      </w:r>
    </w:p>
    <w:p>
      <w:pPr>
        <w:pStyle w:val="Heading1"/>
      </w:pPr>
      <w:r>
        <w:t>四、拟保护的组合关系</w:t>
      </w:r>
    </w:p>
    <w:p>
      <w:r>
        <w:t>重点讨论“条件基线残差→质量约束融合→工况/缺测控制状态与连续证据→有效性输出→维修复测及健康基线准入”之间的协作关系。FFT、Transformer、LSTM、数据库、APP和量化各自属于常见技术，不能仅凭采用这些模块主张创新。</w:t>
      </w:r>
    </w:p>
    <w:p>
      <w:r>
        <w:t>可供代理人讨论的独立权利要求框架：一种电动工具状态监测方法，包括取得多源窗口数据与工况及质量信息；依据确认健康样本建立的条件基线生成残差；在共同编码空间中通过质量约束权重融合残差；在满足工况、连续性和数据有效性条件下更新时序预测与退化证据；输出附带有效性标志的维护结果；依据维修后独立运行段的复测证据控制事件关闭及健康参考更新准入。</w:t>
      </w:r>
    </w:p>
    <w:p>
      <w:r>
        <w:t>从属方案可细化：独立负载测量、健康基线固定与冻结、未知工况回退、全部缺测暂停、通道缺失时RUL抑制、切换时证据清除、迟滞确认、序列状态重置、维护证据审核、部件及整机寿命分别管理。在线基线更新、动态计算预算与签名更新需要另外完成算法规则和实验，不宜直接纳入已实施方案。</w:t>
      </w:r>
    </w:p>
    <w:p>
      <w:pPr>
        <w:pStyle w:val="Heading1"/>
      </w:pPr>
      <w:r>
        <w:t>五、实施例与已取得的证据</w:t>
      </w:r>
    </w:p>
    <w:p>
      <w:r>
        <w:t>30台虚拟电钻各200个一分钟窗口，共6000窗口。设备按21/6/3台划分训练、验证、测试，测试包含459条连续有效模型序列。磨损、HI和RUL均为已知生成规则产生的模拟标签。模型与工况基线仅在训练数据拟合，结构和最佳轮次按验证损失选择。</w:t>
      </w:r>
    </w:p>
    <w:p>
      <w:r>
        <w:t>详细数值见仿真实验报告。可支持的初步结论为：在该仿真分布和种子下，工况校正与质量约束具有对照收益；不能据此证明真实电钻准确率、专利创造性、3–7天预警或70%算力降低。纯LSTM达到相同总体准确率且RUL误差更低，组合模型的必要性尚需真实数据论证。量化仅作用于LSTM，存储缩小但当前CPU推理未加速。</w:t>
      </w:r>
    </w:p>
    <w:p>
      <w:pPr>
        <w:pStyle w:val="Heading1"/>
      </w:pPr>
      <w:r>
        <w:t>六、附图建议</w:t>
      </w:r>
    </w:p>
    <w:p>
      <w:r>
        <w:t>图1 系统分层与数据链；图2 工况基线与质量约束融合；图3 多窗口证据及有效性状态；图4 告警—维修—新运行段复测闭环；图5 仿真消融对照。图源见 `系统架构.md`，不绘制没有实施依据的实际硬件装置尺寸。</w:t>
      </w:r>
    </w:p>
    <w:p>
      <w:pPr>
        <w:pStyle w:val="Heading1"/>
      </w:pPr>
      <w:r>
        <w:t>七、查新与待补事项</w:t>
      </w:r>
    </w:p>
    <w:p>
      <w:r>
        <w:t>任务书列出的CN121637419A、CN121682762A及两篇中文文献均须核验标题、申请人、公开日、摘要和权利要求。2026-10-08尝试通过Google Patents查询两公开号，代理返回403，未取得可核验正文。不得把文档自述名称当作已验证的真实公开内容。</w:t>
      </w:r>
    </w:p>
    <w:p>
      <w:r>
        <w:t>建议检索分类与关键词：电动工具/电钻＋状态监测/预测维护；多传感器＋工况补偿/条件基线；质量加权/缺测掩码＋故障诊断；维护复测＋健康基线准入。逐篇比较关键组合与技术效果，记录检索日期、检索式、权利要求差异和证据来源。</w:t>
      </w:r>
    </w:p>
    <w:p>
      <w:r>
        <w:t>下一阶段需真实电钻健康工况数据、拆检确认的轴承磨损标签、自然寿命或明确台架失效终点、独立负载/扭矩测量、目标硬件RAM/功耗及泛化测试。代理人据核验后的现有技术与实际实施证据进一步收敛正式权利要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