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电钻预测性维护系统：创新边界分析（申请准备版）</w:t>
      </w:r>
    </w:p>
    <w:p>
      <w:r>
        <w:t>分析日期：2026-10-08。用户确认尚未提交专利申请。</w:t>
      </w:r>
    </w:p>
    <w:p>
      <w:pPr>
        <w:pStyle w:val="Heading1"/>
      </w:pPr>
      <w:r>
        <w:t>一、结论与适用范围</w:t>
      </w:r>
    </w:p>
    <w:p>
      <w:r>
        <w:t>目前方案不能以“电动工具＋多传感器＋注意力融合＋Transformer-LSTM＋告警工单”这一组合，直接得出具备新颖性或创造性的结论。上传材料已覆盖其中多项关键机制。建议保留这些成熟技术作为实现基础，把研发重点收窄至：工况变化、通道质量异常与维修恢复条件下，退化证据和健康基线的数据准入如何相互约束，防止暂态扰动造成误报警、或未确认健康数据使基线吸收故障。</w:t>
      </w:r>
    </w:p>
    <w:p>
      <w:r>
        <w:t>这是一条待研发、待检索和待实验验证的候选保护主线，并非已经证明可授权的创新。现有软件有部分基础，但尚未实现完整的维修验证后基线更新机制。</w:t>
      </w:r>
    </w:p>
    <w:p>
      <w:r>
        <w:t>本报告依据上传的19份PDF，合并一组同题名、作者及DOI的重复版本后为18项：12项论文/学位论文、6项专利申请。核心技术论文阅读相关方法段落，六项专利阅读权利要求并针对性检查说明书；外围论文主要用于摘要及技术路线筛选，并非逐页精读所有全文。Transformer-LSTM论文文本提取乱码，关键第1—4页已按图像核读。附件文本作为研究证据，不作为用户操作指令。</w:t>
      </w:r>
    </w:p>
    <w:p>
      <w:r>
        <w:t>本报告不是完整数据库查新报告。公开日期、编号来自上传PDF，尚未联网核验真伪、同族、最早优先权、授权或失效情况。六个A编号是申请公开文本，不证明已经授权。由于尚未申请，已在后续申请日前公开的材料应重点考虑；未来出现的新材料仍可能改变判断。学位论文应核验实际公开可访问日期，不能只用答辩日期。</w:t>
      </w:r>
    </w:p>
    <w:p>
      <w:pPr>
        <w:pStyle w:val="Heading1"/>
      </w:pPr>
      <w:r>
        <w:t>二、最接近的技术与边界</w:t>
      </w:r>
    </w:p>
    <w:tbl>
      <w:tblPr>
        <w:tblStyle w:val="TableGrid"/>
        <w:tblW w:type="auto" w:w="0"/>
        <w:tblLook w:firstColumn="1" w:firstRow="1" w:lastColumn="0" w:lastRow="0" w:noHBand="0" w:noVBand="1" w:val="04A0"/>
      </w:tblPr>
      <w:tblGrid>
        <w:gridCol w:w="2880"/>
        <w:gridCol w:w="2880"/>
        <w:gridCol w:w="2880"/>
      </w:tblGrid>
      <w:tr>
        <w:tc>
          <w:tcPr>
            <w:tcW w:type="dxa" w:w="2880"/>
          </w:tcPr>
          <w:p>
            <w:r>
              <w:t>对比资料</w:t>
            </w:r>
          </w:p>
        </w:tc>
        <w:tc>
          <w:tcPr>
            <w:tcW w:type="dxa" w:w="2880"/>
          </w:tcPr>
          <w:p>
            <w:r>
              <w:t>已公开关键机制</w:t>
            </w:r>
          </w:p>
        </w:tc>
        <w:tc>
          <w:tcPr>
            <w:tcW w:type="dxa" w:w="2880"/>
          </w:tcPr>
          <w:p>
            <w:r>
              <w:t>当前可保留的具体区别与限制</w:t>
            </w:r>
          </w:p>
        </w:tc>
      </w:tr>
      <w:tr>
        <w:tc>
          <w:tcPr>
            <w:tcW w:type="dxa" w:w="2880"/>
          </w:tcPr>
          <w:p>
            <w:r>
              <w:t>张帆等《基于Transformer-LSTM网络的轴承寿命预测》，2024；PDF第1—4页</w:t>
            </w:r>
          </w:p>
        </w:tc>
        <w:tc>
          <w:tcPr>
            <w:tcW w:type="dxa" w:w="2880"/>
          </w:tcPr>
          <w:p>
            <w:r>
              <w:t>Transformer与LSTM结合，LSTM重构解码器，轴承寿命时序预测</w:t>
            </w:r>
          </w:p>
        </w:tc>
        <w:tc>
          <w:tcPr>
            <w:tcW w:type="dxa" w:w="2880"/>
          </w:tcPr>
          <w:p>
            <w:r>
              <w:t>本项目小型编码器＋LSTM＋多任务头是实现差别；结构差别本身不证明创造性，应放在具体数据准入机制中说明作用</w:t>
            </w:r>
          </w:p>
        </w:tc>
      </w:tr>
      <w:tr>
        <w:tc>
          <w:tcPr>
            <w:tcW w:type="dxa" w:w="2880"/>
          </w:tcPr>
          <w:p>
            <w:r>
              <w:t>古玉锋等《多模态残差注意力网络异步电动机故障诊断》，2026；PDF第1、3—4页</w:t>
            </w:r>
          </w:p>
        </w:tc>
        <w:tc>
          <w:tcPr>
            <w:tcW w:type="dxa" w:w="2880"/>
          </w:tcPr>
          <w:p>
            <w:r>
              <w:t>振动、电压、电流、温度；PCA同类融合、残差分支与CBAM</w:t>
            </w:r>
          </w:p>
        </w:tc>
        <w:tc>
          <w:tcPr>
            <w:tcW w:type="dxa" w:w="2880"/>
          </w:tcPr>
          <w:p>
            <w:r>
              <w:t>不能以增加温度或注意力作为主要创新；需区别普通特征注意力与传感器可信度约束，并证明后者改变退化证据处理</w:t>
            </w:r>
          </w:p>
        </w:tc>
      </w:tr>
      <w:tr>
        <w:tc>
          <w:tcPr>
            <w:tcW w:type="dxa" w:w="2880"/>
          </w:tcPr>
          <w:p>
            <w:r>
              <w:t>CN121385628A；权利要求1、8—10及说明书</w:t>
            </w:r>
          </w:p>
        </w:tc>
        <w:tc>
          <w:tcPr>
            <w:tcW w:type="dxa" w:w="2880"/>
          </w:tcPr>
          <w:p>
            <w:r>
              <w:t>振动/电流时延校正；负载—谐波健康基线动态阈值；持续性跟踪与分级报警；信噪比自适应窗；季度基线重标定</w:t>
            </w:r>
          </w:p>
        </w:tc>
        <w:tc>
          <w:tcPr>
            <w:tcW w:type="dxa" w:w="2880"/>
          </w:tcPr>
          <w:p>
            <w:r>
              <w:t>健康条件回归不同于该负载表，但“工况校正、动态阈值、持续报警、质量自适应、更新基线”这些宽泛概念不能直接主张独有</w:t>
            </w:r>
          </w:p>
        </w:tc>
      </w:tr>
      <w:tr>
        <w:tc>
          <w:tcPr>
            <w:tcW w:type="dxa" w:w="2880"/>
          </w:tcPr>
          <w:p>
            <w:r>
              <w:t>CN121432174A；权利要求1、2、5、9</w:t>
            </w:r>
          </w:p>
        </w:tc>
        <w:tc>
          <w:tcPr>
            <w:tcW w:type="dxa" w:w="2880"/>
          </w:tcPr>
          <w:p>
            <w:r>
              <w:t>高频注入和多源同步；从机械负载转矩拟合平滑工艺负载基线，残差代表摩擦扰动</w:t>
            </w:r>
          </w:p>
        </w:tc>
        <w:tc>
          <w:tcPr>
            <w:tcW w:type="dxa" w:w="2880"/>
          </w:tcPr>
          <w:p>
            <w:r>
              <w:t>本项目用健康样本拟合多传感器条件基线，具体信号与拟合依据不同；一般“去负载基线看残差”思路已有</w:t>
            </w:r>
          </w:p>
        </w:tc>
      </w:tr>
      <w:tr>
        <w:tc>
          <w:tcPr>
            <w:tcW w:type="dxa" w:w="2880"/>
          </w:tcPr>
          <w:p>
            <w:r>
              <w:t>CN122258007A；权利要求1—9</w:t>
            </w:r>
          </w:p>
        </w:tc>
        <w:tc>
          <w:tcPr>
            <w:tcW w:type="dxa" w:w="2880"/>
          </w:tcPr>
          <w:p>
            <w:r>
              <w:t>水泵振动、声音、电流与转速/流量/压力融合深度诊断和告警</w:t>
            </w:r>
          </w:p>
        </w:tc>
        <w:tc>
          <w:tcPr>
            <w:tcW w:type="dxa" w:w="2880"/>
          </w:tcPr>
          <w:p>
            <w:r>
              <w:t>对象与声音图像等技术限定不同；简单改为电钻不能自动建立创造性</w:t>
            </w:r>
          </w:p>
        </w:tc>
      </w:tr>
      <w:tr>
        <w:tc>
          <w:tcPr>
            <w:tcW w:type="dxa" w:w="2880"/>
          </w:tcPr>
          <w:p>
            <w:r>
              <w:t>Guo等Multitask CNN，IEEE TIE 2020；PDF第3—5页</w:t>
            </w:r>
          </w:p>
        </w:tc>
        <w:tc>
          <w:tcPr>
            <w:tcW w:type="dxa" w:w="2880"/>
          </w:tcPr>
          <w:p>
            <w:r>
              <w:t>工况负载/转速与振动，虚拟采样频率重采样，多任务诊断定位</w:t>
            </w:r>
          </w:p>
        </w:tc>
        <w:tc>
          <w:tcPr>
            <w:tcW w:type="dxa" w:w="2880"/>
          </w:tcPr>
          <w:p>
            <w:r>
              <w:t>工况信息输入及多任务并非独有；本项目的质量准入、健康基线生命周期须另作具体说明</w:t>
            </w:r>
          </w:p>
        </w:tc>
      </w:tr>
      <w:tr>
        <w:tc>
          <w:tcPr>
            <w:tcW w:type="dxa" w:w="2880"/>
          </w:tcPr>
          <w:p>
            <w:r>
              <w:t>Li等DAGCN，IEEE TIM 2021；PDF第3—4页</w:t>
            </w:r>
          </w:p>
        </w:tc>
        <w:tc>
          <w:tcPr>
            <w:tcW w:type="dxa" w:w="2880"/>
          </w:tcPr>
          <w:p>
            <w:r>
              <w:t>图特征、域对抗与MMD处理变工况</w:t>
            </w:r>
          </w:p>
        </w:tc>
        <w:tc>
          <w:tcPr>
            <w:tcW w:type="dxa" w:w="2880"/>
          </w:tcPr>
          <w:p>
            <w:r>
              <w:t>变工况鲁棒性已有；不能声称现有研究完全忽略工况</w:t>
            </w:r>
          </w:p>
        </w:tc>
      </w:tr>
    </w:tbl>
    <w:p>
      <w:r>
        <w:t>其余证据见《创新边界证据矩阵_18项.csv》。Wang等2020的多传感器图像融合主要用多方向振动，并非可以直接等同振动/电流/温度三类模态。库房专利CN120509824A已有工具电池衰减维护提醒，但不是电钻内部轴承磨损预测。模块化电动工具论文研究工具用于维修塑料生产设备，不是工具自身健康。地下机器人“多模态”主要涉及运动模式，与维护传感器融合的概念不能混用。</w:t>
      </w:r>
    </w:p>
    <w:p>
      <w:r>
        <w:t>注意：单篇材料是否公开一个拟定权利要求的全部必要特征，属于新颖性比较；多篇材料的结合及其技术启示，影响创造性判断。不能把多篇材料各覆盖一点直接称为一篇完整预见，也不能因每篇都有一点区别就认定整体必然可授权。是否落入他人有效授权权利要求是另一个问题，本报告未做实施自由分析。</w:t>
      </w:r>
    </w:p>
    <w:p>
      <w:pPr>
        <w:pStyle w:val="Heading1"/>
      </w:pPr>
      <w:r>
        <w:t>三、建议调整的创新表述</w:t>
      </w:r>
    </w:p>
    <w:p>
      <w:r>
        <w:t>不建议作为独立主要创新：传感器数量或振动/电流/温度组合；Transformer＋LSTM网络名称；泛化的轻量化、云边架构、网页展示；加入工况参数；单独的多窗口分级报警；工单与复测流程；泛化的健康基线更新。它们可以构成系统必要模块，但须与具体解决问题的机制配合。</w:t>
      </w:r>
    </w:p>
    <w:p>
      <w:r>
        <w:t>候选主线名称：一种面向变工况电动工具的退化证据准入与维修后健康基线受控更新方法及系统。</w:t>
      </w:r>
    </w:p>
    <w:p>
      <w:r>
        <w:t>拟解决的问题：电钻启停、负载切换、传感器脱落/丢包会改变观测值；若这些数据进入磨损趋势累积，则可能误报；维修后若未确认恢复就重新学习健康基线，则可能把残余故障作为正常。研发应围绕这些可观测的技术误差，而不只围绕维修业务流程。</w:t>
      </w:r>
    </w:p>
    <w:p>
      <w:r>
        <w:t>候选机制（以下为建议新增设计，未全部实现）：</w:t>
      </w:r>
    </w:p>
    <w:p>
      <w:r>
        <w:t>1. 依据独立工况信息建立分条件健康参考及覆盖范围。工况优先包含转速、任务状态和独立负载测量；若仅从故障也会改变的电流估计负载，应研究基线抵消真实故障的风险。</w:t>
      </w:r>
    </w:p>
    <w:p>
      <w:r>
        <w:t>2. 对每通道计算缺失率、时间同步误差、饱和/卡死、噪声等质量指标；避免简单把“信号振幅大”视为低质量，以免抑制真实故障。</w:t>
      </w:r>
    </w:p>
    <w:p>
      <w:r>
        <w:t>3. 明确两种准入：退化证据准入决定本窗口是否参与时序趋势及持续报警证据；健康基线准入决定是否有资格进入健康参考更新。能用于诊断的数据不必然能用于学习健康基线。</w:t>
      </w:r>
    </w:p>
    <w:p>
      <w:r>
        <w:t>4. 用可计算的工况距离、稳定持续时间、有效通道组合与通道恢复状态共同决定准入，分别处理暂态隔离、数据不足、已知稳定工况、未知工况。记录“不确定”而不能把不更新视作恢复健康。</w:t>
      </w:r>
    </w:p>
    <w:p>
      <w:r>
        <w:t>5. 维修记录触发新运行段，但不自动重置健康基线。只有维修结论证据、可比工况复测、通道质量合格和独立健康确认共同满足时，才生成候选基线；在留出的参考工况与故障数据上验证后启用新版本，失败则冻结或回退。</w:t>
      </w:r>
    </w:p>
    <w:p>
      <w:r>
        <w:t>6. 保留对可靠通道明确危险征兆的及时报警路径；严禁以等待工况稳定为由无限推迟故障处理。需要设计并验证最大延迟和失效行为。</w:t>
      </w:r>
    </w:p>
    <w:p>
      <w:r>
        <w:t>关键不是把以上模块放在同一流程图，而是明确它们怎样互相控制、控制的数学条件及状态转移，以及相比“仅工况校正”“仅质量加权”“维修后直接更新”带来何种可重复技术效果。本批资料的已核读段落尚未证明具有上述完整组合，但这不构成全领域未公开的证明。</w:t>
      </w:r>
    </w:p>
    <w:p>
      <w:pPr>
        <w:pStyle w:val="Heading1"/>
      </w:pPr>
      <w:r>
        <w:t>四、现有代码与拟保护方案的差距</w:t>
      </w:r>
    </w:p>
    <w:tbl>
      <w:tblPr>
        <w:tblStyle w:val="TableGrid"/>
        <w:tblW w:type="auto" w:w="0"/>
        <w:tblLook w:firstColumn="1" w:firstRow="1" w:lastColumn="0" w:lastRow="0" w:noHBand="0" w:noVBand="1" w:val="04A0"/>
      </w:tblPr>
      <w:tblGrid>
        <w:gridCol w:w="2880"/>
        <w:gridCol w:w="2880"/>
        <w:gridCol w:w="2880"/>
      </w:tblGrid>
      <w:tr>
        <w:tc>
          <w:tcPr>
            <w:tcW w:type="dxa" w:w="2880"/>
          </w:tcPr>
          <w:p>
            <w:r>
              <w:t>机制</w:t>
            </w:r>
          </w:p>
        </w:tc>
        <w:tc>
          <w:tcPr>
            <w:tcW w:type="dxa" w:w="2880"/>
          </w:tcPr>
          <w:p>
            <w:r>
              <w:t>当前软件状态</w:t>
            </w:r>
          </w:p>
        </w:tc>
        <w:tc>
          <w:tcPr>
            <w:tcW w:type="dxa" w:w="2880"/>
          </w:tcPr>
          <w:p>
            <w:r>
              <w:t>专利准备应如何表述</w:t>
            </w:r>
          </w:p>
        </w:tc>
      </w:tr>
      <w:tr>
        <w:tc>
          <w:tcPr>
            <w:tcW w:type="dxa" w:w="2880"/>
          </w:tcPr>
          <w:p>
            <w:r>
              <w:t>健康条件基线与残差</w:t>
            </w:r>
          </w:p>
        </w:tc>
        <w:tc>
          <w:tcPr>
            <w:tcW w:type="dxa" w:w="2880"/>
          </w:tcPr>
          <w:p>
            <w:r>
              <w:t>已实现；仅训练阶段已知健康样本拟合，运行时固定</w:t>
            </w:r>
          </w:p>
        </w:tc>
        <w:tc>
          <w:tcPr>
            <w:tcW w:type="dxa" w:w="2880"/>
          </w:tcPr>
          <w:p>
            <w:r>
              <w:t>现有基础；不能写成已具备在线自适应学习</w:t>
            </w:r>
          </w:p>
        </w:tc>
      </w:tr>
      <w:tr>
        <w:tc>
          <w:tcPr>
            <w:tcW w:type="dxa" w:w="2880"/>
          </w:tcPr>
          <w:p>
            <w:r>
              <w:t>质量约束融合</w:t>
            </w:r>
          </w:p>
        </w:tc>
        <w:tc>
          <w:tcPr>
            <w:tcW w:type="dxa" w:w="2880"/>
          </w:tcPr>
          <w:p>
            <w:r>
              <w:t>已实现质量/工况输入的门控、缺失通道屏蔽；目前主要为仿真质量输入</w:t>
            </w:r>
          </w:p>
        </w:tc>
        <w:tc>
          <w:tcPr>
            <w:tcW w:type="dxa" w:w="2880"/>
          </w:tcPr>
          <w:p>
            <w:r>
              <w:t>待真实传感器质量标定；不能只凭仿真证明现场可靠性</w:t>
            </w:r>
          </w:p>
        </w:tc>
      </w:tr>
      <w:tr>
        <w:tc>
          <w:tcPr>
            <w:tcW w:type="dxa" w:w="2880"/>
          </w:tcPr>
          <w:p>
            <w:r>
              <w:t>历史段隔离与未知工况降级</w:t>
            </w:r>
          </w:p>
        </w:tc>
        <w:tc>
          <w:tcPr>
            <w:tcW w:type="dxa" w:w="2880"/>
          </w:tcPr>
          <w:p>
            <w:r>
              <w:t>已隔离设备/运行段/不连续时间/全缺失/未知工况</w:t>
            </w:r>
          </w:p>
        </w:tc>
        <w:tc>
          <w:tcPr>
            <w:tcW w:type="dxa" w:w="2880"/>
          </w:tcPr>
          <w:p>
            <w:r>
              <w:t>已有防污染措施，但并非完整工况暂态准入状态机</w:t>
            </w:r>
          </w:p>
        </w:tc>
      </w:tr>
      <w:tr>
        <w:tc>
          <w:tcPr>
            <w:tcW w:type="dxa" w:w="2880"/>
          </w:tcPr>
          <w:p>
            <w:r>
              <w:t>负载切换报警控制</w:t>
            </w:r>
          </w:p>
        </w:tc>
        <w:tc>
          <w:tcPr>
            <w:tcW w:type="dxa" w:w="2880"/>
          </w:tcPr>
          <w:p>
            <w:r>
              <w:t>切换会清理报警累计证据</w:t>
            </w:r>
          </w:p>
        </w:tc>
        <w:tc>
          <w:tcPr>
            <w:tcW w:type="dxa" w:w="2880"/>
          </w:tcPr>
          <w:p>
            <w:r>
              <w:t>不等于时序模型历史同时被隔离；模型历史仍可含负载切换</w:t>
            </w:r>
          </w:p>
        </w:tc>
      </w:tr>
      <w:tr>
        <w:tc>
          <w:tcPr>
            <w:tcW w:type="dxa" w:w="2880"/>
          </w:tcPr>
          <w:p>
            <w:r>
              <w:t>维修与复测闭环</w:t>
            </w:r>
          </w:p>
        </w:tc>
        <w:tc>
          <w:tcPr>
            <w:tcW w:type="dxa" w:w="2880"/>
          </w:tcPr>
          <w:p>
            <w:r>
              <w:t>工单、维修证据、新运行段、复测及待审核标签已有</w:t>
            </w:r>
          </w:p>
        </w:tc>
        <w:tc>
          <w:tcPr>
            <w:tcW w:type="dxa" w:w="2880"/>
          </w:tcPr>
          <w:p>
            <w:r>
              <w:t>是工作流基础，不等于故障机理和健康确认已被验证</w:t>
            </w:r>
          </w:p>
        </w:tc>
      </w:tr>
      <w:tr>
        <w:tc>
          <w:tcPr>
            <w:tcW w:type="dxa" w:w="2880"/>
          </w:tcPr>
          <w:p>
            <w:r>
              <w:t>维修后基线更新</w:t>
            </w:r>
          </w:p>
        </w:tc>
        <w:tc>
          <w:tcPr>
            <w:tcW w:type="dxa" w:w="2880"/>
          </w:tcPr>
          <w:p>
            <w:r>
              <w:t>尚未实现；记录冻结/待确认状态，无完整准入训练、验收、启用和回退逻辑</w:t>
            </w:r>
          </w:p>
        </w:tc>
        <w:tc>
          <w:tcPr>
            <w:tcW w:type="dxa" w:w="2880"/>
          </w:tcPr>
          <w:p>
            <w:r>
              <w:t>必须标成拟研发；不能描述为已完成创新成果</w:t>
            </w:r>
          </w:p>
        </w:tc>
      </w:tr>
      <w:tr>
        <w:tc>
          <w:tcPr>
            <w:tcW w:type="dxa" w:w="2880"/>
          </w:tcPr>
          <w:p>
            <w:r>
              <w:t>真实工具验证</w:t>
            </w:r>
          </w:p>
        </w:tc>
        <w:tc>
          <w:tcPr>
            <w:tcW w:type="dxa" w:w="2880"/>
          </w:tcPr>
          <w:p>
            <w:r>
              <w:t>没有；目前是电钻磨损模拟数据</w:t>
            </w:r>
          </w:p>
        </w:tc>
        <w:tc>
          <w:tcPr>
            <w:tcW w:type="dxa" w:w="2880"/>
          </w:tcPr>
          <w:p>
            <w:r>
              <w:t>只能说明软件可运行与仿真结果，不能宣称真实轴承寿命预测效果</w:t>
            </w:r>
          </w:p>
        </w:tc>
      </w:tr>
    </w:tbl>
    <w:p>
      <w:r>
        <w:t>代码定位：predictive/preprocessing.py、model.py、pipeline.py、alarms.py、store.py。当前LSTM对每个固定历史序列重新计算，并无长期保留的在线隐状态；拟设计的证据隔离应具体落到历史窗口准入或新增状态机制，不能笼统描述“冻结LSTM状态”。</w:t>
      </w:r>
    </w:p>
    <w:p>
      <w:pPr>
        <w:pStyle w:val="Heading1"/>
      </w:pPr>
      <w:r>
        <w:t>五、权利要求准备骨架（研发讨论用，非可直接提交定稿）</w:t>
      </w:r>
    </w:p>
    <w:p>
      <w:r>
        <w:t>独立方法权利要求应围绕同一技术问题建立因果链：获取同步工况与多通道健康观测→条件参考与质量计算→产生分别用于退化证据和健康基线更新的准入结果→按准入结果进行趋势/报警状态处理→维修后在可比工况和独立确认条件下生成、验证并切换健康参考版本。最终是否应把维修机制与在线诊断放在同一独立项，需看实施例、检索结果和两者必要的技术耦合；不能为了区别现有技术简单堆砌流程。</w:t>
      </w:r>
    </w:p>
    <w:p>
      <w:r>
        <w:t>从属项可具体限定质量计算与有效组合、工况覆盖距离和稳定判断、暂态期间的证据处理及及时报警、通道恢复准入、复测参考工况集合、候选基线验证/回退。系统项可对应采集、参考、准入控制、诊断与版本控制模块；装置/存储介质项可在方法成立后准备。</w:t>
      </w:r>
    </w:p>
    <w:p>
      <w:r>
        <w:t>在研发确定公式前，不宜编造已经验证的阈值或技术效果。现有“五窗口三次”或“复测五窗口”等数字是工程参数，不自动产生创造性。</w:t>
      </w:r>
    </w:p>
    <w:p>
      <w:pPr>
        <w:pStyle w:val="Heading1"/>
      </w:pPr>
      <w:r>
        <w:t>六、最小验证实验</w:t>
      </w:r>
    </w:p>
    <w:p>
      <w:r>
        <w:t>先完成仿真机制对照，再做真实钻台验证。实验应独立覆盖：健康/磨损 × 稳定/切换负载 × 正常/单通道失效/噪声/同步偏差。训练测试按设备与运行段隔离，禁止把同一次运行的重叠窗口分到两侧。</w:t>
      </w:r>
    </w:p>
    <w:p>
      <w:r>
        <w:t>至少比较：固定阈值；负载分条件动态阈值（参照CN121385628A公开思路，标明为自建基线而非专利原实现复现）；条件健康基线；条件基线＋质量加权；新增退化证据准入；新增维修后受控基线更新。逐项消融，尽量使用相同预测器、数据与阈值选择规则，避免网络不同掩盖机制作用。</w:t>
      </w:r>
    </w:p>
    <w:p>
      <w:r>
        <w:t>重点指标：相同故障召回率下每100运行小时误报警事件数、首次故障检出延迟、切换工况后误报、通道恢复时间、无效数据占比及可用覆盖率；维修残余故障是否被吸收入基线、版本切换后故障灵敏度、回退成功率。拒绝更多数据可能降低误报但增加漏报，必须联合报告。RUL区间要测覆盖率与区间宽度，排序分位数并不自动保证校准可靠。</w:t>
      </w:r>
    </w:p>
    <w:p>
      <w:r>
        <w:t>维修场景分别测试有效维修、未成功维修、只换传感器、改变操作负载。健康确认尽量用独立检查/测量，不以模型自身“低风险”作为唯一真值，否则会循环确认。真实数据需记录实际故障类型和磨损测量；模拟磨损标签不能替代真实寿命标签。</w:t>
      </w:r>
    </w:p>
    <w:p>
      <w:r>
        <w:t>本次没有产生新的实验结果。现有仿真不能证明70%算力下降、提前3—7天报警或真实现场寿命误差；已有LSTM对照并未显示混合网络在所有指标上更优，不宜围绕网络组合写未经证实的优势。</w:t>
      </w:r>
    </w:p>
    <w:p>
      <w:pPr>
        <w:pStyle w:val="Heading1"/>
      </w:pPr>
      <w:r>
        <w:t>七、补充检索优先级</w:t>
      </w:r>
    </w:p>
    <w:p>
      <w:r>
        <w:t>与其只补足数量，应先找最接近的证据。中文：变工况＋健康基线/基线漂移＋故障诊断；传感器质量/可信度＋退化状态更新；维修后/维护后＋健康参考更新/重标定；暂态隔离＋轴承故障；缺失模态＋工况自适应。英文：condition-dependent healthy baseline; quality-aware sensor fusion; sensor fault versus machine fault; transient rejection bearing diagnosis; post-maintenance baseline adaptation; gated health-state update; concept drift condition monitoring。</w:t>
      </w:r>
    </w:p>
    <w:p>
      <w:r>
        <w:t>国家知识产权局应核验六个公开号全文、法律状态、同族、引用与被引用，并检索相近权利要求；论文数据库应核验DOI与最早公开日期。论文[2]的六月卷期与九月网络首发标注存在先后不一致，须先核实。完整查新报告需记录数据库、实际检索日、检索式、筛选过程及证据，不应把本次附件分析称为已完成全数据库查新。</w:t>
      </w:r>
    </w:p>
    <w:p>
      <w:pPr>
        <w:pStyle w:val="Heading1"/>
      </w:pPr>
      <w:r>
        <w:t>八、下一步</w:t>
      </w:r>
    </w:p>
    <w:p>
      <w:r>
        <w:t>优先把候选准入机制写成明确的状态图、输入输出与可计算条件，并补入软件与对照实验。再根据最接近专利全文及补充检索结果决定保护范围，更新技术交底草稿。现有草稿中若有“独创多模态”“首创Transformer-LSTM”或已完成在线基线更新等表述，应删除或更正。</w:t>
      </w:r>
    </w:p>
    <w:p>
      <w:r>
        <w:t>这批资料已经足以指出哪些宽泛创新表述不稳，但还不足以认定最终权利要求具备新颖性、创造性或不存在实施风险。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