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AI预测性维护电动工具运维系统：专利初步查新报告</w:t>
      </w:r>
    </w:p>
    <w:p>
      <w:r>
        <w:t>材料整理日期：2026年10月8日。用途：导师讨论及技术交底准备。</w:t>
      </w:r>
    </w:p>
    <w:p>
      <w:pPr>
        <w:pStyle w:val="Heading1"/>
      </w:pPr>
      <w:r>
        <w:t>一、查新目的与项目范围</w:t>
      </w:r>
    </w:p>
    <w:p>
      <w:r>
        <w:t>本项目拟融合振动、电流、温度等运行信息，结合工况处理与轻量化时序算法，判断电动工具核心部件退化并提供维护提醒。现阶段以电钻轴承为第一研究对象，已完成电脑CPU与Python网页上的软件仿真原型，尚无真实工具采集和寿命验证。</w:t>
      </w:r>
    </w:p>
    <w:p>
      <w:r>
        <w:t>本次初步查新旨在回答三个问题：多源信息与工况处理是否已有近邻方案；Transformer-LSTM及分级维护是否适合作为主要创新；哪些具体机制值得进一步检索与研发。比较的对象是任务书设想和当前原型，还不是已经定稿的权利要求。</w:t>
      </w:r>
    </w:p>
    <w:p>
      <w:pPr>
        <w:pStyle w:val="Heading1"/>
      </w:pPr>
      <w:r>
        <w:t>二、证据范围与方法</w:t>
      </w:r>
    </w:p>
    <w:p>
      <w:r>
        <w:t>依据用户上传的19份PDF，按题名、作者和DOI合并一组重复论文，得到18项资料，包括12项论文/学位论文、6项专利申请公开文本。本报告以6项专利全文的权利要求与相关说明书为主要比较依据，并结合核心论文判断任务书中的创新表述。</w:t>
      </w:r>
    </w:p>
    <w:p>
      <w:r>
        <w:t>本次为附件技术比对，尚未完成国家知识产权局及国内外数据库的全面检索，不能作为查新机构出具的正式报告或授权保证。编号、日期和名称来自上传PDF，尚未联网核验同族、法律状态和最早优先权；A号表示申请公开，不能据此认定已授权。任务书指定的CN121637419A、CN121682762A全文仍待核验。</w:t>
      </w:r>
    </w:p>
    <w:p>
      <w:r>
        <w:t>建议补查中文词组：电动工具/电钻＋预测性维护/状态监测；电机/轴承＋多传感器融合＋变工况；健康基线＋质量/可信度；暂态隔离＋证据累计/状态更新；维修后＋基线适应/重标定/冻结/回退。英文对应：power drill predictive maintenance; condition-dependent healthy baseline; quality-aware sensor fusion; sensor fault versus machine fault; transient rejection; post-maintenance baseline adaptation。</w:t>
      </w:r>
    </w:p>
    <w:p>
      <w:r>
        <w:t>上述为后续检索策略，未填入虚构的数据库检索次数、命中数或检索结果。正式补查应记录数据库、字段、实际日期、结果数、筛选过程与全文出处，且不能仅限定2025年以后的文献。</w:t>
      </w:r>
    </w:p>
    <w:p>
      <w:pPr>
        <w:pStyle w:val="Heading1"/>
      </w:pPr>
      <w:r>
        <w:t>三、拟查新的技术点</w:t>
      </w:r>
    </w:p>
    <w:p>
      <w:r>
        <w:t>查新点A：依据工况信息建立健康参考，处理多传感器特征并识别退化。</w:t>
      </w:r>
    </w:p>
    <w:p>
      <w:r>
        <w:t>查新点B：以Transformer-LSTM或其他小型时序网络进行健康与寿命估计，实现低资源运行。</w:t>
      </w:r>
    </w:p>
    <w:p>
      <w:r>
        <w:t>查新点C：根据有效连续观测形成分级维护提醒，并研究维修后的状态与健康参考恢复。</w:t>
      </w:r>
    </w:p>
    <w:p>
      <w:r>
        <w:t>以上是比较线索，不是已经确认成立的创新。进一步查新应针对具体规则和组合关系，而非只查网络名称或应用对象。</w:t>
      </w:r>
    </w:p>
    <w:p>
      <w:pPr>
        <w:pStyle w:val="Heading1"/>
      </w:pPr>
      <w:r>
        <w:t>四、相关专利及技术比较</w:t>
      </w:r>
    </w:p>
    <w:p>
      <w:pPr>
        <w:pStyle w:val="Heading2"/>
      </w:pPr>
      <w:r>
        <w:t>4.1 电机多传感器故障诊断：CN121385628A［P1］</w:t>
      </w:r>
    </w:p>
    <w:p>
      <w:r>
        <w:t>该申请公开文本记载通过阶跃刺激标定振动与电流响应时延，根据滤波参数调整对齐，并结合振动脉冲与电流谐波变化进行诊断。权利要求8进一步使用负载率—电流谐波健康基线形成动态阈值；权利要求9持续跟踪特征并生成分级报警；权利要求10按信噪比调整窗口。说明书还涉及基线的定期重新标定。</w:t>
      </w:r>
    </w:p>
    <w:p>
      <w:r>
        <w:t>与本项目的关系：它已经涉及工况相关健康参考、质量相关窗长、持续确认和分级报警。因此，“加入负载校正”“连续多窗口报警”“更新基线”这些宽泛表述不宜直接作为新颖点。当前原型的健康样本条件回归与其具体查表及信号耦合路线不同，但具体区别是否产生非显而易见的技术效果仍需论证。</w:t>
      </w:r>
    </w:p>
    <w:p>
      <w:r>
        <w:t>定位：PDF第2—3页权利要求1、8—10，以及说明书基线和窗长段落。</w:t>
      </w:r>
    </w:p>
    <w:p>
      <w:pPr>
        <w:pStyle w:val="Heading2"/>
      </w:pPr>
      <w:r>
        <w:t>4.2 电感绕线设备故障检测：CN121432174A［P2］</w:t>
      </w:r>
    </w:p>
    <w:p>
      <w:r>
        <w:t>该文本结合高频注入、电流与运动信号同步，通过电气和机械信息提取故障特征。其中权利要求5将机械负载转矩在滑动窗口内做多项式拟合，分成平滑工艺负载基线和摩擦扰动残差。</w:t>
      </w:r>
    </w:p>
    <w:p>
      <w:r>
        <w:t>与本项目的关系：通过负载相关参考分离退化信息的基本思路已有公开。原型使用确认健康样本拟合振动、电流、温度条件参考，输入及估计依据不同；不能将一般“去除负载基线、观察残差”直接表述为首次提出。</w:t>
      </w:r>
    </w:p>
    <w:p>
      <w:r>
        <w:t>定位：PDF第2—4页权利要求1、2、5、9及对应说明书。</w:t>
      </w:r>
    </w:p>
    <w:p>
      <w:pPr>
        <w:pStyle w:val="Heading2"/>
      </w:pPr>
      <w:r>
        <w:t>4.3 水泵多源深度诊断：CN122258007A［P3］</w:t>
      </w:r>
    </w:p>
    <w:p>
      <w:r>
        <w:t>该文本采集振动、声音、电流，并加入转速、流量与压力；通过声图像、数值特征与工况参数的多分支融合输出诊断类型及相关结果。</w:t>
      </w:r>
    </w:p>
    <w:p>
      <w:r>
        <w:t>与本项目的关系：多传感器、工况与深度学习共同用于诊断已有公开基础。对象、声图像及具体网络限定不同，但简单把水泵对象改为电钻，不能自动建立创造性。电钻场景仍需证明处理启停、负载切换及观测异常的具体机制贡献。</w:t>
      </w:r>
    </w:p>
    <w:p>
      <w:r>
        <w:t>定位：PDF第2—3页权利要求1—9。</w:t>
      </w:r>
    </w:p>
    <w:p>
      <w:pPr>
        <w:pStyle w:val="Heading2"/>
      </w:pPr>
      <w:r>
        <w:t>4.4 工器具管理、机器人与边云维护相关方案［P4—P6］</w:t>
      </w:r>
    </w:p>
    <w:p>
      <w:r>
        <w:t>CN120509824A涉及多模态工具管理、正常行为参考、数字孪生及电动工具电池衰减维护提醒。它与轴承退化对象不同，但说明工具管理、维护提醒和状态展示已有技术基础。</w:t>
      </w:r>
    </w:p>
    <w:p>
      <w:r>
        <w:t>CN122518894A涉及地下机器人飞行、行走和攀爬的结构与控制，其“多模态”主要与运动方式有关，不能只因术语相同就作为电机异构传感器融合的最接近对比。</w:t>
      </w:r>
    </w:p>
    <w:p>
      <w:r>
        <w:t>CN122717237A涉及无人机机场边云能源管理、LSTM预测、链路质量、缓存、更新与告警。可提供部署参考，但不宜把通用云边架构或网页/APP流程作为优先保护主线。</w:t>
      </w:r>
    </w:p>
    <w:p>
      <w:pPr>
        <w:pStyle w:val="Heading1"/>
      </w:pPr>
      <w:r>
        <w:t>五、任务书创新点的初步判断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任务书设想</w:t>
            </w:r>
          </w:p>
        </w:tc>
        <w:tc>
          <w:tcPr>
            <w:tcW w:type="dxa" w:w="2880"/>
          </w:tcPr>
          <w:p>
            <w:r>
              <w:t>已有证据</w:t>
            </w:r>
          </w:p>
        </w:tc>
        <w:tc>
          <w:tcPr>
            <w:tcW w:type="dxa" w:w="2880"/>
          </w:tcPr>
          <w:p>
            <w:r>
              <w:t>对本项目的影响</w:t>
            </w:r>
          </w:p>
        </w:tc>
      </w:tr>
      <w:tr>
        <w:tc>
          <w:tcPr>
            <w:tcW w:type="dxa" w:w="2880"/>
          </w:tcPr>
          <w:p>
            <w:r>
              <w:t>工况解耦的多传感器融合</w:t>
            </w:r>
          </w:p>
        </w:tc>
        <w:tc>
          <w:tcPr>
            <w:tcW w:type="dxa" w:w="2880"/>
          </w:tcPr>
          <w:p>
            <w:r>
              <w:t>［P1］负载基线动态阈值；［P2］工艺负载与摩擦残差；［P3］工况深度融合</w:t>
            </w:r>
          </w:p>
        </w:tc>
        <w:tc>
          <w:tcPr>
            <w:tcW w:type="dxa" w:w="2880"/>
          </w:tcPr>
          <w:p>
            <w:r>
              <w:t>工况信息与基线处理已有近邻，需要明确新的准入规则、协作关系及效果</w:t>
            </w:r>
          </w:p>
        </w:tc>
      </w:tr>
      <w:tr>
        <w:tc>
          <w:tcPr>
            <w:tcW w:type="dxa" w:w="2880"/>
          </w:tcPr>
          <w:p>
            <w:r>
              <w:t>轻量Transformer-LSTM及70%算力下降</w:t>
            </w:r>
          </w:p>
        </w:tc>
        <w:tc>
          <w:tcPr>
            <w:tcW w:type="dxa" w:w="2880"/>
          </w:tcPr>
          <w:p>
            <w:r>
              <w:t>轴承Transformer-LSTM论文已有；现有纯LSTM对照并未更差</w:t>
            </w:r>
          </w:p>
        </w:tc>
        <w:tc>
          <w:tcPr>
            <w:tcW w:type="dxa" w:w="2880"/>
          </w:tcPr>
          <w:p>
            <w:r>
              <w:t>不能以名称组合作为主要创新；资源收益须明确基准、硬件与指标</w:t>
            </w:r>
          </w:p>
        </w:tc>
      </w:tr>
      <w:tr>
        <w:tc>
          <w:tcPr>
            <w:tcW w:type="dxa" w:w="2880"/>
          </w:tcPr>
          <w:p>
            <w:r>
              <w:t>多级健康指标及提前3—7天提醒</w:t>
            </w:r>
          </w:p>
        </w:tc>
        <w:tc>
          <w:tcPr>
            <w:tcW w:type="dxa" w:w="2880"/>
          </w:tcPr>
          <w:p>
            <w:r>
              <w:t>［P1］持续分级报警；［P4］工具维护提醒</w:t>
            </w:r>
          </w:p>
        </w:tc>
        <w:tc>
          <w:tcPr>
            <w:tcW w:type="dxa" w:w="2880"/>
          </w:tcPr>
          <w:p>
            <w:r>
              <w:t>分级流程本身已有；真实预警时间需失效终点与使用计划</w:t>
            </w:r>
          </w:p>
        </w:tc>
      </w:tr>
    </w:tbl>
    <w:p>
      <w:r>
        <w:t>新颖性需要比较单份资料是否公开拟定权利要求的全部必要特征；创造性还需研究组合启示。不能将多篇材料分别覆盖的构件直接说成一篇已完整预见，也不能因每篇存在区别就保证组合可授权。有效授权权利要求的实施风险是另一个问题，本次没有完成该项分析。</w:t>
      </w:r>
    </w:p>
    <w:p>
      <w:pPr>
        <w:pStyle w:val="Heading1"/>
      </w:pPr>
      <w:r>
        <w:t>六、值得研究的场景问题与候选方向</w:t>
      </w:r>
    </w:p>
    <w:p>
      <w:r>
        <w:t>本项目可重点验证三个问题：正常启停/负载切换是否污染退化证据；传感器缺失、饱和、安装变化是否与机器故障混淆；维修恢复未确认时是否将残余故障吸收入健康参考。它们是电钻场景的研究假设，不能据当前资料宣称所有现有技术都存在这些缺陷。</w:t>
      </w:r>
    </w:p>
    <w:p>
      <w:r>
        <w:t>候选主线是工况稳定性、覆盖范围与通道质量共同控制历史窗口和持续退化证据准入。规则需明确无效、未知、暂态、恢复时怎样更新，以及对故障召回、可用覆盖率和检出延迟的约束。</w:t>
      </w:r>
    </w:p>
    <w:p>
      <w:r>
        <w:t>维修后健康参考受控更新可作为延伸：通过新运行段、可比工况复测和独立健康确认生成候选参考；验证健康覆盖与故障灵敏度后再切换版本，失败冻结或回退。它与定期重标定的区别应具体说明，不能仅以“维修后更新”命名。</w:t>
      </w:r>
    </w:p>
    <w:p>
      <w:r>
        <w:t>这两项尚未完整实现、尚未证明新颖。下一步应对质量感知、暂态隔离、维护后自适应近邻技术补查，并以同预测器消融、确认缺陷和失败维修样例验证效果。</w:t>
      </w:r>
    </w:p>
    <w:p>
      <w:pPr>
        <w:pStyle w:val="Heading1"/>
      </w:pPr>
      <w:r>
        <w:t>七、阶段结论</w:t>
      </w:r>
    </w:p>
    <w:p>
      <w:r>
        <w:t>目前证据足以说明，任务书中的多传感器、工况处理、组合时序网络、分级提醒均有已有技术基础；仅依靠模块组合或改应用对象，不能直接得出具备创造性的结论。</w:t>
      </w:r>
    </w:p>
    <w:p>
      <w:r>
        <w:t>建议保持电钻轴承这一明确对象，把原“核心创新点”改为候选研究方向，围绕具体数据准入和参考恢复机制建立可实施方案。当前报告支持收窄选题，不支持“查无同类技术”“填补领域空白”或保证授权等表述。</w:t>
      </w:r>
    </w:p>
    <w:p>
      <w:pPr>
        <w:pStyle w:val="Heading1"/>
      </w:pPr>
      <w:r>
        <w:t>参考申请公开文本及定位</w:t>
      </w:r>
    </w:p>
    <w:p>
      <w:r>
        <w:t>［P1］基于多传感器融合的电机故障诊断算法，CN121385628A；PDF载公开2026-01-23；权利要求1、8—10及相关说明书。</w:t>
      </w:r>
    </w:p>
    <w:p>
      <w:r>
        <w:t>［P2］基于多传感器融合的电感绕线设备故障检测方法及系统，CN121432174A；PDF载公开2026-01-30；权利要求1、2、5、9及相关说明书。</w:t>
      </w:r>
    </w:p>
    <w:p>
      <w:r>
        <w:t>［P3］基于多传感器融合与深度学习的水泵故障诊断方法和系统，CN122258007A；PDF载公开2026-06-23；权利要求1—9。</w:t>
      </w:r>
    </w:p>
    <w:p>
      <w:r>
        <w:t>［P4］一种智能工器具库房管理系统，CN120509824A；PDF载公开2025-08-19；权利要求1、3—7。</w:t>
      </w:r>
    </w:p>
    <w:p>
      <w:r>
        <w:t>［P5］地下空间探测多模态仿生机器人及其变形控制系统与方法，CN122518894A；PDF载公开2026-08-07；权利要求1—10。</w:t>
      </w:r>
    </w:p>
    <w:p>
      <w:r>
        <w:t>［P6］无人值守无人机机场智能能源管理协同控制系统及方法，CN122717237A；PDF载公开2026-09-08；权利要求1—10。</w:t>
      </w:r>
    </w:p>
    <w:p>
      <w:r>
        <w:t>日期以附件为依据，数据库核验待补；原文文件名与来源见配套证据索引。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