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p>
    <w:p>
      <w:pPr>
        <w:spacing w:after="300"/>
      </w:pPr>
    </w:p>
    <w:p>
      <w:pPr>
        <w:spacing w:after="300"/>
      </w:pPr>
    </w:p>
    <w:p>
      <w:pPr>
        <w:ind w:firstLine="0"/>
      </w:pPr>
      <w:r>
        <w:rPr>
          <w:rFonts w:ascii="Times New Roman" w:hAnsi="Times New Roman" w:eastAsia="黑体"/>
          <w:color w:val="4F6C80"/>
          <w:sz w:val="30"/>
        </w:rPr>
        <w:t>文 献 综 述</w:t>
      </w:r>
    </w:p>
    <w:p>
      <w:pPr>
        <w:pStyle w:val="Title"/>
        <w:spacing w:line="300" w:lineRule="auto" w:after="480"/>
      </w:pPr>
      <w:r>
        <w:t>面向电动工具预测性维护的</w:t>
        <w:br/>
        <w:t>多源融合、变工况诊断</w:t>
        <w:br/>
        <w:t>与寿命预测研究综述</w:t>
      </w:r>
    </w:p>
    <w:p>
      <w:pPr>
        <w:pStyle w:val="ReviewIndex"/>
        <w:spacing w:after="600"/>
      </w:pPr>
      <w:r>
        <w:t>基于所提供的12篇去重论文及学位论文</w:t>
      </w:r>
    </w:p>
    <w:p>
      <w:pPr>
        <w:pStyle w:val="ReviewNote"/>
        <w:spacing w:line="384" w:lineRule="auto"/>
      </w:pPr>
      <w:r>
        <w:t>研究对象：电钻轴承状态监测与维护研究</w:t>
        <w:br/>
        <w:t>用途：研究梳理、算法路线选择与导师讨论</w:t>
        <w:br/>
        <w:t>整理日期：2026年10月9日</w:t>
      </w:r>
    </w:p>
    <w:p>
      <w:r>
        <w:br w:type="page"/>
      </w:r>
    </w:p>
    <w:p>
      <w:pPr>
        <w:pStyle w:val="Heading1"/>
      </w:pPr>
      <w:r>
        <w:t>目录（点击章节标题可跳转）</w:t>
      </w:r>
    </w:p>
    <w:p>
      <w:pPr>
        <w:pStyle w:val="ReviewIndex"/>
        <w:spacing w:after="240"/>
      </w:pPr>
      <w:hyperlink w:anchor="chapter_1" w:history="1">
        <w:r>
          <w:rPr>
            <w:rFonts w:eastAsia="宋体" w:ascii="Times New Roman"/>
            <w:color w:val="254C65"/>
          </w:rPr>
          <w:t>1 引言与文献范围</w:t>
        </w:r>
      </w:hyperlink>
    </w:p>
    <w:p>
      <w:pPr>
        <w:pStyle w:val="ReviewIndex"/>
        <w:spacing w:after="240"/>
      </w:pPr>
      <w:hyperlink w:anchor="chapter_2" w:history="1">
        <w:r>
          <w:rPr>
            <w:rFonts w:eastAsia="宋体" w:ascii="Times New Roman"/>
            <w:color w:val="254C65"/>
          </w:rPr>
          <w:t>2 多源数据表示、特征与融合</w:t>
        </w:r>
      </w:hyperlink>
    </w:p>
    <w:p>
      <w:pPr>
        <w:pStyle w:val="ReviewIndex"/>
        <w:spacing w:after="240"/>
      </w:pPr>
      <w:hyperlink w:anchor="chapter_3" w:history="1">
        <w:r>
          <w:rPr>
            <w:rFonts w:eastAsia="宋体" w:ascii="Times New Roman"/>
            <w:color w:val="254C65"/>
          </w:rPr>
          <w:t>3 变工况诊断：物理信息融合与域适应</w:t>
        </w:r>
      </w:hyperlink>
    </w:p>
    <w:p>
      <w:pPr>
        <w:pStyle w:val="ReviewIndex"/>
        <w:spacing w:after="240"/>
      </w:pPr>
      <w:hyperlink w:anchor="chapter_4" w:history="1">
        <w:r>
          <w:rPr>
            <w:rFonts w:eastAsia="宋体" w:ascii="Times New Roman"/>
            <w:color w:val="254C65"/>
          </w:rPr>
          <w:t>4 状态识别、磨损趋势与剩余寿命预测</w:t>
        </w:r>
      </w:hyperlink>
    </w:p>
    <w:p>
      <w:pPr>
        <w:pStyle w:val="ReviewIndex"/>
        <w:spacing w:after="240"/>
      </w:pPr>
      <w:hyperlink w:anchor="chapter_5" w:history="1">
        <w:r>
          <w:rPr>
            <w:rFonts w:eastAsia="宋体" w:ascii="Times New Roman"/>
            <w:color w:val="254C65"/>
          </w:rPr>
          <w:t>5 轻量化模型与资源评价</w:t>
        </w:r>
      </w:hyperlink>
    </w:p>
    <w:p>
      <w:pPr>
        <w:pStyle w:val="ReviewIndex"/>
        <w:spacing w:after="240"/>
      </w:pPr>
      <w:hyperlink w:anchor="chapter_6" w:history="1">
        <w:r>
          <w:rPr>
            <w:rFonts w:eastAsia="宋体" w:ascii="Times New Roman"/>
            <w:color w:val="254C65"/>
          </w:rPr>
          <w:t>6 跨领域文献的启示与适用边界</w:t>
        </w:r>
      </w:hyperlink>
    </w:p>
    <w:p>
      <w:pPr>
        <w:pStyle w:val="ReviewIndex"/>
        <w:spacing w:after="240"/>
      </w:pPr>
      <w:hyperlink w:anchor="chapter_7" w:history="1">
        <w:r>
          <w:rPr>
            <w:rFonts w:eastAsia="宋体" w:ascii="Times New Roman"/>
            <w:color w:val="254C65"/>
          </w:rPr>
          <w:t>7 综合评述与本项目研究方向</w:t>
        </w:r>
      </w:hyperlink>
    </w:p>
    <w:p>
      <w:pPr>
        <w:pStyle w:val="ReviewIndex"/>
        <w:spacing w:after="240"/>
      </w:pPr>
      <w:hyperlink w:anchor="chapter_8" w:history="1">
        <w:r>
          <w:rPr>
            <w:rFonts w:eastAsia="宋体" w:ascii="Times New Roman"/>
            <w:color w:val="254C65"/>
          </w:rPr>
          <w:t>8 结论</w:t>
        </w:r>
      </w:hyperlink>
    </w:p>
    <w:p>
      <w:pPr>
        <w:pStyle w:val="ReviewIndex"/>
        <w:spacing w:after="240"/>
      </w:pPr>
      <w:hyperlink w:anchor="references" w:history="1">
        <w:r>
          <w:rPr>
            <w:rFonts w:eastAsia="宋体" w:ascii="Times New Roman"/>
            <w:color w:val="254C65"/>
          </w:rPr>
          <w:t>参考文献</w:t>
        </w:r>
      </w:hyperlink>
    </w:p>
    <w:p>
      <w:pPr>
        <w:pStyle w:val="ReviewIndex"/>
        <w:spacing w:after="240"/>
      </w:pPr>
      <w:hyperlink w:anchor="source_index" w:history="1">
        <w:r>
          <w:rPr>
            <w:rFonts w:eastAsia="宋体" w:ascii="Times New Roman"/>
            <w:color w:val="254C65"/>
          </w:rPr>
          <w:t>附录A 原文阅读定位</w:t>
        </w:r>
      </w:hyperlink>
    </w:p>
    <w:p>
      <w:pPr>
        <w:pStyle w:val="ReviewIndex"/>
        <w:spacing w:after="240"/>
      </w:pPr>
      <w:hyperlink w:anchor="source_notes" w:history="1">
        <w:r>
          <w:rPr>
            <w:rFonts w:eastAsia="宋体" w:ascii="Times New Roman"/>
            <w:color w:val="254C65"/>
          </w:rPr>
          <w:t>附录B 材料与书目信息说明</w:t>
        </w:r>
      </w:hyperlink>
    </w:p>
    <w:p>
      <w:pPr>
        <w:pStyle w:val="ReviewNote"/>
        <w:spacing w:before="360"/>
      </w:pPr>
      <w:r>
        <w:t>正文按技术问题组织；附录A可用于返回对应上传PDF核对方法和实验。</w:t>
      </w:r>
    </w:p>
    <w:p>
      <w:r>
        <w:br w:type="page"/>
      </w:r>
    </w:p>
    <w:p>
      <w:pPr>
        <w:pStyle w:val="Heading1"/>
      </w:pPr>
      <w:r>
        <w:t>摘要</w:t>
      </w:r>
    </w:p>
    <w:p>
      <w:r>
        <w:t>电动工具在启停、转速与负载变化、安装条件差异及长时间使用的共同作用下，运行信号既包含正常工况变化，也包含部件退化与采集异常。预测性维护因此需要同时解决信息融合、工况适应、退化建模与资源约束问题。本文以用户提供的12篇去重论文及学位论文为依据，围绕多传感器表示与融合、变工况故障诊断、磨损与剩余寿命预测、模型轻量化及工程验证展开综述。现有研究已形成从多方向振动图像融合到异构传感器分支建模、从工况与机理信息融合到域适应、从特征筛选到组合时序网络的多条技术路线。比较表明，网络结构的改进须与数据来源、标签、设备划分及评价目标共同理解；分类准确率、寿命终点预测误差和训练时间不能作为可直接互换的性能指标。对电钻轴承研究，较有价值的下一步是建立可比工况下的健康参考，区分观测质量与故障证据，采用独立设备验证诊断与趋势预测，并在目标硬件上评价资源开销。本文同时提出供后续研究验证的技术问题，作为算法选择、实验设计及导师讨论的依据。</w:t>
      </w:r>
    </w:p>
    <w:p>
      <w:pPr>
        <w:pStyle w:val="ReviewIndex"/>
        <w:spacing w:before="180"/>
      </w:pPr>
      <w:r>
        <w:t>关键词：电动工具；预测性维护；多传感器融合；变工况；剩余寿命；轻量化模型</w:t>
      </w:r>
    </w:p>
    <w:p>
      <w:r>
        <w:br w:type="page"/>
      </w:r>
    </w:p>
    <w:p>
      <w:bookmarkStart w:id="1" w:name="chapter_1"/>
      <w:pPr>
        <w:pStyle w:val="Heading1"/>
      </w:pPr>
      <w:r>
        <w:t>1 引言与文献范围</w:t>
      </w:r>
      <w:bookmarkEnd w:id="1"/>
    </w:p>
    <w:p>
      <w:pPr>
        <w:pStyle w:val="Heading2"/>
      </w:pPr>
      <w:r>
        <w:t>1.1 研究背景与问题</w:t>
      </w:r>
    </w:p>
    <w:p>
      <w:r>
        <w:t>振动、电流和温度能够从机械、电气与热过程反映设备状态，但它们也随正常使用条件变化。例如，负载增加可能同时引起电流、振动和温升上升；局部磨损可能使振动冲击更明显，却未立即形成可辨认的温升。对间歇使用的电钻，仅用某一特征的固定阈值判断退化，容易把使用方式变化和损伤混为一谈。采用学习模型可以提取更复杂的关系，但其可靠性仍取决于测量、标签及验证设计。</w:t>
      </w:r>
    </w:p>
    <w:p>
      <w:r>
        <w:t>本综述将问题分为四个层次：第一，如何把不同通道或不同表示组织成有效信息；第二，如何处理转速、负载等工况引起的分布差异；第三，如何从当前状态进一步预测磨损趋势或剩余寿命；第四，如何使模型在实际采集和计算条件下运行。显示界面和维修流程承接模型输出，但不能代替对上述技术问题的验证。</w:t>
      </w:r>
    </w:p>
    <w:p>
      <w:pPr>
        <w:pStyle w:val="Heading2"/>
      </w:pPr>
      <w:r>
        <w:t>1.2 材料范围与整理方式</w:t>
      </w:r>
    </w:p>
    <w:p>
      <w:r>
        <w:t>本次上传材料中有13份论文PDF，依据题名、作者和DOI将两份《多模态残差注意力网络异步电动机故障诊断》合并，得到12篇独立文献。其中包括3篇IEEE期刊论文、8篇中文期刊论文和1篇硕士学位论文。另有6份专利申请公开文本，本篇不将其计入论文综述。本文以附件全文为依据，按研究问题综合比较，而非按题名逐篇摘要。</w:t>
      </w:r>
    </w:p>
    <w:p>
      <w:r>
        <w:t>轴承和电机文献[1—5]是诊断与寿命技术的主要依据；刀具磨损研究[6]提供特征、标签与跨刀具验证经验；燃料电池和光伏研究[7—8]用于讨论退化建模和资源约束；工业控制、视觉融合、熔覆预测及模块化工具应用[9—12]提供方法或应用参考。后一组与电钻的物理对象不同，其作用需要通过目标场景实验确认。</w:t>
      </w:r>
    </w:p>
    <w:p>
      <w:r>
        <w:t>本篇属于所提供文献的专题综述，未执行新的数据库系统检索，不代表对整个领域的穷尽覆盖。书目信息从附件核对；尚不完整或相互矛盾的出版信息集中列在附录中。下文“实验结果”均指原作者在各自设置下报告的结果，“研究建议”则指本文综合形成的后续研究设想。</w:t>
      </w:r>
    </w:p>
    <w:p>
      <w:bookmarkStart w:id="2" w:name="chapter_2"/>
      <w:pPr>
        <w:pStyle w:val="Heading1"/>
      </w:pPr>
      <w:r>
        <w:t>2 多源数据表示、特征与融合</w:t>
      </w:r>
      <w:bookmarkEnd w:id="2"/>
    </w:p>
    <w:p>
      <w:pPr>
        <w:pStyle w:val="Heading2"/>
      </w:pPr>
      <w:r>
        <w:t>2.1 同类传感器融合：先明确信息来源</w:t>
      </w:r>
    </w:p>
    <w:p>
      <w:r>
        <w:t>Wang等[1]将多方向振动信号转换为RGB图像，再以改进的LeNet-5进行故障识别。不同方向的振动反映机械响应的空间差异，图像化使卷积网络可以联合处理这些信息。研究引入堆叠瓶颈层以改善特征表达，并用t-SNE辅助观察特征分布；原文所强调的瓶颈结构目的主要是表征增强，不能仅根据“瓶颈”一词将其归为已验证的计算压缩方法。</w:t>
      </w:r>
    </w:p>
    <w:p>
      <w:r>
        <w:t>该研究在风力发电试验平台和工业风机数据上分别报告99.89%和99.77%的诊断准确率[1]。这些结果支持其在所测数据上的识别能力，也说明不同测点的信息互补值得利用。对于电钻，还需重新考察传感器固定方式、握持与壳体传递路径，以及冲击操作对图像表示的影响。多方向振动属于同类传感器的多通道融合，与振动、电流、温度的异构融合具有不同的对齐与建模要求。</w:t>
      </w:r>
    </w:p>
    <w:p>
      <w:r>
        <w:t>同一信号也可以产生时域、频域或图像等多种表示。它们可能有助于学习，但并不等于新增了相互独立的物理证据。判断融合是否有贡献，应在一致的数据划分下比较单表示、联合表示及单传感器方案，并说明计算开销的变化。</w:t>
      </w:r>
    </w:p>
    <w:p>
      <w:pPr>
        <w:pStyle w:val="Heading2"/>
      </w:pPr>
      <w:r>
        <w:t>2.2 异构传感器融合：统一表达与保留差异</w:t>
      </w:r>
    </w:p>
    <w:p>
      <w:r>
        <w:t>古玉锋等[2]面向三相异步电动机，整合振动、电压、电流和温度信息。其MSF-ResAttNet首先利用PCA对同源传感器数据进行数据层融合，再用适配不同信号的残差分支提取特征，统一特征维度后引入CBAM的通道与空间注意力。该路线将同源数据压缩与异构特征融合分开处理，避免直接把量纲和时频结构差异较大的原始信号简单拼接。</w:t>
      </w:r>
    </w:p>
    <w:p>
      <w:r>
        <w:t>原作者在自建实验平台上报告99.57%的诊断准确率，在KAIST公开数据集的迁移测试中报告98.86%[2]。就本项目而言，这是一篇与拟采集信号和注意力融合路线直接相关的文献：振动、电流、温度组合及注意力机制已经具有研究基础，需要关注具体测量条件、融合规则和验证对象，而不能仅以传感器数量或网络模块名称体现研究贡献。</w:t>
      </w:r>
    </w:p>
    <w:p>
      <w:r>
        <w:t>PCA保留的是主要方差方向，主要方差不必然对应早期损伤；少量但有诊断价值的冲击成分可能被压缩。因此，其维数选择与信息保留需结合故障识别评价。注意力权重则描述模型在既定训练条件下如何使用特征，不能直接解释为传感器可靠性、物理因果贡献或测量质量评分。</w:t>
      </w:r>
    </w:p>
    <w:p>
      <w:pPr>
        <w:pStyle w:val="Heading2"/>
      </w:pPr>
      <w:r>
        <w:t>2.3 融合与观测质量是两个相关但不同的问题</w:t>
      </w:r>
    </w:p>
    <w:p>
      <w:r>
        <w:t>上述研究主要讨论信息互补与判别能力。应用到电钻时，还要判断采集是否可信：丢包、饱和、接触不良、时钟偏移和安装松动可能使某个通道不适合进入状态估计。质量评价应尽量使用采集链路证据，而不能简单把“偏离正常的信号”判为低质量；故障本身可能正是异常幅值或冲击的来源。</w:t>
      </w:r>
    </w:p>
    <w:p>
      <w:r>
        <w:t>温度、电流与振动的有效时间尺度也不同。温度反映较慢的热积累，振动和电流包含较快变化。应以物理时间戳和明确窗口汇总规则进行对齐，记录缺失通道及可支持的任务。通道缺失后继续输出诊断、暂停寿命预测或直接拒绝估计，应由相应的验证结果决定。本文所覆盖论文不足以说明该场景已经解决或尚无人研究，需要针对质量感知融合另行补查。</w:t>
      </w:r>
    </w:p>
    <w:p>
      <w:pPr>
        <w:pStyle w:val="Heading2"/>
      </w:pPr>
      <w:r>
        <w:t>2.4 数据处理与特征提取的选择</w:t>
      </w:r>
    </w:p>
    <w:p>
      <w:r>
        <w:t>周文军[6]在刀具磨损研究中采用多传感器信号与时频特征，通过与磨损的相关性筛选特征，再进行序列预测。这种路线使每个输入具有一定物理含义，也适合数据规模较小的起步阶段。Wang等[1]的信号图像化、Guo等[3]的连续小波变换以及古玉锋等[2]的分支表达，则体现从人工构造表示向深度特征学习发展的不同路径。</w:t>
      </w:r>
    </w:p>
    <w:p>
      <w:r>
        <w:t>预处理需要服务于目标信息。平滑有助于降低测量噪声，但可能削弱早期冲击；归一化可以稳定训练，却不能把不同工况下的差异自动转换为退化信息。用于在线判断的特征应仅使用当时可获得的历史，标准化与特征筛选应在训练资料上确定，再用于独立测试，防止测试信息进入建模过程。公开台架信号、人工构造故障与真实间歇操作也应分别标识。</w:t>
      </w:r>
    </w:p>
    <w:p>
      <w:bookmarkStart w:id="3" w:name="chapter_3"/>
      <w:pPr>
        <w:pStyle w:val="Heading1"/>
      </w:pPr>
      <w:r>
        <w:t>3 变工况诊断：物理信息融合与域适应</w:t>
      </w:r>
      <w:bookmarkEnd w:id="3"/>
    </w:p>
    <w:p>
      <w:pPr>
        <w:pStyle w:val="Heading2"/>
      </w:pPr>
      <w:r>
        <w:t>3.1 工况和机理知识进入模型</w:t>
      </w:r>
    </w:p>
    <w:p>
      <w:r>
        <w:t>Guo等[3]针对轴承类型、转速与负载变化影响诊断的问题，将领域知识、工况与振动信息联合组织为CNN输入。其方法利用虚拟采样频率进行重采样，并将连续小波系数表示与工况、机理信息组合，构建同时进行故障诊断和定位的多任务CNN；训练过程设置动态训练速率，以协调不同任务的学习。</w:t>
      </w:r>
    </w:p>
    <w:p>
      <w:r>
        <w:t>该方法的重要性在于，转速和负载不仅是附加记录，也参与了表示构造。通过两个不同轴承试验平台进行评价，作者考察了不同对象与条件下的方法表现[3]。然而，使用领域知识依赖对机械结构和测量条件的掌握，换到电钻后需重新确认传动方式、测点与故障特征；拥有多个测试工况也不等于对所有未见工况都已具备泛化能力。</w:t>
      </w:r>
    </w:p>
    <w:p>
      <w:r>
        <w:t>对本项目，可以借鉴“先明确正常工况作用，再组织退化证据”的思路。条件健康参考可用于描述一定转速、负载和环境下的正常特征，使偏离参考的量进入后续判断。但该建议与Guo等的具体方法不同，不能将论文结果视为条件参考在电钻上已经有效的证据。</w:t>
      </w:r>
    </w:p>
    <w:p>
      <w:pPr>
        <w:pStyle w:val="Heading2"/>
      </w:pPr>
      <w:r>
        <w:t>3.2 源域与目标域之间的表示适应</w:t>
      </w:r>
    </w:p>
    <w:p>
      <w:r>
        <w:t>Li等[4]提出DAGCN，在CNN提取基础特征后生成样本图，通过多感受域图卷积学习关系表示，并结合域对抗和最大均值差异（MMD）约束减少域间差异。标签分类器保留故障辨识能力，域判别器推动源域和目标域表达靠近，从而处理工作条件变化造成的分布偏移。</w:t>
      </w:r>
    </w:p>
    <w:p>
      <w:r>
        <w:t>该研究采用有标签源域和无标签目标域的设定[4]。因此，目标域样本虽然不提供故障标签，仍参与适应过程；其结果与“完全未接触目标设备或工况，直接部署”的要求不同。对电钻，如果允许采集新工具的一段运行资料进行适应，可考虑该路线；如果要求即插即用，则需要额外设置未参与训练和适应的新设备测试。</w:t>
      </w:r>
    </w:p>
    <w:p>
      <w:r>
        <w:t>域间分布接近也不必然保证故障信息不被削弱。若目标域存在未见故障、源域与目标域类别比例差异很大，或变化并非只有工况因素，仍需明确模型的适用边界。评价应同时关注分类召回、未知状态处理与适应所需的数据、内存和计算成本。</w:t>
      </w:r>
    </w:p>
    <w:p>
      <w:pPr>
        <w:pStyle w:val="Heading2"/>
      </w:pPr>
      <w:r>
        <w:t>3.3 两条路线的关系与验证要求</w:t>
      </w:r>
    </w:p>
    <w:p>
      <w:r>
        <w:t>物理或工况参考路线侧重解释“在这个工况下正常应是什么水平”；域适应侧重学习“怎样减小不同数据域的表示差异”。二者可以互补，但不能将域适应、条件回归和真正的物理解耦混称为一种技术。线性回归参考也不保证残差与工况完全无关，需检查留出设备和工况上的残差变化。</w:t>
      </w:r>
    </w:p>
    <w:p>
      <w:r>
        <w:t>工况输入的来源尤其值得研究。如果负载直接由电流估计，故障引起的电流变化也可能被误当作负载变化并消除。实验中应尽可能获得相对独立的转速或负载参考，或者明确代理量的误差与适用范围。对启停、转速切换和超出训练范围的窗口，建议分别评价，避免稳定台架工况的高准确率掩盖实际操作中的不确定性。</w:t>
      </w:r>
    </w:p>
    <w:p>
      <w:pPr>
        <w:pStyle w:val="ReviewCaption"/>
      </w:pPr>
      <w:r>
        <w:t>表1 变工况处理路线比较（后两行是本文的研究建议）</w:t>
      </w:r>
    </w:p>
    <w:tbl>
      <w:tblPr>
        <w:tblStyle w:val="TableGrid"/>
        <w:tblW w:type="auto" w:w="0"/>
        <w:jc w:val="center"/>
        <w:tblLayout w:type="fixed"/>
        <w:tblLook w:firstColumn="1" w:firstRow="1" w:lastColumn="0" w:lastRow="0" w:noHBand="0" w:noVBand="1" w:val="04A0"/>
      </w:tblPr>
      <w:tblGrid>
        <w:gridCol w:w="1701"/>
        <w:gridCol w:w="2268"/>
        <w:gridCol w:w="2268"/>
        <w:gridCol w:w="2835"/>
      </w:tblGrid>
      <w:tr>
        <w:trPr>
          <w:cantSplit/>
          <w:tblHeader/>
        </w:trPr>
        <w:tc>
          <w:tcPr>
            <w:tcW w:type="dxa" w:w="1701"/>
            <w:vAlign w:val="center"/>
            <w:tcMar>
              <w:top w:w="70" w:type="dxa"/>
              <w:start w:w="95" w:type="dxa"/>
              <w:bottom w:w="70" w:type="dxa"/>
              <w:end w:w="95" w:type="dxa"/>
            </w:tcMar>
            <w:shd w:fill="254C65"/>
          </w:tcPr>
          <w:p>
            <w:pPr>
              <w:pStyle w:val="ReviewTable"/>
            </w:pPr>
            <w:r>
              <w:rPr>
                <w:rFonts w:ascii="Times New Roman" w:hAnsi="Times New Roman" w:eastAsia="宋体"/>
                <w:b/>
                <w:color w:val="FFFFFF"/>
                <w:sz w:val="19"/>
              </w:rPr>
              <w:t>路线</w:t>
            </w:r>
          </w:p>
        </w:tc>
        <w:tc>
          <w:tcPr>
            <w:tcW w:type="dxa" w:w="2268"/>
            <w:vAlign w:val="center"/>
            <w:tcMar>
              <w:top w:w="70" w:type="dxa"/>
              <w:start w:w="95" w:type="dxa"/>
              <w:bottom w:w="70" w:type="dxa"/>
              <w:end w:w="95" w:type="dxa"/>
            </w:tcMar>
            <w:shd w:fill="254C65"/>
          </w:tcPr>
          <w:p>
            <w:pPr>
              <w:pStyle w:val="ReviewTable"/>
            </w:pPr>
            <w:r>
              <w:rPr>
                <w:rFonts w:ascii="Times New Roman" w:hAnsi="Times New Roman" w:eastAsia="宋体"/>
                <w:b/>
                <w:color w:val="FFFFFF"/>
                <w:sz w:val="19"/>
              </w:rPr>
              <w:t>所需信息或数据</w:t>
            </w:r>
          </w:p>
        </w:tc>
        <w:tc>
          <w:tcPr>
            <w:tcW w:type="dxa" w:w="2268"/>
            <w:vAlign w:val="center"/>
            <w:tcMar>
              <w:top w:w="70" w:type="dxa"/>
              <w:start w:w="95" w:type="dxa"/>
              <w:bottom w:w="70" w:type="dxa"/>
              <w:end w:w="95" w:type="dxa"/>
            </w:tcMar>
            <w:shd w:fill="254C65"/>
          </w:tcPr>
          <w:p>
            <w:pPr>
              <w:pStyle w:val="ReviewTable"/>
            </w:pPr>
            <w:r>
              <w:rPr>
                <w:rFonts w:ascii="Times New Roman" w:hAnsi="Times New Roman" w:eastAsia="宋体"/>
                <w:b/>
                <w:color w:val="FFFFFF"/>
                <w:sz w:val="19"/>
              </w:rPr>
              <w:t>技术作用</w:t>
            </w:r>
          </w:p>
        </w:tc>
        <w:tc>
          <w:tcPr>
            <w:tcW w:type="dxa" w:w="2835"/>
            <w:vAlign w:val="center"/>
            <w:tcMar>
              <w:top w:w="70" w:type="dxa"/>
              <w:start w:w="95" w:type="dxa"/>
              <w:bottom w:w="70" w:type="dxa"/>
              <w:end w:w="95" w:type="dxa"/>
            </w:tcMar>
            <w:shd w:fill="254C65"/>
          </w:tcPr>
          <w:p>
            <w:pPr>
              <w:pStyle w:val="ReviewTable"/>
            </w:pPr>
            <w:r>
              <w:rPr>
                <w:rFonts w:ascii="Times New Roman" w:hAnsi="Times New Roman" w:eastAsia="宋体"/>
                <w:b/>
                <w:color w:val="FFFFFF"/>
                <w:sz w:val="19"/>
              </w:rPr>
              <w:t>主要验证边界</w:t>
            </w:r>
          </w:p>
        </w:tc>
      </w:tr>
      <w:tr>
        <w:trPr>
          <w:cantSplit/>
        </w:trPr>
        <w:tc>
          <w:tcPr>
            <w:tcW w:type="dxa" w:w="1701"/>
            <w:vAlign w:val="center"/>
            <w:tcMar>
              <w:top w:w="70" w:type="dxa"/>
              <w:start w:w="95" w:type="dxa"/>
              <w:bottom w:w="70" w:type="dxa"/>
              <w:end w:w="95" w:type="dxa"/>
            </w:tcMar>
          </w:tcPr>
          <w:p>
            <w:pPr>
              <w:pStyle w:val="ReviewTable"/>
            </w:pPr>
            <w:r>
              <w:rPr>
                <w:rFonts w:ascii="Times New Roman" w:hAnsi="Times New Roman" w:eastAsia="宋体"/>
                <w:b w:val="0"/>
                <w:color w:val="222222"/>
                <w:sz w:val="19"/>
              </w:rPr>
              <w:t>工况与机理融合[3]</w:t>
            </w:r>
          </w:p>
        </w:tc>
        <w:tc>
          <w:tcPr>
            <w:tcW w:type="dxa" w:w="2268"/>
            <w:vAlign w:val="center"/>
            <w:tcMar>
              <w:top w:w="70" w:type="dxa"/>
              <w:start w:w="95" w:type="dxa"/>
              <w:bottom w:w="70" w:type="dxa"/>
              <w:end w:w="95" w:type="dxa"/>
            </w:tcMar>
          </w:tcPr>
          <w:p>
            <w:pPr>
              <w:pStyle w:val="ReviewTable"/>
            </w:pPr>
            <w:r>
              <w:rPr>
                <w:rFonts w:ascii="Times New Roman" w:hAnsi="Times New Roman" w:eastAsia="宋体"/>
                <w:b w:val="0"/>
                <w:color w:val="222222"/>
                <w:sz w:val="19"/>
              </w:rPr>
              <w:t>振动、转速/负载及轴承机理知识</w:t>
            </w:r>
          </w:p>
        </w:tc>
        <w:tc>
          <w:tcPr>
            <w:tcW w:type="dxa" w:w="2268"/>
            <w:vAlign w:val="center"/>
            <w:tcMar>
              <w:top w:w="70" w:type="dxa"/>
              <w:start w:w="95" w:type="dxa"/>
              <w:bottom w:w="70" w:type="dxa"/>
              <w:end w:w="95" w:type="dxa"/>
            </w:tcMar>
          </w:tcPr>
          <w:p>
            <w:pPr>
              <w:pStyle w:val="ReviewTable"/>
            </w:pPr>
            <w:r>
              <w:rPr>
                <w:rFonts w:ascii="Times New Roman" w:hAnsi="Times New Roman" w:eastAsia="宋体"/>
                <w:b w:val="0"/>
                <w:color w:val="222222"/>
                <w:sz w:val="19"/>
              </w:rPr>
              <w:t>通过重采样和输入组织提高诊断、定位能力</w:t>
            </w:r>
          </w:p>
        </w:tc>
        <w:tc>
          <w:tcPr>
            <w:tcW w:type="dxa" w:w="2835"/>
            <w:vAlign w:val="center"/>
            <w:tcMar>
              <w:top w:w="70" w:type="dxa"/>
              <w:start w:w="95" w:type="dxa"/>
              <w:bottom w:w="70" w:type="dxa"/>
              <w:end w:w="95" w:type="dxa"/>
            </w:tcMar>
          </w:tcPr>
          <w:p>
            <w:pPr>
              <w:pStyle w:val="ReviewTable"/>
            </w:pPr>
            <w:r>
              <w:rPr>
                <w:rFonts w:ascii="Times New Roman" w:hAnsi="Times New Roman" w:eastAsia="宋体"/>
                <w:b w:val="0"/>
                <w:color w:val="222222"/>
                <w:sz w:val="19"/>
              </w:rPr>
              <w:t>跨设备、轴承与留出工况；机理参数是否可获得</w:t>
            </w:r>
          </w:p>
        </w:tc>
      </w:tr>
      <w:tr>
        <w:trPr>
          <w:cantSplit/>
        </w:trPr>
        <w:tc>
          <w:tcPr>
            <w:tcW w:type="dxa" w:w="1701"/>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域对抗图卷积[4]</w:t>
            </w:r>
          </w:p>
        </w:tc>
        <w:tc>
          <w:tcPr>
            <w:tcW w:type="dxa" w:w="2268"/>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有标签源域、无标签目标域样本</w:t>
            </w:r>
          </w:p>
        </w:tc>
        <w:tc>
          <w:tcPr>
            <w:tcW w:type="dxa" w:w="2268"/>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以图关系和域约束减小表示差异</w:t>
            </w:r>
          </w:p>
        </w:tc>
        <w:tc>
          <w:tcPr>
            <w:tcW w:type="dxa" w:w="2835"/>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目标数据参与适应；未见类别与真正未接触目标域</w:t>
            </w:r>
          </w:p>
        </w:tc>
      </w:tr>
      <w:tr>
        <w:trPr>
          <w:cantSplit/>
        </w:trPr>
        <w:tc>
          <w:tcPr>
            <w:tcW w:type="dxa" w:w="1701"/>
            <w:vAlign w:val="center"/>
            <w:tcMar>
              <w:top w:w="70" w:type="dxa"/>
              <w:start w:w="95" w:type="dxa"/>
              <w:bottom w:w="70" w:type="dxa"/>
              <w:end w:w="95" w:type="dxa"/>
            </w:tcMar>
          </w:tcPr>
          <w:p>
            <w:pPr>
              <w:pStyle w:val="ReviewTable"/>
            </w:pPr>
            <w:r>
              <w:rPr>
                <w:rFonts w:ascii="Times New Roman" w:hAnsi="Times New Roman" w:eastAsia="宋体"/>
                <w:b w:val="0"/>
                <w:color w:val="222222"/>
                <w:sz w:val="19"/>
              </w:rPr>
              <w:t>条件健康参考（建议）</w:t>
            </w:r>
          </w:p>
        </w:tc>
        <w:tc>
          <w:tcPr>
            <w:tcW w:type="dxa" w:w="2268"/>
            <w:vAlign w:val="center"/>
            <w:tcMar>
              <w:top w:w="70" w:type="dxa"/>
              <w:start w:w="95" w:type="dxa"/>
              <w:bottom w:w="70" w:type="dxa"/>
              <w:end w:w="95" w:type="dxa"/>
            </w:tcMar>
          </w:tcPr>
          <w:p>
            <w:pPr>
              <w:pStyle w:val="ReviewTable"/>
            </w:pPr>
            <w:r>
              <w:rPr>
                <w:rFonts w:ascii="Times New Roman" w:hAnsi="Times New Roman" w:eastAsia="宋体"/>
                <w:b w:val="0"/>
                <w:color w:val="222222"/>
                <w:sz w:val="19"/>
              </w:rPr>
              <w:t>确认健康资料与可信工况信息</w:t>
            </w:r>
          </w:p>
        </w:tc>
        <w:tc>
          <w:tcPr>
            <w:tcW w:type="dxa" w:w="2268"/>
            <w:vAlign w:val="center"/>
            <w:tcMar>
              <w:top w:w="70" w:type="dxa"/>
              <w:start w:w="95" w:type="dxa"/>
              <w:bottom w:w="70" w:type="dxa"/>
              <w:end w:w="95" w:type="dxa"/>
            </w:tcMar>
          </w:tcPr>
          <w:p>
            <w:pPr>
              <w:pStyle w:val="ReviewTable"/>
            </w:pPr>
            <w:r>
              <w:rPr>
                <w:rFonts w:ascii="Times New Roman" w:hAnsi="Times New Roman" w:eastAsia="宋体"/>
                <w:b w:val="0"/>
                <w:color w:val="222222"/>
                <w:sz w:val="19"/>
              </w:rPr>
              <w:t>估计可比工况正常水平，形成偏离量</w:t>
            </w:r>
          </w:p>
        </w:tc>
        <w:tc>
          <w:tcPr>
            <w:tcW w:type="dxa" w:w="2835"/>
            <w:vAlign w:val="center"/>
            <w:tcMar>
              <w:top w:w="70" w:type="dxa"/>
              <w:start w:w="95" w:type="dxa"/>
              <w:bottom w:w="70" w:type="dxa"/>
              <w:end w:w="95" w:type="dxa"/>
            </w:tcMar>
          </w:tcPr>
          <w:p>
            <w:pPr>
              <w:pStyle w:val="ReviewTable"/>
            </w:pPr>
            <w:r>
              <w:rPr>
                <w:rFonts w:ascii="Times New Roman" w:hAnsi="Times New Roman" w:eastAsia="宋体"/>
                <w:b w:val="0"/>
                <w:color w:val="222222"/>
                <w:sz w:val="19"/>
              </w:rPr>
              <w:t>参考覆盖、代理负载误差、故障信息是否被消除</w:t>
            </w:r>
          </w:p>
        </w:tc>
      </w:tr>
      <w:tr>
        <w:trPr>
          <w:cantSplit/>
        </w:trPr>
        <w:tc>
          <w:tcPr>
            <w:tcW w:type="dxa" w:w="1701"/>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工况/质量证据准入（建议）</w:t>
            </w:r>
          </w:p>
        </w:tc>
        <w:tc>
          <w:tcPr>
            <w:tcW w:type="dxa" w:w="2268"/>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工况稳定性、通道质量及连续观测</w:t>
            </w:r>
          </w:p>
        </w:tc>
        <w:tc>
          <w:tcPr>
            <w:tcW w:type="dxa" w:w="2268"/>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控制哪些观测进入历史与持续报警</w:t>
            </w:r>
          </w:p>
        </w:tc>
        <w:tc>
          <w:tcPr>
            <w:tcW w:type="dxa" w:w="2835"/>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误报、召回、拒绝比例与检出延迟的共同变化</w:t>
            </w:r>
          </w:p>
        </w:tc>
      </w:tr>
    </w:tbl>
    <w:p>
      <w:pPr>
        <w:spacing w:after="60"/>
      </w:pPr>
    </w:p>
    <w:p>
      <w:bookmarkStart w:id="4" w:name="chapter_4"/>
      <w:pPr>
        <w:pStyle w:val="Heading1"/>
      </w:pPr>
      <w:r>
        <w:t>4 状态识别、磨损趋势与剩余寿命预测</w:t>
      </w:r>
      <w:bookmarkEnd w:id="4"/>
    </w:p>
    <w:p>
      <w:pPr>
        <w:pStyle w:val="Heading2"/>
      </w:pPr>
      <w:r>
        <w:t>4.1 三类输出需要不同证据</w:t>
      </w:r>
    </w:p>
    <w:p>
      <w:r>
        <w:t>故障诊断通常回答当前属于何种状态或故障类别；磨损预测估计当前或未来的物理磨损程度；剩余寿命（RUL）预测估计距离规定失效终点还剩多少时间或工作量。这些任务有关联，但不能从诊断准确率直接推出寿命预测效果，也不能把任意健康分数转换成可靠的剩余天数。</w:t>
      </w:r>
    </w:p>
    <w:p>
      <w:r>
        <w:t>磨损或健康指标需要与物理检查、运行性能或独立标签建立关系。RUL还必须明确失效阈值、时间单位及未来使用条件。对间歇使用电钻，累计工作小时与自然日并不相同：同一部件在不同使用强度下可能具有不同日历剩余时间。未运行到失效的观测是删失资料，维修或停止采集不能自动当作寿命终点。</w:t>
      </w:r>
    </w:p>
    <w:p>
      <w:pPr>
        <w:pStyle w:val="Heading2"/>
      </w:pPr>
      <w:r>
        <w:t>4.2 Transformer-LSTM：时序组合与具体预测流程</w:t>
      </w:r>
    </w:p>
    <w:p>
      <w:r>
        <w:t>张帆等[5]构建Transformer-LSTM轴承寿命模型，通过重构解码器，并结合Transformer的并行表达与LSTM的串行时序学习处理振动退化趋势。研究路线包含信号处理、特征与归一化、滑动窗预测、训练与预测结果联合、曲线拟合及寿命终点评价。原文进一步以指数拟合曲线达到规定阈值来判断寿命终点，不能将其简单等同于任何“Transformer后接LSTM直接回归RUL”的实现。</w:t>
      </w:r>
    </w:p>
    <w:p>
      <w:r>
        <w:t>作者使用IMS轴承全寿命数据和西安交通大学加速失效轴承数据，并比较组合网络、去LSTM方案、LSTM和GRU[5]。在选定轨迹上，采用同一轴承前95%的观测训练，最后5%测试；报告的IMS寿命终点误差为108 min，所选短、中寿命XJTU轴承的终点误差分别为0.6 min和5.8 min。它们是论文特定数据和流程下的结果，既不是跨论文统一RUL指标，也不能作为本项目的实测成绩。</w:t>
      </w:r>
    </w:p>
    <w:p>
      <w:r>
        <w:t>这种划分适合考察已获得较长历史后的末段趋势拟合，却没有单独证明模型从独立训练设备推广到新设备、或在更早寿命阶段预警的能力。论文中将训练段与预测段拼接得到的完整曲线，也需与纯测试段误差分开理解。后续电钻实验应优先按完整设备或寿命轨迹留出测试，规定首次预测时点，并检查所有特征及归一化是否只使用可获得的历史。</w:t>
      </w:r>
    </w:p>
    <w:p>
      <w:pPr>
        <w:pStyle w:val="Heading2"/>
      </w:pPr>
      <w:r>
        <w:t>4.3 GA-LSTM与磨损标签：先让预测有可检验的对象</w:t>
      </w:r>
    </w:p>
    <w:p>
      <w:r>
        <w:t>周文军[6]针对刀具磨损，使用公开数据和自建VMC650E加工试验平台，提取时频特征，以Pearson相关性筛选输入，并用遗传算法优化LSTM隐藏层神经元数和学习率。自建试验通过两个三轴加速度传感器获取振动，利用数字显微镜测量刀具后刀面磨损，为预测提供独立的物理参考。</w:t>
      </w:r>
    </w:p>
    <w:p>
      <w:r>
        <w:t>验证设计中，PHM数据采用三把刀具中的两把训练、一把测试；NASA及自建数据在各加工工况下使用不同刀具分配训练和测试，共进行十组实验[6]。它较好地体现了按对象划分和真实磨损测量的价值，但相同加工参数下的跨刀具测试不能直接解释为对全新工况的外推。其研究对象是切削刃磨损，不能用刀具磨损量替代电钻内部轴承损伤或寿命标签。</w:t>
      </w:r>
    </w:p>
    <w:p>
      <w:r>
        <w:t>原作者也指出，振动或切削力采集存在安装与成本要求，尚需在主轴功率等易采集信号上验证，同时特征预处理增加建模工作量[6]。这提示电钻研究应从实际可安装的传感器出发，先确认特征与部件损伤有关系，再决定复杂网络。遗传算法改善参数搜索，属于训练优化工具；如果搜索开销很大，也应与人工小范围调参及简单基线比较。</w:t>
      </w:r>
    </w:p>
    <w:p>
      <w:pPr>
        <w:pStyle w:val="Heading2"/>
      </w:pPr>
      <w:r>
        <w:t>4.4 跨对象退化预测：借鉴方法，重新确定退化含义</w:t>
      </w:r>
    </w:p>
    <w:p>
      <w:r>
        <w:t>郑隆举等[7]面向质子交换膜燃料电池（PEMFC）性能退化，采用MAD异常处理、平滑与时间重构，构建并行CNN-GRU，并通过超参数搜索改善预测。CNN用于局部表示，GRU用于时序依赖，并行结构提供另一种组织两类能力的方式。该研究说明，性能趋势建模与合适的预处理可以共同影响预测，而不是只能依靠增加网络复杂度。</w:t>
      </w:r>
    </w:p>
    <w:p>
      <w:r>
        <w:t>燃料电池电压退化具有不同的物理过程和时间尺度。电钻的冲击、启停、换钻头和故障尖峰未必适合相同的平滑及插值规则。在迁移该思路时，应验证预处理是否保留故障信息，并说明时间重构是否适合在线使用。没有真实失效轨迹时，可以先验证当前异常、损伤程度与趋势预测，将RUL作为后续扩展，避免以模拟标签代替实际寿命证据。</w:t>
      </w:r>
    </w:p>
    <w:p>
      <w:bookmarkStart w:id="5" w:name="chapter_5"/>
      <w:pPr>
        <w:pStyle w:val="Heading1"/>
      </w:pPr>
      <w:r>
        <w:t>5 轻量化模型与资源评价</w:t>
      </w:r>
      <w:bookmarkEnd w:id="5"/>
    </w:p>
    <w:p>
      <w:pPr>
        <w:pStyle w:val="Heading2"/>
      </w:pPr>
      <w:r>
        <w:t>5.1 结构调整与训练效率</w:t>
      </w:r>
    </w:p>
    <w:p>
      <w:r>
        <w:t>郑隆举等[7]在其FC1设置下报告并行CNN-GRU较串行结构的参数量减少21.9%，在50%训练集条件下训练耗时改善44.1%；FC2的对应训练设置下报告约77%的训练耗时改善。参数量和训练效率分别反映模型规模与训练过程成本，这些结果支持结构调整的可能价值，却不能据此推断电钻边缘推理速度、端到端延迟或能耗改善幅度。</w:t>
      </w:r>
    </w:p>
    <w:p>
      <w:r>
        <w:t>对电钻原型，纯LSTM、GRU、浅层CNN或特征回归模型都应保留为基线。在相近故障召回与误报水平下比较规模和延迟，比单纯比较网络名称更有意义。若一个更小的模型已经满足诊断需求，复杂组合结构需要额外收益作为依据；训练阶段可以较复杂，部署阶段则需考虑推理图和运行时支持。</w:t>
      </w:r>
    </w:p>
    <w:p>
      <w:pPr>
        <w:pStyle w:val="Heading2"/>
      </w:pPr>
      <w:r>
        <w:t>5.2 时间压缩、稀疏注意力与条件计算</w:t>
      </w:r>
    </w:p>
    <w:p>
      <w:r>
        <w:t>龙寰等[8]面向算力受限的光伏功率预测，提出MMT（Mixed-Attention Mixture of Experts Transformer），其模型包含多特征时段压缩器、混合注意力和稀疏激活模块。时间压缩缩短需要处理的序列，局部与周期信息的结合保留不同尺度关联，专家网络的稀疏激活使每次输入只调用部分计算路径。这些思路提供了“减少输入冗余”和“减少实际激活计算”两类方向。</w:t>
      </w:r>
    </w:p>
    <w:p>
      <w:r>
        <w:t>稀疏激活不等于总参数一定更少，也不等于任意CPU或MCU都会更快；专家分支、路由和缓存可能增加运行成本。光伏功率具有天气与周期性结构，电钻的局部冲击及短时故障证据则可能在压缩中丢失。选择窗口长度与压缩比例时，须在早期故障召回、延迟和开销之间做实际评价，而不能仅用较长周期预测的结果作依据。</w:t>
      </w:r>
    </w:p>
    <w:p>
      <w:pPr>
        <w:pStyle w:val="Heading2"/>
      </w:pPr>
      <w:r>
        <w:t>5.3 资源指标应和使用场景对应</w:t>
      </w:r>
    </w:p>
    <w:p>
      <w:r>
        <w:t>模型参数量、权重文件大小、运算量、峰值内存、前向推理延迟、完整处理延迟及能耗属于不同指标。量化可减少存储，但目标运行时若不支持对应算子，未必减少延迟。传感器采集、FFT或特征构造、传输、报警确认也会占用时间，因此需同时报告模型前向与系统端到端开销。</w:t>
      </w:r>
    </w:p>
    <w:p>
      <w:r>
        <w:t>本项目若先在电脑CPU上运行，应记录CPU、线程、批量、窗口及运行框架；后续再以指定边缘硬件验证RAM、存储、延迟和功耗。任务书中的资源降低或预警时长应在明确的基准和实验条件下验证，当前文献不能直接证明这些目标已经满足。</w:t>
      </w:r>
    </w:p>
    <w:p>
      <w:bookmarkStart w:id="6" w:name="chapter_6"/>
      <w:pPr>
        <w:pStyle w:val="Heading1"/>
      </w:pPr>
      <w:r>
        <w:t>6 跨领域文献的启示与适用边界</w:t>
      </w:r>
      <w:bookmarkEnd w:id="6"/>
    </w:p>
    <w:p>
      <w:pPr>
        <w:pStyle w:val="Heading2"/>
      </w:pPr>
      <w:r>
        <w:t>6.1 双表示融合与仿真—真实验证</w:t>
      </w:r>
    </w:p>
    <w:p>
      <w:r>
        <w:t>郎恂等[9]研究工业过程控制回路振荡检测，将信号的视觉拓扑表示与频域表示分别编码，通过个性—共性特征融合网络（SCFN）及通道注意力进行识别。它说明同一对象的两种表示可以分别保留独特特征和共性信息，再进行整合，而非只进行直接拼接。</w:t>
      </w:r>
    </w:p>
    <w:p>
      <w:r>
        <w:t>在真实工业验证中，论文收集119个控制回路，使用控制器输出与过程变量等信号，并由独立工程师团队给出标签[9]。对电钻项目，更有价值的经验是：可以用仿真扩展训练条件，但还要引入真实资料、独立标签和清楚的测试来源。该论文讨论控制回路振荡，而非轴承损伤，不能将其识别准确率作为电钻验证的替代。</w:t>
      </w:r>
    </w:p>
    <w:p>
      <w:pPr>
        <w:pStyle w:val="Heading2"/>
      </w:pPr>
      <w:r>
        <w:t>6.2 跨模态对齐与差异增强</w:t>
      </w:r>
    </w:p>
    <w:p>
      <w:r>
        <w:t>蓝鑫、秦小林[10]面向红外—可见光旋转目标检测，设计F2Net，通过差异增强、选择性扫描相关模块以及多角度条带卷积和方形卷积改善对齐与特征表达。其方法强调模态之间的互补信息和空间错位，是讨论“融合前先处理差异”的一个例子。</w:t>
      </w:r>
    </w:p>
    <w:p>
      <w:r>
        <w:t>电流、温度和振动没有相同的图像空间语义，不能直接搬用视觉对齐网络。可迁移的是先检查互补关系与对齐误差的研究思路，再选择适合数值时间序列的同步、延迟处理或分支编码。目标检测mAP与设备诊断准确率具有不同定义，也不宜在同一指标表中直接排名。</w:t>
      </w:r>
    </w:p>
    <w:p>
      <w:pPr>
        <w:pStyle w:val="Heading2"/>
      </w:pPr>
      <w:r>
        <w:t>6.3 物理知识与模拟资料的融合</w:t>
      </w:r>
    </w:p>
    <w:p>
      <w:r>
        <w:t>李亚敏等[11]在超声辅助激光熔覆研究中组合文献数据、物理模型数据和模拟图像，使用PhysEncoder-RF预测形状因子与显微硬度，涉及20个工艺参数。该工作体现了在真实样本有限时，将领域知识用于组织多来源数据的路径。</w:t>
      </w:r>
    </w:p>
    <w:p>
      <w:r>
        <w:t>对电钻，可以借鉴物理约束辅助仿真和输入构造的思路，如明确转速、载荷、热过程与退化特征的关系。但文献摘录、物理模型与模拟图像拥有不同误差来源；同一模拟规则生成的训练、测试资料也可能共享规律。模拟性能需通过独立真实资料校准，模拟磨损变量不应被当作实际测得的损伤标签。</w:t>
      </w:r>
    </w:p>
    <w:p>
      <w:pPr>
        <w:pStyle w:val="Heading2"/>
      </w:pPr>
      <w:r>
        <w:t>6.4 工具应用与维护流程</w:t>
      </w:r>
    </w:p>
    <w:p>
      <w:r>
        <w:t>朱斌、胡新丰[12]讨论模块化电动工具在塑料制品生产设备应急维修中的应用，以功能耦合关系和模糊聚类划分模块，并用支持向量机识别生产设备故障，再匹配维修方案。文中的被诊断对象主要是注塑机、挤出机等生产设备，电动工具承担维修作用。</w:t>
      </w:r>
    </w:p>
    <w:p>
      <w:r>
        <w:t>这篇研究可用于说明维修工具组织与故障—维修方案衔接的应用需求，不能因为题名包含“电动工具”就认定它研究了工具自身预测性维护。相应的故障修复率属于维修效果指标，与本项目的轴承故障识别和寿命预测不同。状态展示、告警和工单可以构成应用流程，算法效果仍需独立评价。</w:t>
      </w:r>
    </w:p>
    <w:p>
      <w:pPr>
        <w:pStyle w:val="ReviewCaption"/>
      </w:pPr>
      <w:r>
        <w:t>表2 跨领域论文的可迁移内容</w:t>
      </w:r>
    </w:p>
    <w:tbl>
      <w:tblPr>
        <w:tblStyle w:val="TableGrid"/>
        <w:tblW w:type="auto" w:w="0"/>
        <w:jc w:val="center"/>
        <w:tblLayout w:type="fixed"/>
        <w:tblLook w:firstColumn="1" w:firstRow="1" w:lastColumn="0" w:lastRow="0" w:noHBand="0" w:noVBand="1" w:val="04A0"/>
      </w:tblPr>
      <w:tblGrid>
        <w:gridCol w:w="2268"/>
        <w:gridCol w:w="3231"/>
        <w:gridCol w:w="3572"/>
      </w:tblGrid>
      <w:tr>
        <w:trPr>
          <w:cantSplit/>
          <w:tblHeader/>
        </w:trPr>
        <w:tc>
          <w:tcPr>
            <w:tcW w:type="dxa" w:w="2268"/>
            <w:vAlign w:val="center"/>
            <w:tcMar>
              <w:top w:w="70" w:type="dxa"/>
              <w:start w:w="95" w:type="dxa"/>
              <w:bottom w:w="70" w:type="dxa"/>
              <w:end w:w="95" w:type="dxa"/>
            </w:tcMar>
            <w:shd w:fill="254C65"/>
          </w:tcPr>
          <w:p>
            <w:pPr>
              <w:pStyle w:val="ReviewTable"/>
            </w:pPr>
            <w:r>
              <w:rPr>
                <w:rFonts w:ascii="Times New Roman" w:hAnsi="Times New Roman" w:eastAsia="宋体"/>
                <w:b/>
                <w:color w:val="FFFFFF"/>
                <w:sz w:val="19"/>
              </w:rPr>
              <w:t>文献与原任务</w:t>
            </w:r>
          </w:p>
        </w:tc>
        <w:tc>
          <w:tcPr>
            <w:tcW w:type="dxa" w:w="3231"/>
            <w:vAlign w:val="center"/>
            <w:tcMar>
              <w:top w:w="70" w:type="dxa"/>
              <w:start w:w="95" w:type="dxa"/>
              <w:bottom w:w="70" w:type="dxa"/>
              <w:end w:w="95" w:type="dxa"/>
            </w:tcMar>
            <w:shd w:fill="254C65"/>
          </w:tcPr>
          <w:p>
            <w:pPr>
              <w:pStyle w:val="ReviewTable"/>
            </w:pPr>
            <w:r>
              <w:rPr>
                <w:rFonts w:ascii="Times New Roman" w:hAnsi="Times New Roman" w:eastAsia="宋体"/>
                <w:b/>
                <w:color w:val="FFFFFF"/>
                <w:sz w:val="19"/>
              </w:rPr>
              <w:t>可以借鉴的研究思路</w:t>
            </w:r>
          </w:p>
        </w:tc>
        <w:tc>
          <w:tcPr>
            <w:tcW w:type="dxa" w:w="3572"/>
            <w:vAlign w:val="center"/>
            <w:tcMar>
              <w:top w:w="70" w:type="dxa"/>
              <w:start w:w="95" w:type="dxa"/>
              <w:bottom w:w="70" w:type="dxa"/>
              <w:end w:w="95" w:type="dxa"/>
            </w:tcMar>
            <w:shd w:fill="254C65"/>
          </w:tcPr>
          <w:p>
            <w:pPr>
              <w:pStyle w:val="ReviewTable"/>
            </w:pPr>
            <w:r>
              <w:rPr>
                <w:rFonts w:ascii="Times New Roman" w:hAnsi="Times New Roman" w:eastAsia="宋体"/>
                <w:b/>
                <w:color w:val="FFFFFF"/>
                <w:sz w:val="19"/>
              </w:rPr>
              <w:t>迁移到电钻时的条件</w:t>
            </w:r>
          </w:p>
        </w:tc>
      </w:tr>
      <w:tr>
        <w:trPr>
          <w:cantSplit/>
        </w:trPr>
        <w:tc>
          <w:tcPr>
            <w:tcW w:type="dxa" w:w="2268"/>
            <w:vAlign w:val="center"/>
            <w:tcMar>
              <w:top w:w="70" w:type="dxa"/>
              <w:start w:w="95" w:type="dxa"/>
              <w:bottom w:w="70" w:type="dxa"/>
              <w:end w:w="95" w:type="dxa"/>
            </w:tcMar>
          </w:tcPr>
          <w:p>
            <w:pPr>
              <w:pStyle w:val="ReviewTable"/>
            </w:pPr>
            <w:r>
              <w:rPr>
                <w:rFonts w:ascii="Times New Roman" w:hAnsi="Times New Roman" w:eastAsia="宋体"/>
                <w:b w:val="0"/>
                <w:color w:val="222222"/>
                <w:sz w:val="19"/>
              </w:rPr>
              <w:t>[6] 刀具磨损</w:t>
            </w:r>
          </w:p>
        </w:tc>
        <w:tc>
          <w:tcPr>
            <w:tcW w:type="dxa" w:w="3231"/>
            <w:vAlign w:val="center"/>
            <w:tcMar>
              <w:top w:w="70" w:type="dxa"/>
              <w:start w:w="95" w:type="dxa"/>
              <w:bottom w:w="70" w:type="dxa"/>
              <w:end w:w="95" w:type="dxa"/>
            </w:tcMar>
          </w:tcPr>
          <w:p>
            <w:pPr>
              <w:pStyle w:val="ReviewTable"/>
            </w:pPr>
            <w:r>
              <w:rPr>
                <w:rFonts w:ascii="Times New Roman" w:hAnsi="Times New Roman" w:eastAsia="宋体"/>
                <w:b w:val="0"/>
                <w:color w:val="222222"/>
                <w:sz w:val="19"/>
              </w:rPr>
              <w:t>时频特征、物理磨损标签、跨刀具验证</w:t>
            </w:r>
          </w:p>
        </w:tc>
        <w:tc>
          <w:tcPr>
            <w:tcW w:type="dxa" w:w="3572"/>
            <w:vAlign w:val="center"/>
            <w:tcMar>
              <w:top w:w="70" w:type="dxa"/>
              <w:start w:w="95" w:type="dxa"/>
              <w:bottom w:w="70" w:type="dxa"/>
              <w:end w:w="95" w:type="dxa"/>
            </w:tcMar>
          </w:tcPr>
          <w:p>
            <w:pPr>
              <w:pStyle w:val="ReviewTable"/>
            </w:pPr>
            <w:r>
              <w:rPr>
                <w:rFonts w:ascii="Times New Roman" w:hAnsi="Times New Roman" w:eastAsia="宋体"/>
                <w:b w:val="0"/>
                <w:color w:val="222222"/>
                <w:sz w:val="19"/>
              </w:rPr>
              <w:t>重新定义轴承损伤标签与测点；保留独立设备划分</w:t>
            </w:r>
          </w:p>
        </w:tc>
      </w:tr>
      <w:tr>
        <w:trPr>
          <w:cantSplit/>
        </w:trPr>
        <w:tc>
          <w:tcPr>
            <w:tcW w:type="dxa" w:w="2268"/>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[7] PEMFC退化</w:t>
            </w:r>
          </w:p>
        </w:tc>
        <w:tc>
          <w:tcPr>
            <w:tcW w:type="dxa" w:w="3231"/>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预处理与并行时序建模；资源对照</w:t>
            </w:r>
          </w:p>
        </w:tc>
        <w:tc>
          <w:tcPr>
            <w:tcW w:type="dxa" w:w="3572"/>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验证冲击信息保留及在线处理；区分训练与推理开销</w:t>
            </w:r>
          </w:p>
        </w:tc>
      </w:tr>
      <w:tr>
        <w:trPr>
          <w:cantSplit/>
        </w:trPr>
        <w:tc>
          <w:tcPr>
            <w:tcW w:type="dxa" w:w="2268"/>
            <w:vAlign w:val="center"/>
            <w:tcMar>
              <w:top w:w="70" w:type="dxa"/>
              <w:start w:w="95" w:type="dxa"/>
              <w:bottom w:w="70" w:type="dxa"/>
              <w:end w:w="95" w:type="dxa"/>
            </w:tcMar>
          </w:tcPr>
          <w:p>
            <w:pPr>
              <w:pStyle w:val="ReviewTable"/>
            </w:pPr>
            <w:r>
              <w:rPr>
                <w:rFonts w:ascii="Times New Roman" w:hAnsi="Times New Roman" w:eastAsia="宋体"/>
                <w:b w:val="0"/>
                <w:color w:val="222222"/>
                <w:sz w:val="19"/>
              </w:rPr>
              <w:t>[8] 光伏功率</w:t>
            </w:r>
          </w:p>
        </w:tc>
        <w:tc>
          <w:tcPr>
            <w:tcW w:type="dxa" w:w="3231"/>
            <w:vAlign w:val="center"/>
            <w:tcMar>
              <w:top w:w="70" w:type="dxa"/>
              <w:start w:w="95" w:type="dxa"/>
              <w:bottom w:w="70" w:type="dxa"/>
              <w:end w:w="95" w:type="dxa"/>
            </w:tcMar>
          </w:tcPr>
          <w:p>
            <w:pPr>
              <w:pStyle w:val="ReviewTable"/>
            </w:pPr>
            <w:r>
              <w:rPr>
                <w:rFonts w:ascii="Times New Roman" w:hAnsi="Times New Roman" w:eastAsia="宋体"/>
                <w:b w:val="0"/>
                <w:color w:val="222222"/>
                <w:sz w:val="19"/>
              </w:rPr>
              <w:t>时间压缩、混合注意力、条件计算</w:t>
            </w:r>
          </w:p>
        </w:tc>
        <w:tc>
          <w:tcPr>
            <w:tcW w:type="dxa" w:w="3572"/>
            <w:vAlign w:val="center"/>
            <w:tcMar>
              <w:top w:w="70" w:type="dxa"/>
              <w:start w:w="95" w:type="dxa"/>
              <w:bottom w:w="70" w:type="dxa"/>
              <w:end w:w="95" w:type="dxa"/>
            </w:tcMar>
          </w:tcPr>
          <w:p>
            <w:pPr>
              <w:pStyle w:val="ReviewTable"/>
            </w:pPr>
            <w:r>
              <w:rPr>
                <w:rFonts w:ascii="Times New Roman" w:hAnsi="Times New Roman" w:eastAsia="宋体"/>
                <w:b w:val="0"/>
                <w:color w:val="222222"/>
                <w:sz w:val="19"/>
              </w:rPr>
              <w:t>检查早期故障信息与目标运行时支持</w:t>
            </w:r>
          </w:p>
        </w:tc>
      </w:tr>
      <w:tr>
        <w:trPr>
          <w:cantSplit/>
        </w:trPr>
        <w:tc>
          <w:tcPr>
            <w:tcW w:type="dxa" w:w="2268"/>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[9] 回路振荡</w:t>
            </w:r>
          </w:p>
        </w:tc>
        <w:tc>
          <w:tcPr>
            <w:tcW w:type="dxa" w:w="3231"/>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个性/共性表示融合；仿真与真实独立标签</w:t>
            </w:r>
          </w:p>
        </w:tc>
        <w:tc>
          <w:tcPr>
            <w:tcW w:type="dxa" w:w="3572"/>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验证工具信号表示；补真实设备和检查标签</w:t>
            </w:r>
          </w:p>
        </w:tc>
      </w:tr>
      <w:tr>
        <w:trPr>
          <w:cantSplit/>
        </w:trPr>
        <w:tc>
          <w:tcPr>
            <w:tcW w:type="dxa" w:w="2268"/>
            <w:vAlign w:val="center"/>
            <w:tcMar>
              <w:top w:w="70" w:type="dxa"/>
              <w:start w:w="95" w:type="dxa"/>
              <w:bottom w:w="70" w:type="dxa"/>
              <w:end w:w="95" w:type="dxa"/>
            </w:tcMar>
          </w:tcPr>
          <w:p>
            <w:pPr>
              <w:pStyle w:val="ReviewTable"/>
            </w:pPr>
            <w:r>
              <w:rPr>
                <w:rFonts w:ascii="Times New Roman" w:hAnsi="Times New Roman" w:eastAsia="宋体"/>
                <w:b w:val="0"/>
                <w:color w:val="222222"/>
                <w:sz w:val="19"/>
              </w:rPr>
              <w:t>[10] 旋转目标检测</w:t>
            </w:r>
          </w:p>
        </w:tc>
        <w:tc>
          <w:tcPr>
            <w:tcW w:type="dxa" w:w="3231"/>
            <w:vAlign w:val="center"/>
            <w:tcMar>
              <w:top w:w="70" w:type="dxa"/>
              <w:start w:w="95" w:type="dxa"/>
              <w:bottom w:w="70" w:type="dxa"/>
              <w:end w:w="95" w:type="dxa"/>
            </w:tcMar>
          </w:tcPr>
          <w:p>
            <w:pPr>
              <w:pStyle w:val="ReviewTable"/>
            </w:pPr>
            <w:r>
              <w:rPr>
                <w:rFonts w:ascii="Times New Roman" w:hAnsi="Times New Roman" w:eastAsia="宋体"/>
                <w:b w:val="0"/>
                <w:color w:val="222222"/>
                <w:sz w:val="19"/>
              </w:rPr>
              <w:t>跨模态对齐、差异增强</w:t>
            </w:r>
          </w:p>
        </w:tc>
        <w:tc>
          <w:tcPr>
            <w:tcW w:type="dxa" w:w="3572"/>
            <w:vAlign w:val="center"/>
            <w:tcMar>
              <w:top w:w="70" w:type="dxa"/>
              <w:start w:w="95" w:type="dxa"/>
              <w:bottom w:w="70" w:type="dxa"/>
              <w:end w:w="95" w:type="dxa"/>
            </w:tcMar>
          </w:tcPr>
          <w:p>
            <w:pPr>
              <w:pStyle w:val="ReviewTable"/>
            </w:pPr>
            <w:r>
              <w:rPr>
                <w:rFonts w:ascii="Times New Roman" w:hAnsi="Times New Roman" w:eastAsia="宋体"/>
                <w:b w:val="0"/>
                <w:color w:val="222222"/>
                <w:sz w:val="19"/>
              </w:rPr>
              <w:t>改用数值序列适用的对齐；不混用mAP和诊断准确率</w:t>
            </w:r>
          </w:p>
        </w:tc>
      </w:tr>
      <w:tr>
        <w:trPr>
          <w:cantSplit/>
        </w:trPr>
        <w:tc>
          <w:tcPr>
            <w:tcW w:type="dxa" w:w="2268"/>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[11] 熔覆形性预测</w:t>
            </w:r>
          </w:p>
        </w:tc>
        <w:tc>
          <w:tcPr>
            <w:tcW w:type="dxa" w:w="3231"/>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物理知识与多来源模拟数据</w:t>
            </w:r>
          </w:p>
        </w:tc>
        <w:tc>
          <w:tcPr>
            <w:tcW w:type="dxa" w:w="3572"/>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标明来源误差；以真实损伤检查校准模拟规律</w:t>
            </w:r>
          </w:p>
        </w:tc>
      </w:tr>
      <w:tr>
        <w:trPr>
          <w:cantSplit/>
        </w:trPr>
        <w:tc>
          <w:tcPr>
            <w:tcW w:type="dxa" w:w="2268"/>
            <w:vAlign w:val="center"/>
            <w:tcMar>
              <w:top w:w="70" w:type="dxa"/>
              <w:start w:w="95" w:type="dxa"/>
              <w:bottom w:w="70" w:type="dxa"/>
              <w:end w:w="95" w:type="dxa"/>
            </w:tcMar>
          </w:tcPr>
          <w:p>
            <w:pPr>
              <w:pStyle w:val="ReviewTable"/>
            </w:pPr>
            <w:r>
              <w:rPr>
                <w:rFonts w:ascii="Times New Roman" w:hAnsi="Times New Roman" w:eastAsia="宋体"/>
                <w:b w:val="0"/>
                <w:color w:val="222222"/>
                <w:sz w:val="19"/>
              </w:rPr>
              <w:t>[12] 应急维修</w:t>
            </w:r>
          </w:p>
        </w:tc>
        <w:tc>
          <w:tcPr>
            <w:tcW w:type="dxa" w:w="3231"/>
            <w:vAlign w:val="center"/>
            <w:tcMar>
              <w:top w:w="70" w:type="dxa"/>
              <w:start w:w="95" w:type="dxa"/>
              <w:bottom w:w="70" w:type="dxa"/>
              <w:end w:w="95" w:type="dxa"/>
            </w:tcMar>
          </w:tcPr>
          <w:p>
            <w:pPr>
              <w:pStyle w:val="ReviewTable"/>
            </w:pPr>
            <w:r>
              <w:rPr>
                <w:rFonts w:ascii="Times New Roman" w:hAnsi="Times New Roman" w:eastAsia="宋体"/>
                <w:b w:val="0"/>
                <w:color w:val="222222"/>
                <w:sz w:val="19"/>
              </w:rPr>
              <w:t>诊断与维修方案衔接</w:t>
            </w:r>
          </w:p>
        </w:tc>
        <w:tc>
          <w:tcPr>
            <w:tcW w:type="dxa" w:w="3572"/>
            <w:vAlign w:val="center"/>
            <w:tcMar>
              <w:top w:w="70" w:type="dxa"/>
              <w:start w:w="95" w:type="dxa"/>
              <w:bottom w:w="70" w:type="dxa"/>
              <w:end w:w="95" w:type="dxa"/>
            </w:tcMar>
          </w:tcPr>
          <w:p>
            <w:pPr>
              <w:pStyle w:val="ReviewTable"/>
            </w:pPr>
            <w:r>
              <w:rPr>
                <w:rFonts w:ascii="Times New Roman" w:hAnsi="Times New Roman" w:eastAsia="宋体"/>
                <w:b w:val="0"/>
                <w:color w:val="222222"/>
                <w:sz w:val="19"/>
              </w:rPr>
              <w:t>区分工具作为维修手段和工具自身状态监测</w:t>
            </w:r>
          </w:p>
        </w:tc>
      </w:tr>
    </w:tbl>
    <w:p>
      <w:pPr>
        <w:spacing w:after="60"/>
      </w:pPr>
    </w:p>
    <w:p>
      <w:bookmarkStart w:id="7" w:name="chapter_7"/>
      <w:pPr>
        <w:pStyle w:val="Heading1"/>
      </w:pPr>
      <w:r>
        <w:t>7 综合评述与本项目研究方向</w:t>
      </w:r>
      <w:bookmarkEnd w:id="7"/>
    </w:p>
    <w:p>
      <w:pPr>
        <w:pStyle w:val="Heading2"/>
      </w:pPr>
      <w:r>
        <w:t>7.1 已有研究基础与当前材料的不足</w:t>
      </w:r>
    </w:p>
    <w:p>
      <w:r>
        <w:t>这些文献已为多通道图像融合、异构分支与注意力、工况/机理信息、域适应、时序组合及资源压缩提供方法基础。它们支持建立一个可运行的研究原型，但也提示：多传感器、Transformer-LSTM、分级告警或网页展示本身都不足以说明本项目获得了新的技术贡献。</w:t>
      </w:r>
    </w:p>
    <w:p>
      <w:r>
        <w:t>在本次材料中，与电机和轴承最直接相关的论文并未形成“间歇手持电钻—真实损伤标签—跨工具验证—维修后参考恢复”的统一证据链。跨领域资料又占一定比例。因此，应围绕目标场景补充质量感知融合、手持工具变工况、传感器异常与机械异常区分、维护后适应等近邻研究；这一观察只说明当前材料的覆盖不足，不代表相关方向没有已有工作。</w:t>
      </w:r>
    </w:p>
    <w:p>
      <w:r>
        <w:t>对结果的理解还需区分证据强度：同一轨迹末段测试、同工况跨对象、留出工况、独立设备和现场长期验证回答不同的问题。可以在论文内部比较相同设置的模型，但不宜把各研究的最高准确率、终点误差和资源收益拼成一套项目性能。</w:t>
      </w:r>
    </w:p>
    <w:p>
      <w:pPr>
        <w:pStyle w:val="Heading2"/>
      </w:pPr>
      <w:r>
        <w:t>7.2 值得验证的技术问题</w:t>
      </w:r>
    </w:p>
    <w:p>
      <w:r>
        <w:t>第一个问题是正常暂态与持续退化的区分。研究对象可收窄为电钻启停、负载切换、持续稳定运行三类过程，考察工况变化是否使历史和累计报警证据偏移。规则应说明窗口何时接纳、冻结或重置，并与使用相同预测模型的无规则方案比较，评价故障检出延迟与误报的变化。</w:t>
      </w:r>
    </w:p>
    <w:p>
      <w:r>
        <w:t>第二个问题是观测质量与故障证据的区分。应设置缺失、饱和、安装变化以及真实损伤样例，检查质量控制是否屏蔽故障。降低误报时也要报告漏报和拒绝预测比例；若只输出少量易识别片段，不能据此认为整体可靠性改善。独立采集质量指标与模型置信度可作为两类信息分别研究。</w:t>
      </w:r>
    </w:p>
    <w:p>
      <w:r>
        <w:t>第三个问题是维修后健康参考的受控恢复。工具维修、传感器重装与未修复故障可能产生不同信号变化；工单完成不等于恢复健康。可研究在可比工况复测、独立健康确认后生成候选参考，经覆盖与故障灵敏度验证再更新，并记录版本和失败回退。这是本文提出的候选研究问题，尚需补查、实现与对照实验，不应写成已经验证的创新成果。</w:t>
      </w:r>
    </w:p>
    <w:p>
      <w:pPr>
        <w:pStyle w:val="Heading2"/>
      </w:pPr>
      <w:r>
        <w:t>7.3 初步技术路线与实验设计</w:t>
      </w:r>
    </w:p>
    <w:p>
      <w:r>
        <w:t>建议以电钻轴承为首个对象，构建“采集与时间戳—质量及工况信息—特征/健康参考—简单时序基线—状态与趋势输出—告警与复测记录”的路线。振动、电流和温度可作为待验证组合，但传感器型号、量程、采样率及安装点需由目标频带、工具结构和采集试验确定。转速或负载参考应明确来源，不能只填写算法输入名称。</w:t>
      </w:r>
    </w:p>
    <w:p>
      <w:r>
        <w:t>先建立健康、负载变化与确认损伤样例，记录完整工具编号、部件检查、维修动作和运行段。以固定阈值、特征分类器和小型LSTM为起点，分别增加工况处理、真正等权或固定融合、质量处理与证据准入，保持数据划分和预测器可比。网络组合和轻量化方法在这些基线上进一步评价，避免多项变化同时发生而无法判断贡献。</w:t>
      </w:r>
    </w:p>
    <w:p>
      <w:r>
        <w:t>训练和测试优先按完整工具划分；设备不足时，可采用留一工具评价并报告限制。标准化、特征选择、健康参考及调参只使用训练资料。诊断报告各类召回、误报和连续运行报警；RUL仅在具备清楚失效终点的资料上评价误差，并按寿命阶段和使用条件分组。若输出区间，还需报告区间覆盖与宽度。资源测试记录硬件与端到端处理过程。</w:t>
      </w:r>
    </w:p>
    <w:p>
      <w:r>
        <w:t>当前电脑CPU与网页仿真Demo的作用是验证软件链路、输入输出及维护流程。它可以帮助发现任务定义和评价问题，随后接入真实采集；仿真指标不能证明真实电钻精度、自然日预警时长或MCU资源目标。本综述据此将算法选择与实验补证分开：技术路线可以先确定，效果结论必须由后续目标对象实验支持。</w:t>
      </w:r>
    </w:p>
    <w:p>
      <w:pPr>
        <w:pStyle w:val="ReviewCaption"/>
      </w:pPr>
      <w:r>
        <w:t>表3 研究问题与可检查的证据</w:t>
      </w:r>
    </w:p>
    <w:tbl>
      <w:tblPr>
        <w:tblStyle w:val="TableGrid"/>
        <w:tblW w:type="auto" w:w="0"/>
        <w:jc w:val="center"/>
        <w:tblLayout w:type="fixed"/>
        <w:tblLook w:firstColumn="1" w:firstRow="1" w:lastColumn="0" w:lastRow="0" w:noHBand="0" w:noVBand="1" w:val="04A0"/>
      </w:tblPr>
      <w:tblGrid>
        <w:gridCol w:w="2268"/>
        <w:gridCol w:w="3231"/>
        <w:gridCol w:w="3572"/>
      </w:tblGrid>
      <w:tr>
        <w:trPr>
          <w:cantSplit/>
          <w:tblHeader/>
        </w:trPr>
        <w:tc>
          <w:tcPr>
            <w:tcW w:type="dxa" w:w="2268"/>
            <w:vAlign w:val="center"/>
            <w:tcMar>
              <w:top w:w="70" w:type="dxa"/>
              <w:start w:w="95" w:type="dxa"/>
              <w:bottom w:w="70" w:type="dxa"/>
              <w:end w:w="95" w:type="dxa"/>
            </w:tcMar>
            <w:shd w:fill="254C65"/>
          </w:tcPr>
          <w:p>
            <w:pPr>
              <w:pStyle w:val="ReviewTable"/>
            </w:pPr>
            <w:r>
              <w:rPr>
                <w:rFonts w:ascii="Times New Roman" w:hAnsi="Times New Roman" w:eastAsia="宋体"/>
                <w:b/>
                <w:color w:val="FFFFFF"/>
                <w:sz w:val="19"/>
              </w:rPr>
              <w:t>研究问题</w:t>
            </w:r>
          </w:p>
        </w:tc>
        <w:tc>
          <w:tcPr>
            <w:tcW w:type="dxa" w:w="3231"/>
            <w:vAlign w:val="center"/>
            <w:tcMar>
              <w:top w:w="70" w:type="dxa"/>
              <w:start w:w="95" w:type="dxa"/>
              <w:bottom w:w="70" w:type="dxa"/>
              <w:end w:w="95" w:type="dxa"/>
            </w:tcMar>
            <w:shd w:fill="254C65"/>
          </w:tcPr>
          <w:p>
            <w:pPr>
              <w:pStyle w:val="ReviewTable"/>
            </w:pPr>
            <w:r>
              <w:rPr>
                <w:rFonts w:ascii="Times New Roman" w:hAnsi="Times New Roman" w:eastAsia="宋体"/>
                <w:b/>
                <w:color w:val="FFFFFF"/>
                <w:sz w:val="19"/>
              </w:rPr>
              <w:t>建议对照或资料</w:t>
            </w:r>
          </w:p>
        </w:tc>
        <w:tc>
          <w:tcPr>
            <w:tcW w:type="dxa" w:w="3572"/>
            <w:vAlign w:val="center"/>
            <w:tcMar>
              <w:top w:w="70" w:type="dxa"/>
              <w:start w:w="95" w:type="dxa"/>
              <w:bottom w:w="70" w:type="dxa"/>
              <w:end w:w="95" w:type="dxa"/>
            </w:tcMar>
            <w:shd w:fill="254C65"/>
          </w:tcPr>
          <w:p>
            <w:pPr>
              <w:pStyle w:val="ReviewTable"/>
            </w:pPr>
            <w:r>
              <w:rPr>
                <w:rFonts w:ascii="Times New Roman" w:hAnsi="Times New Roman" w:eastAsia="宋体"/>
                <w:b/>
                <w:color w:val="FFFFFF"/>
                <w:sz w:val="19"/>
              </w:rPr>
              <w:t>需要报告的结果</w:t>
            </w:r>
          </w:p>
        </w:tc>
      </w:tr>
      <w:tr>
        <w:trPr>
          <w:cantSplit/>
        </w:trPr>
        <w:tc>
          <w:tcPr>
            <w:tcW w:type="dxa" w:w="2268"/>
            <w:vAlign w:val="center"/>
            <w:tcMar>
              <w:top w:w="70" w:type="dxa"/>
              <w:start w:w="95" w:type="dxa"/>
              <w:bottom w:w="70" w:type="dxa"/>
              <w:end w:w="95" w:type="dxa"/>
            </w:tcMar>
          </w:tcPr>
          <w:p>
            <w:pPr>
              <w:pStyle w:val="ReviewTable"/>
            </w:pPr>
            <w:r>
              <w:rPr>
                <w:rFonts w:ascii="Times New Roman" w:hAnsi="Times New Roman" w:eastAsia="宋体"/>
                <w:b w:val="0"/>
                <w:color w:val="222222"/>
                <w:sz w:val="19"/>
              </w:rPr>
              <w:t>多源是否有贡献</w:t>
            </w:r>
          </w:p>
        </w:tc>
        <w:tc>
          <w:tcPr>
            <w:tcW w:type="dxa" w:w="3231"/>
            <w:vAlign w:val="center"/>
            <w:tcMar>
              <w:top w:w="70" w:type="dxa"/>
              <w:start w:w="95" w:type="dxa"/>
              <w:bottom w:w="70" w:type="dxa"/>
              <w:end w:w="95" w:type="dxa"/>
            </w:tcMar>
          </w:tcPr>
          <w:p>
            <w:pPr>
              <w:pStyle w:val="ReviewTable"/>
            </w:pPr>
            <w:r>
              <w:rPr>
                <w:rFonts w:ascii="Times New Roman" w:hAnsi="Times New Roman" w:eastAsia="宋体"/>
                <w:b w:val="0"/>
                <w:color w:val="222222"/>
                <w:sz w:val="19"/>
              </w:rPr>
              <w:t>单振动、单电流、多源固定融合、学习融合</w:t>
            </w:r>
          </w:p>
        </w:tc>
        <w:tc>
          <w:tcPr>
            <w:tcW w:type="dxa" w:w="3572"/>
            <w:vAlign w:val="center"/>
            <w:tcMar>
              <w:top w:w="70" w:type="dxa"/>
              <w:start w:w="95" w:type="dxa"/>
              <w:bottom w:w="70" w:type="dxa"/>
              <w:end w:w="95" w:type="dxa"/>
            </w:tcMar>
          </w:tcPr>
          <w:p>
            <w:pPr>
              <w:pStyle w:val="ReviewTable"/>
            </w:pPr>
            <w:r>
              <w:rPr>
                <w:rFonts w:ascii="Times New Roman" w:hAnsi="Times New Roman" w:eastAsia="宋体"/>
                <w:b w:val="0"/>
                <w:color w:val="222222"/>
                <w:sz w:val="19"/>
              </w:rPr>
              <w:t>各类召回、误报、资源开销；有效通道组合</w:t>
            </w:r>
          </w:p>
        </w:tc>
      </w:tr>
      <w:tr>
        <w:trPr>
          <w:cantSplit/>
        </w:trPr>
        <w:tc>
          <w:tcPr>
            <w:tcW w:type="dxa" w:w="2268"/>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工况处理是否有效</w:t>
            </w:r>
          </w:p>
        </w:tc>
        <w:tc>
          <w:tcPr>
            <w:tcW w:type="dxa" w:w="3231"/>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独立工具、留出转速/负载、启停与切换段</w:t>
            </w:r>
          </w:p>
        </w:tc>
        <w:tc>
          <w:tcPr>
            <w:tcW w:type="dxa" w:w="3572"/>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工况误报、故障召回；残差与工况关系</w:t>
            </w:r>
          </w:p>
        </w:tc>
      </w:tr>
      <w:tr>
        <w:trPr>
          <w:cantSplit/>
        </w:trPr>
        <w:tc>
          <w:tcPr>
            <w:tcW w:type="dxa" w:w="2268"/>
            <w:vAlign w:val="center"/>
            <w:tcMar>
              <w:top w:w="70" w:type="dxa"/>
              <w:start w:w="95" w:type="dxa"/>
              <w:bottom w:w="70" w:type="dxa"/>
              <w:end w:w="95" w:type="dxa"/>
            </w:tcMar>
          </w:tcPr>
          <w:p>
            <w:pPr>
              <w:pStyle w:val="ReviewTable"/>
            </w:pPr>
            <w:r>
              <w:rPr>
                <w:rFonts w:ascii="Times New Roman" w:hAnsi="Times New Roman" w:eastAsia="宋体"/>
                <w:b w:val="0"/>
                <w:color w:val="222222"/>
                <w:sz w:val="19"/>
              </w:rPr>
              <w:t>质量准入是否安全有效</w:t>
            </w:r>
          </w:p>
        </w:tc>
        <w:tc>
          <w:tcPr>
            <w:tcW w:type="dxa" w:w="3231"/>
            <w:vAlign w:val="center"/>
            <w:tcMar>
              <w:top w:w="70" w:type="dxa"/>
              <w:start w:w="95" w:type="dxa"/>
              <w:bottom w:w="70" w:type="dxa"/>
              <w:end w:w="95" w:type="dxa"/>
            </w:tcMar>
          </w:tcPr>
          <w:p>
            <w:pPr>
              <w:pStyle w:val="ReviewTable"/>
            </w:pPr>
            <w:r>
              <w:rPr>
                <w:rFonts w:ascii="Times New Roman" w:hAnsi="Times New Roman" w:eastAsia="宋体"/>
                <w:b w:val="0"/>
                <w:color w:val="222222"/>
                <w:sz w:val="19"/>
              </w:rPr>
              <w:t>采集异常与确认损伤分别标记；同模型消融</w:t>
            </w:r>
          </w:p>
        </w:tc>
        <w:tc>
          <w:tcPr>
            <w:tcW w:type="dxa" w:w="3572"/>
            <w:vAlign w:val="center"/>
            <w:tcMar>
              <w:top w:w="70" w:type="dxa"/>
              <w:start w:w="95" w:type="dxa"/>
              <w:bottom w:w="70" w:type="dxa"/>
              <w:end w:w="95" w:type="dxa"/>
            </w:tcMar>
          </w:tcPr>
          <w:p>
            <w:pPr>
              <w:pStyle w:val="ReviewTable"/>
            </w:pPr>
            <w:r>
              <w:rPr>
                <w:rFonts w:ascii="Times New Roman" w:hAnsi="Times New Roman" w:eastAsia="宋体"/>
                <w:b w:val="0"/>
                <w:color w:val="222222"/>
                <w:sz w:val="19"/>
              </w:rPr>
              <w:t>漏报、拒绝比例、覆盖率及检出延迟</w:t>
            </w:r>
          </w:p>
        </w:tc>
      </w:tr>
      <w:tr>
        <w:trPr>
          <w:cantSplit/>
        </w:trPr>
        <w:tc>
          <w:tcPr>
            <w:tcW w:type="dxa" w:w="2268"/>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寿命估计是否可用</w:t>
            </w:r>
          </w:p>
        </w:tc>
        <w:tc>
          <w:tcPr>
            <w:tcW w:type="dxa" w:w="3231"/>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完整失效轨迹；预先规定预测时点与终点</w:t>
            </w:r>
          </w:p>
        </w:tc>
        <w:tc>
          <w:tcPr>
            <w:tcW w:type="dxa" w:w="3572"/>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分寿命阶段误差；区间覆盖及未来使用条件</w:t>
            </w:r>
          </w:p>
        </w:tc>
      </w:tr>
      <w:tr>
        <w:trPr>
          <w:cantSplit/>
        </w:trPr>
        <w:tc>
          <w:tcPr>
            <w:tcW w:type="dxa" w:w="2268"/>
            <w:vAlign w:val="center"/>
            <w:tcMar>
              <w:top w:w="70" w:type="dxa"/>
              <w:start w:w="95" w:type="dxa"/>
              <w:bottom w:w="70" w:type="dxa"/>
              <w:end w:w="95" w:type="dxa"/>
            </w:tcMar>
          </w:tcPr>
          <w:p>
            <w:pPr>
              <w:pStyle w:val="ReviewTable"/>
            </w:pPr>
            <w:r>
              <w:rPr>
                <w:rFonts w:ascii="Times New Roman" w:hAnsi="Times New Roman" w:eastAsia="宋体"/>
                <w:b w:val="0"/>
                <w:color w:val="222222"/>
                <w:sz w:val="19"/>
              </w:rPr>
              <w:t>维修后参考能否更新</w:t>
            </w:r>
          </w:p>
        </w:tc>
        <w:tc>
          <w:tcPr>
            <w:tcW w:type="dxa" w:w="3231"/>
            <w:vAlign w:val="center"/>
            <w:tcMar>
              <w:top w:w="70" w:type="dxa"/>
              <w:start w:w="95" w:type="dxa"/>
              <w:bottom w:w="70" w:type="dxa"/>
              <w:end w:w="95" w:type="dxa"/>
            </w:tcMar>
          </w:tcPr>
          <w:p>
            <w:pPr>
              <w:pStyle w:val="ReviewTable"/>
            </w:pPr>
            <w:r>
              <w:rPr>
                <w:rFonts w:ascii="Times New Roman" w:hAnsi="Times New Roman" w:eastAsia="宋体"/>
                <w:b w:val="0"/>
                <w:color w:val="222222"/>
                <w:sz w:val="19"/>
              </w:rPr>
              <w:t>成功维修、未修复、传感器重装样例</w:t>
            </w:r>
          </w:p>
        </w:tc>
        <w:tc>
          <w:tcPr>
            <w:tcW w:type="dxa" w:w="3572"/>
            <w:vAlign w:val="center"/>
            <w:tcMar>
              <w:top w:w="70" w:type="dxa"/>
              <w:start w:w="95" w:type="dxa"/>
              <w:bottom w:w="70" w:type="dxa"/>
              <w:end w:w="95" w:type="dxa"/>
            </w:tcMar>
          </w:tcPr>
          <w:p>
            <w:pPr>
              <w:pStyle w:val="ReviewTable"/>
            </w:pPr>
            <w:r>
              <w:rPr>
                <w:rFonts w:ascii="Times New Roman" w:hAnsi="Times New Roman" w:eastAsia="宋体"/>
                <w:b w:val="0"/>
                <w:color w:val="222222"/>
                <w:sz w:val="19"/>
              </w:rPr>
              <w:t>参考切换前后误报、故障灵敏度及失败回退</w:t>
            </w:r>
          </w:p>
        </w:tc>
      </w:tr>
      <w:tr>
        <w:trPr>
          <w:cantSplit/>
        </w:trPr>
        <w:tc>
          <w:tcPr>
            <w:tcW w:type="dxa" w:w="2268"/>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轻量化是否有实际收益</w:t>
            </w:r>
          </w:p>
        </w:tc>
        <w:tc>
          <w:tcPr>
            <w:tcW w:type="dxa" w:w="3231"/>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相近效果的简单模型；指定硬件与运行时</w:t>
            </w:r>
          </w:p>
        </w:tc>
        <w:tc>
          <w:tcPr>
            <w:tcW w:type="dxa" w:w="3572"/>
            <w:vAlign w:val="center"/>
            <w:tcMar>
              <w:top w:w="70" w:type="dxa"/>
              <w:start w:w="95" w:type="dxa"/>
              <w:bottom w:w="70" w:type="dxa"/>
              <w:end w:w="95" w:type="dxa"/>
            </w:tcMar>
            <w:shd w:fill="F2F5F7"/>
          </w:tcPr>
          <w:p>
            <w:pPr>
              <w:pStyle w:val="ReviewTable"/>
            </w:pPr>
            <w:r>
              <w:rPr>
                <w:rFonts w:ascii="Times New Roman" w:hAnsi="Times New Roman" w:eastAsia="宋体"/>
                <w:b w:val="0"/>
                <w:color w:val="222222"/>
                <w:sz w:val="19"/>
              </w:rPr>
              <w:t>权重、RAM、前向/端到端延迟及能耗</w:t>
            </w:r>
          </w:p>
        </w:tc>
      </w:tr>
    </w:tbl>
    <w:p>
      <w:pPr>
        <w:spacing w:after="60"/>
      </w:pPr>
    </w:p>
    <w:p>
      <w:bookmarkStart w:id="8" w:name="chapter_8"/>
      <w:pPr>
        <w:pStyle w:val="Heading1"/>
      </w:pPr>
      <w:r>
        <w:t>8 结论</w:t>
      </w:r>
      <w:bookmarkEnd w:id="8"/>
    </w:p>
    <w:p>
      <w:r>
        <w:t>本文对12篇附件论文进行了主题综合。多源融合可以利用测量互补，工况与机理信息及域适应可以处理部分分布变化，时序模型为退化学习提供工具，结构压缩和条件计算则提供降低资源成本的可能。但各方法的有效性都依赖具体的数据、任务和验证设置，不能仅凭结构名称与单一准确率判断是否适合电钻。</w:t>
      </w:r>
    </w:p>
    <w:p>
      <w:r>
        <w:t>对本项目，优先工作应是建立真实采集、可信标签和独立工具验证，以简单基线确定工况与质量处理的实际贡献；再决定是否增加复杂寿命网络和边缘部署。正常暂态、观测异常以及维修后的参考恢复可以形成明确的研究问题，其价值需要通过可实施机制和对照证据证明。以上结论用于研究梳理及导师讨论，论文综述与专利查新仍应分别形成证据和结论。</w:t>
      </w:r>
    </w:p>
    <w:p>
      <w:r>
        <w:br w:type="page"/>
      </w:r>
    </w:p>
    <w:p>
      <w:bookmarkStart w:id="9" w:name="references"/>
      <w:pPr>
        <w:pStyle w:val="Heading1"/>
      </w:pPr>
      <w:r>
        <w:t>参考文献</w:t>
      </w:r>
      <w:bookmarkEnd w:id="9"/>
    </w:p>
    <w:p>
      <w:pPr>
        <w:pStyle w:val="ReviewNote"/>
      </w:pPr>
      <w:r>
        <w:t>按正文编号著录。网络首发及待核验信息依据附件保留，未补造卷期、页码或DOI。</w:t>
      </w:r>
    </w:p>
    <w:p>
      <w:pPr>
        <w:pStyle w:val="ReviewRef"/>
      </w:pPr>
      <w:r>
        <w:t>[1] WANG H, LI S, SONG L, et al. An Enhanced Intelligent Diagnosis Method Based on Multi-Sensor Image Fusion via Improved Deep Learning Network[J]. IEEE Transactions on Instrumentation and Measurement, 2020, 69(6): 2648–2657. DOI: 10.1109/TIM.2019.2928346.</w:t>
      </w:r>
    </w:p>
    <w:p>
      <w:pPr>
        <w:pStyle w:val="ReviewRef"/>
      </w:pPr>
      <w:r>
        <w:t>[2] 古玉锋, 燕钢强, 黎程山, 等. 多模态残差注意力网络异步电动机故障诊断[J]. 振动、测试与诊断, 2026, 46(1): 123–131. DOI: 10.16450/j.cnki.issn.1004-6801.2026.01.017.</w:t>
      </w:r>
    </w:p>
    <w:p>
      <w:pPr>
        <w:pStyle w:val="ReviewRef"/>
      </w:pPr>
      <w:r>
        <w:t>[3] GUO S, ZHANG B, YANG T, et al. Multitask Convolutional Neural Network With Information Fusion for Bearing Fault Diagnosis and Localization[J]. IEEE Transactions on Industrial Electronics, 2020, 67(9): 8005–8015. DOI: 10.1109/TIE.2019.2942548.</w:t>
      </w:r>
    </w:p>
    <w:p>
      <w:pPr>
        <w:pStyle w:val="ReviewRef"/>
      </w:pPr>
      <w:r>
        <w:t>[4] LI T, ZHAO Z, SUN C, et al. Domain Adversarial Graph Convolutional Network for Fault Diagnosis Under Variable Working Conditions[J]. IEEE Transactions on Instrumentation and Measurement, 2021, 70: 3515010. DOI: 10.1109/TIM.2021.3075016.</w:t>
      </w:r>
    </w:p>
    <w:p>
      <w:pPr>
        <w:pStyle w:val="ReviewRef"/>
      </w:pPr>
      <w:r>
        <w:t>[5] 张帆, 姚德臣, 姚圣卓, 等. 基于Transformer-LSTM网络的轴承寿命预测[J]. 振动与冲击, 2024, 43(6): 320–328. DOI: 10.13465/j.cnki.jvs.2024.06.034.</w:t>
      </w:r>
    </w:p>
    <w:p>
      <w:pPr>
        <w:pStyle w:val="ReviewRef"/>
      </w:pPr>
      <w:r>
        <w:t>[6] 周文军. 基于深度学习的刀具磨损状态监测研究[D]. 绵阳: 西南科技大学, 2024.</w:t>
      </w:r>
    </w:p>
    <w:p>
      <w:pPr>
        <w:pStyle w:val="ReviewRef"/>
      </w:pPr>
      <w:r>
        <w:t>[7] 郑隆举, 黄娇娇, 韩云飞, 等. 考虑模型轻量化设计的PEMFC性能退化预测方法[J/OL]. 铁道科学与工程学报, 2026（网络首发2026-06-03）. DOI: 10.19713/j.cnki.43-1423/u.T20260268.</w:t>
      </w:r>
    </w:p>
    <w:p>
      <w:pPr>
        <w:pStyle w:val="ReviewRef"/>
      </w:pPr>
      <w:r>
        <w:t>[8] 龙寰, 孙金通, 蔡辉煌, 等. 算力受限场景下基于混合注意力和稀疏激活的轻量化光伏功率预测模型[J/OL]. 中国电机工程学报, 2026（网络首发2026-06-24）. https://link.cnki.net/urlid/11.2107.TM.20260624.1018.002.</w:t>
      </w:r>
    </w:p>
    <w:p>
      <w:pPr>
        <w:pStyle w:val="ReviewRef"/>
      </w:pPr>
      <w:r>
        <w:t>[9] 郎恂, 杨凌旭, 吴建德, 等. 基于双模态数据融合网络的工业过程控制回路振荡检测[J]. 仪器仪表学报, 2026, 47(8): 31–45. 附件网络首发2026-08-28.</w:t>
      </w:r>
    </w:p>
    <w:p>
      <w:pPr>
        <w:pStyle w:val="ReviewRef"/>
      </w:pPr>
      <w:r>
        <w:t>[10] 蓝鑫, 秦小林. 融合增强和特征精细化网络的无人平台旋转目标检测[J/OL]. 计算机应用, 2026（网络首发2026-08-26）. DOI: 10.11772/j.issn.1001-9081.2026020185.</w:t>
      </w:r>
    </w:p>
    <w:p>
      <w:pPr>
        <w:pStyle w:val="ReviewRef"/>
      </w:pPr>
      <w:r>
        <w:t>[11] 李亚敏, 杨志波, 张全斌, 等. 多模态数据融合下超声辅助激光熔覆层形性预测[J/OL]. 机械工程学报, 2026（附件标注62卷11期及网络首发2026-09-04，出版信息见附录B）. DOI: 10.3901/JME.260805.</w:t>
      </w:r>
    </w:p>
    <w:p>
      <w:pPr>
        <w:pStyle w:val="ReviewRef"/>
      </w:pPr>
      <w:r>
        <w:t>[12] 朱斌, 胡新丰. 模块化电动工具在塑料制品生产应急维修中的应用研究[J]. 轻工标准与质量, 2026(2): 182–184. 原文载DOI: 10.19541/j.cnki.issn1004-4108.2026.02.061（待核验，见附录B）.</w:t>
      </w:r>
    </w:p>
    <w:p>
      <w:r>
        <w:br w:type="page"/>
      </w:r>
    </w:p>
    <w:p>
      <w:bookmarkStart w:id="10" w:name="source_index"/>
      <w:pPr>
        <w:pStyle w:val="Heading1"/>
      </w:pPr>
      <w:r>
        <w:t>附录A 原文阅读定位</w:t>
      </w:r>
      <w:bookmarkEnd w:id="10"/>
    </w:p>
    <w:p>
      <w:pPr>
        <w:pStyle w:val="ReviewNote"/>
      </w:pPr>
      <w:r>
        <w:t>以下页码均为PDF阅读器从第一页开始计算的文件页码，可能包含网络首发封面，与期刊印刷页码不同。长文件名按原上传名称保留。</w:t>
      </w:r>
    </w:p>
    <w:p>
      <w:pPr>
        <w:pStyle w:val="ReviewIndex"/>
        <w:keepNext/>
      </w:pPr>
      <w:r>
        <w:rPr>
          <w:rFonts w:ascii="Times New Roman" w:hAnsi="Times New Roman" w:eastAsia="宋体"/>
          <w:b/>
        </w:rPr>
        <w:t xml:space="preserve">[1] </w:t>
      </w:r>
      <w:r>
        <w:t>An_​Enhanced_​Intelligent_​Diagnosis_​Method_​Based_​on_​Multi-Sensor_​Image_​Fusion_​via_​Improved_​Deep_​Learning_​Network.pdf</w:t>
      </w:r>
    </w:p>
    <w:p>
      <w:pPr>
        <w:pStyle w:val="ReviewNote"/>
      </w:pPr>
      <w:r>
        <w:t>定位：PDF第1、3—4、6、8页。阅读内容：摘要；振动图像化与瓶颈网络；两个应用数据的结果。</w:t>
      </w:r>
    </w:p>
    <w:p>
      <w:pPr>
        <w:pStyle w:val="ReviewIndex"/>
        <w:keepNext/>
      </w:pPr>
      <w:r>
        <w:rPr>
          <w:rFonts w:ascii="Times New Roman" w:hAnsi="Times New Roman" w:eastAsia="宋体"/>
          <w:b/>
        </w:rPr>
        <w:t xml:space="preserve">[2] </w:t>
      </w:r>
      <w:r>
        <w:t>多模态残差注意力网络异步电动机故障诊断_​古玉锋.pdf</w:t>
      </w:r>
    </w:p>
    <w:p>
      <w:pPr>
        <w:pStyle w:val="ReviewNote"/>
      </w:pPr>
      <w:r>
        <w:t>定位：PDF第1—4、7—9页。阅读内容：PCA；分支残差与CBAM；实验和迁移测试；卷期页码。</w:t>
      </w:r>
    </w:p>
    <w:p>
      <w:pPr>
        <w:pStyle w:val="ReviewIndex"/>
        <w:keepNext/>
      </w:pPr>
      <w:r>
        <w:rPr>
          <w:rFonts w:ascii="Times New Roman" w:hAnsi="Times New Roman" w:eastAsia="宋体"/>
          <w:b/>
        </w:rPr>
        <w:t xml:space="preserve">[3] </w:t>
      </w:r>
      <w:r>
        <w:t>Multitask_​Convolutional_​Neural_​Network_​With_​Information_​Fusion_​for_​Bearing_​Fault_​Diagnosis_​and_​Localization.pdf</w:t>
      </w:r>
    </w:p>
    <w:p>
      <w:pPr>
        <w:pStyle w:val="ReviewNote"/>
      </w:pPr>
      <w:r>
        <w:t>定位：PDF第1、3—6、9页。阅读内容：虚拟采样频率；信息融合；双任务结构和动态训练速率。</w:t>
      </w:r>
    </w:p>
    <w:p>
      <w:pPr>
        <w:pStyle w:val="ReviewIndex"/>
        <w:keepNext/>
      </w:pPr>
      <w:r>
        <w:rPr>
          <w:rFonts w:ascii="Times New Roman" w:hAnsi="Times New Roman" w:eastAsia="宋体"/>
          <w:b/>
        </w:rPr>
        <w:t xml:space="preserve">[4] </w:t>
      </w:r>
      <w:r>
        <w:t>Domain_​Adversarial_​Graph_​Convolutional_​Network_​for_​Fault_​Diagnosis_​Under_​Variable_​Working_​Conditions.pdf</w:t>
      </w:r>
    </w:p>
    <w:p>
      <w:pPr>
        <w:pStyle w:val="ReviewNote"/>
      </w:pPr>
      <w:r>
        <w:t>定位：PDF第1、3—5、8页。阅读内容：网络结构；域对抗与MMD；算法1；实验及复杂度讨论。</w:t>
      </w:r>
    </w:p>
    <w:p>
      <w:pPr>
        <w:pStyle w:val="ReviewIndex"/>
        <w:keepNext/>
      </w:pPr>
      <w:r>
        <w:rPr>
          <w:rFonts w:ascii="Times New Roman" w:hAnsi="Times New Roman" w:eastAsia="宋体"/>
          <w:b/>
        </w:rPr>
        <w:t xml:space="preserve">[5] </w:t>
      </w:r>
      <w:r>
        <w:t>基于Transformer-LSTM网络的轴承寿命预测.pdf</w:t>
      </w:r>
    </w:p>
    <w:p>
      <w:pPr>
        <w:pStyle w:val="ReviewNote"/>
      </w:pPr>
      <w:r>
        <w:t>定位：PDF第1—8页。阅读内容：按页面图像核读；图3、5—6；第2.4节95%/5%划分；第3节实验及表1—4。</w:t>
      </w:r>
    </w:p>
    <w:p>
      <w:pPr>
        <w:pStyle w:val="ReviewIndex"/>
        <w:keepNext/>
      </w:pPr>
      <w:r>
        <w:rPr>
          <w:rFonts w:ascii="Times New Roman" w:hAnsi="Times New Roman" w:eastAsia="宋体"/>
          <w:b/>
        </w:rPr>
        <w:t xml:space="preserve">[6] </w:t>
      </w:r>
      <w:r>
        <w:t>基于深度学习的刀具磨损状态监测研究_​周文军.pdf</w:t>
      </w:r>
    </w:p>
    <w:p>
      <w:pPr>
        <w:pStyle w:val="ReviewNote"/>
      </w:pPr>
      <w:r>
        <w:t>定位：PDF第4、24—27、46—52、64—65页。阅读内容：摘要；平台与磨损测量；GA-LSTM；第4.3节跨刀具划分；第6.2节展望。</w:t>
      </w:r>
    </w:p>
    <w:p>
      <w:pPr>
        <w:pStyle w:val="ReviewIndex"/>
        <w:keepNext/>
      </w:pPr>
      <w:r>
        <w:rPr>
          <w:rFonts w:ascii="Times New Roman" w:hAnsi="Times New Roman" w:eastAsia="宋体"/>
          <w:b/>
        </w:rPr>
        <w:t xml:space="preserve">[7] </w:t>
      </w:r>
      <w:r>
        <w:t>考虑模型轻量化设计的PEMFC性能退化预测方法_​郑隆举.pdf</w:t>
      </w:r>
    </w:p>
    <w:p>
      <w:pPr>
        <w:pStyle w:val="ReviewNote"/>
      </w:pPr>
      <w:r>
        <w:t>定位：PDF第1—5、11、14页。阅读内容：网络首发信息；预处理与并行结构；参数/训练耗时；结论。</w:t>
      </w:r>
    </w:p>
    <w:p>
      <w:pPr>
        <w:pStyle w:val="ReviewIndex"/>
        <w:keepNext/>
      </w:pPr>
      <w:r>
        <w:rPr>
          <w:rFonts w:ascii="Times New Roman" w:hAnsi="Times New Roman" w:eastAsia="宋体"/>
          <w:b/>
        </w:rPr>
        <w:t xml:space="preserve">[8] </w:t>
      </w:r>
      <w:r>
        <w:t>算力受限场景下基于混合注意力和稀疏激活的轻量化光伏功率预测模型_​龙寰.pdf</w:t>
      </w:r>
    </w:p>
    <w:p>
      <w:pPr>
        <w:pStyle w:val="ReviewNote"/>
      </w:pPr>
      <w:r>
        <w:t>定位：PDF第1—6、12—13页。阅读内容：网络首发信息；MMT；稀疏注意力与MoE；结论。</w:t>
      </w:r>
    </w:p>
    <w:p>
      <w:pPr>
        <w:pStyle w:val="ReviewIndex"/>
        <w:keepNext/>
      </w:pPr>
      <w:r>
        <w:rPr>
          <w:rFonts w:ascii="Times New Roman" w:hAnsi="Times New Roman" w:eastAsia="宋体"/>
          <w:b/>
        </w:rPr>
        <w:t xml:space="preserve">[9] </w:t>
      </w:r>
      <w:r>
        <w:t>基于双模态数据融合网络的工业过程控制回路振荡检测_​郎恂.pdf</w:t>
      </w:r>
    </w:p>
    <w:p>
      <w:pPr>
        <w:pStyle w:val="ReviewNote"/>
      </w:pPr>
      <w:r>
        <w:t>定位：PDF第1—6、12—16页。阅读内容：首发与卷期；双表示与SCFN；119个工业回路及标签；参考文献。</w:t>
      </w:r>
    </w:p>
    <w:p>
      <w:pPr>
        <w:pStyle w:val="ReviewIndex"/>
        <w:keepNext/>
      </w:pPr>
      <w:r>
        <w:rPr>
          <w:rFonts w:ascii="Times New Roman" w:hAnsi="Times New Roman" w:eastAsia="宋体"/>
          <w:b/>
        </w:rPr>
        <w:t xml:space="preserve">[10] </w:t>
      </w:r>
      <w:r>
        <w:t>融合增强和特征精细化网络的无人平台旋转目标检测_​蓝鑫.pdf</w:t>
      </w:r>
    </w:p>
    <w:p>
      <w:pPr>
        <w:pStyle w:val="ReviewNote"/>
      </w:pPr>
      <w:r>
        <w:t>定位：PDF第1—6、8页。阅读内容：网络首发信息；F2Net方法；结果与结论。</w:t>
      </w:r>
    </w:p>
    <w:p>
      <w:pPr>
        <w:pStyle w:val="ReviewIndex"/>
        <w:keepNext/>
      </w:pPr>
      <w:r>
        <w:rPr>
          <w:rFonts w:ascii="Times New Roman" w:hAnsi="Times New Roman" w:eastAsia="宋体"/>
          <w:b/>
        </w:rPr>
        <w:t xml:space="preserve">[11] </w:t>
      </w:r>
      <w:r>
        <w:t>多模态数据融合下超声辅助激光熔覆层形性预测_​李亚敏.pdf</w:t>
      </w:r>
    </w:p>
    <w:p>
      <w:pPr>
        <w:pStyle w:val="ReviewNote"/>
      </w:pPr>
      <w:r>
        <w:t>定位：PDF第1、3—5、7—12、14页。阅读内容：出版标注；多源数据；20个参数；PhysEncoder-RF；结论。</w:t>
      </w:r>
    </w:p>
    <w:p>
      <w:pPr>
        <w:pStyle w:val="ReviewIndex"/>
        <w:keepNext/>
      </w:pPr>
      <w:r>
        <w:rPr>
          <w:rFonts w:ascii="Times New Roman" w:hAnsi="Times New Roman" w:eastAsia="宋体"/>
          <w:b/>
        </w:rPr>
        <w:t xml:space="preserve">[12] </w:t>
      </w:r>
      <w:r>
        <w:t>模块化电动工具在塑料制品生产应急维修中的应用研究_​朱斌.pdf</w:t>
      </w:r>
    </w:p>
    <w:p>
      <w:pPr>
        <w:pStyle w:val="ReviewNote"/>
      </w:pPr>
      <w:r>
        <w:t>定位：PDF第1—3页。阅读内容：摘要与模块设计；故障对象；SVM与维修；刊名及182—184页页脚。</w:t>
      </w:r>
    </w:p>
    <w:p>
      <w:pPr>
        <w:pStyle w:val="ReviewNote"/>
      </w:pPr>
      <w:r>
        <w:t>重复版本：[2]另有《多模态残差注意力网络异步电动机故障诊断.pdf》（9页）；两份按同一论文引用，未重复计数。</w:t>
      </w:r>
    </w:p>
    <w:p>
      <w:r>
        <w:br w:type="page"/>
      </w:r>
    </w:p>
    <w:p>
      <w:bookmarkStart w:id="11" w:name="source_notes"/>
      <w:pPr>
        <w:pStyle w:val="Heading1"/>
      </w:pPr>
      <w:r>
        <w:t>附录B 材料与书目信息说明</w:t>
      </w:r>
      <w:bookmarkEnd w:id="11"/>
    </w:p>
    <w:p>
      <w:r>
        <w:t>范围说明：12条参考文献对应12篇独立论文/学位论文。两份异步电动机论文为同一研究的不同PDF版本，合并使用；带作者名版本附有英文摘要页。所上传6份专利公开文本另作专利技术比对，不混入本文参考文献。</w:t>
      </w:r>
    </w:p>
    <w:p>
      <w:r>
        <w:t>书目日期：IEEE文献[1]和[3]分别在2019年首次在线发表、归入2020年卷期；文献[4]归入2021年卷期。此处按卷期著录。文献[6]依据学位论文署期2024年6月著录，答辩时间不直接作为最早可公开访问日期。</w:t>
      </w:r>
    </w:p>
    <w:p>
      <w:r>
        <w:t>网络首发：文献[7]、[8]和[10]的最终卷期或正式页码在附件中未完整确定，因此按[J/OL]著录。文献[9]已标注47卷8期和31—45页，同时保留其附件首发日期，不将收稿日期作为发表日期。</w:t>
      </w:r>
    </w:p>
    <w:p>
      <w:r>
        <w:t>文献[11]：附件同时标注“2026年6月、62卷11期”和“网络首发2026-09-04”，二者先后关系待出版社或数据库核验。本文不据此确定其最早公开日期，不补造正式页码。</w:t>
      </w:r>
    </w:p>
    <w:p>
      <w:r>
        <w:t>文献[12]：三页页脚均明确刊名为《轻工标准与质量》、2026年第2期、182—184页；正文打印的DOI含“issn 1004-4108”，与该刊的书目对应关系待核验。本文以页脚确定刊名，保留原文DOI并注明，不依DOI字符串推定另一本期刊。</w:t>
      </w:r>
    </w:p>
    <w:p>
      <w:r>
        <w:t>结果使用：正文少量数字均来自原作者报告，数据来源、划分、指标和单位随文交代，不用于跨论文性能排名。针对电钻提出的准入与参考恢复规则属于研究建议，尚需补查与实验。</w:t>
      </w:r>
    </w:p>
    <w:sectPr w:rsidR="00FC693F" w:rsidRPr="0006063C" w:rsidSect="00034616">
      <w:headerReference w:type="default" r:id="rId9"/>
      <w:footerReference w:type="default" r:id="rId10"/>
      <w:pgSz w:w="11906" w:h="16838"/>
      <w:pgMar w:top="1304" w:right="1417"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viewNote"/>
      <w:jc w:val="center"/>
    </w:pPr>
    <w:r>
      <w:t xml:space="preserve">第 </w:t>
    </w:r>
    <w:r>
      <w:fldChar w:fldCharType="begin"/>
    </w:r>
    <w:r>
      <w:instrText xml:space="preserve"> PAGE </w:instrText>
    </w:r>
    <w:r>
      <w:fldChar w:fldCharType="separate"/>
    </w:r>
    <w:r>
      <w:t>1</w:t>
    </w:r>
    <w:r>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viewNote"/>
      <w:spacing w:after="40"/>
      <w:pBdr>
        <w:bottom w:val="single" w:sz="4" w:space="5" w:color="ADBEC9"/>
      </w:pBdr>
    </w:pPr>
    <w:r>
      <w:t>电动工具预测性维护 · 文献综述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00"/>
      <w:ind w:firstLine="442"/>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ind w:firstLine="0"/>
      <w:outlineLvl w:val="0"/>
    </w:pPr>
    <w:rPr>
      <w:rFonts w:asciiTheme="majorHAnsi" w:eastAsiaTheme="majorEastAsia" w:hAnsiTheme="majorHAnsi" w:cstheme="majorBidi" w:ascii="Times New Roman" w:hAnsi="Times New Roman" w:eastAsia="黑体"/>
      <w:b/>
      <w:bCs/>
      <w:color w:val="254C65"/>
      <w:sz w:val="30"/>
      <w:szCs w:val="28"/>
    </w:rPr>
  </w:style>
  <w:style w:type="paragraph" w:styleId="Heading2">
    <w:name w:val="heading 2"/>
    <w:basedOn w:val="Normal"/>
    <w:next w:val="Normal"/>
    <w:link w:val="Heading2Char"/>
    <w:uiPriority w:val="9"/>
    <w:unhideWhenUsed/>
    <w:qFormat/>
    <w:rsid w:val="00FC693F"/>
    <w:pPr>
      <w:keepNext/>
      <w:keepLines/>
      <w:spacing w:before="200" w:after="160"/>
      <w:ind w:firstLine="0"/>
      <w:outlineLvl w:val="1"/>
    </w:pPr>
    <w:rPr>
      <w:rFonts w:asciiTheme="majorHAnsi" w:eastAsiaTheme="majorEastAsia" w:hAnsiTheme="majorHAnsi" w:cstheme="majorBidi" w:ascii="Times New Roman" w:hAnsi="Times New Roman" w:eastAsia="黑体"/>
      <w:b/>
      <w:bCs/>
      <w:color w:val="254C6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00"/>
      <w:ind w:firstLine="0"/>
      <w:contextualSpacing/>
    </w:pPr>
    <w:rPr>
      <w:rFonts w:asciiTheme="majorHAnsi" w:eastAsiaTheme="majorEastAsia" w:hAnsiTheme="majorHAnsi" w:cstheme="majorBidi" w:ascii="Times New Roman" w:hAnsi="Times New Roman" w:eastAsia="黑体"/>
      <w:color w:val="254C6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Note">
    <w:name w:val="Review Note"/>
    <w:basedOn w:val="Normal"/>
    <w:pPr>
      <w:spacing w:line="288" w:lineRule="auto" w:after="120"/>
      <w:ind w:firstLine="0"/>
    </w:pPr>
    <w:rPr>
      <w:rFonts w:ascii="Times New Roman" w:hAnsi="Times New Roman" w:eastAsia="宋体"/>
      <w:color w:val="52616C"/>
      <w:sz w:val="19"/>
    </w:rPr>
  </w:style>
  <w:style w:type="paragraph" w:customStyle="1" w:styleId="ReviewRef">
    <w:name w:val="Review Ref"/>
    <w:basedOn w:val="Normal"/>
    <w:pPr>
      <w:spacing w:line="288" w:lineRule="auto" w:after="200"/>
      <w:ind w:left="408" w:hanging="408"/>
    </w:pPr>
    <w:rPr>
      <w:rFonts w:ascii="Times New Roman" w:hAnsi="Times New Roman" w:eastAsia="宋体"/>
      <w:sz w:val="20"/>
    </w:rPr>
  </w:style>
  <w:style w:type="paragraph" w:customStyle="1" w:styleId="ReviewTable">
    <w:name w:val="Review Table"/>
    <w:basedOn w:val="Normal"/>
    <w:pPr>
      <w:spacing w:line="276" w:lineRule="auto" w:after="0"/>
      <w:ind w:firstLine="0"/>
    </w:pPr>
    <w:rPr>
      <w:rFonts w:ascii="Times New Roman" w:hAnsi="Times New Roman" w:eastAsia="宋体"/>
      <w:sz w:val="19"/>
    </w:rPr>
  </w:style>
  <w:style w:type="paragraph" w:customStyle="1" w:styleId="ReviewCaption">
    <w:name w:val="Review Caption"/>
    <w:basedOn w:val="Normal"/>
    <w:pPr>
      <w:keepNext/>
      <w:spacing w:line="288" w:lineRule="auto" w:after="120"/>
      <w:ind w:firstLine="0"/>
    </w:pPr>
    <w:rPr>
      <w:rFonts w:ascii="Times New Roman" w:hAnsi="Times New Roman" w:eastAsia="宋体"/>
      <w:b/>
      <w:sz w:val="20"/>
    </w:rPr>
  </w:style>
  <w:style w:type="paragraph" w:customStyle="1" w:styleId="ReviewIndex">
    <w:name w:val="Review Index"/>
    <w:basedOn w:val="Normal"/>
    <w:pPr>
      <w:spacing w:line="288" w:lineRule="auto" w:after="120"/>
      <w:ind w:firstLine="0"/>
    </w:pPr>
    <w:rPr>
      <w:rFonts w:ascii="Times New Roman" w:hAnsi="Times New Roman"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面向电动工具预测性维护的多源融合、变工况诊断与寿命预测研究综述</dc:title>
  <dc:subject>12篇附件论文的主题综述与电钻预测性维护技术路线分析</dc:subject>
  <dc:creator>项目研究资料整理</dc:creator>
  <cp:keywords>电动工具,预测性维护,多传感器融合,变工况,剩余寿命,文献综述</cp:keywords>
  <dc:description>依据用户提供PDF整理；包含原文定位和书目待核验说明。</dc:description>
  <cp:lastModifiedBy/>
  <cp:revision>1</cp:revision>
  <dcterms:created xsi:type="dcterms:W3CDTF">2026-10-09T00:00:00Z</dcterms:created>
  <dcterms:modified xsi:type="dcterms:W3CDTF">2026-10-09T00:00:00Z</dcterms:modified>
  <cp:category/>
</cp:coreProperties>
</file>