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电动工具预测性维护相关研究综述</w:t>
        <w:br/>
        <w:t>讨论精简版</w:t>
      </w:r>
    </w:p>
    <w:p>
      <w:pPr>
        <w:pStyle w:val="ShortNote"/>
      </w:pPr>
      <w:r>
        <w:t>依据12篇去重论文整理 · 2026年10月9日</w:t>
      </w:r>
    </w:p>
    <w:p>
      <w:pPr>
        <w:pStyle w:val="Heading1"/>
      </w:pPr>
      <w:r>
        <w:t>一、背景与文献范围</w:t>
      </w:r>
    </w:p>
    <w:p>
      <w:r>
        <w:t>电钻的运行信号同时受负载、转速、部件损伤和采集条件影响，预测性维护需要回答“现在是否异常、是否持续退化、何时需要维护”。本文依据提供的12篇去重论文，概括多源融合、变工况诊断、退化预测和轻量化四条路线，用于选择研究问题。它是附件专题综述，未作全领域检索。</w:t>
      </w:r>
    </w:p>
    <w:p>
      <w:r>
        <w:t>资料中轴承、电机研究与项目最直接相关，其他论文提供方法参考。朱斌等[12]研究电动工具用于维修塑料生产设备，监测对象与工具自身轴承不同，说明不能只按题名中的“工具”判断相关性。</w:t>
      </w:r>
    </w:p>
    <w:p>
      <w:pPr>
        <w:pStyle w:val="Heading1"/>
      </w:pPr>
      <w:r>
        <w:t>二、现有研究的四条路线</w:t>
      </w:r>
    </w:p>
    <w:p>
      <w:pPr>
        <w:pStyle w:val="Heading2"/>
      </w:pPr>
      <w:r>
        <w:t>1. 多传感器与多模态融合</w:t>
      </w:r>
    </w:p>
    <w:p>
      <w:r>
        <w:t>Wang等[1]把多方向振动转换为RGB图像，以改进LeNet-5联合识别故障，体现同类多通道信息互补。古玉锋等[2]融合振动、电压、电流与温度，采用PCA、残差分支和CBAM，说明异构信号宜先分别表示，再进行特征融合。注意力描述特征使用方式，不直接等于传感器可靠性。</w:t>
      </w:r>
    </w:p>
    <w:p>
      <w:r>
        <w:t>郎恂等[9]融合控制信号的视觉拓扑与频域表示，并用真实工业资料及独立工程师标签验证；蓝鑫等[10]研究红外—可见光对齐和差异增强；李亚敏等[11]组合文献、物理模型与模拟图像。这些研究提示融合前要明确数据来源、时间或空间对齐、互补关系。电钻还需检验缺失、饱和和安装变化是否被混同为机械异常，不能把故障冲击简单判成低质量。</w:t>
      </w:r>
    </w:p>
    <w:p>
      <w:pPr>
        <w:pStyle w:val="Heading2"/>
      </w:pPr>
      <w:r>
        <w:t>2. 变工况诊断</w:t>
      </w:r>
    </w:p>
    <w:p>
      <w:r>
        <w:t>Guo等[3]将工况、机理知识和振动结合，通过重采样及多任务CNN进行诊断定位，说明转速和负载可以参与表示构造。Li等[4]以图卷积、域对抗和MMD减少域间差异，但其适应过程需要无标签目标域样本，与完全未接触新设备的部署要求不同。</w:t>
      </w:r>
    </w:p>
    <w:p>
      <w:r>
        <w:t>对本项目，条件健康参考可作为起点，描述可比工况下的正常水平，但残差不保证完全排除工况。需测试独立工具和留出负载；如果负载仅由电流推导，还要检查真实故障是否被误解释为负载变化并消除。</w:t>
      </w:r>
    </w:p>
    <w:p>
      <w:pPr>
        <w:pStyle w:val="Heading2"/>
      </w:pPr>
      <w:r>
        <w:t>3. 磨损与剩余寿命预测</w:t>
      </w:r>
    </w:p>
    <w:p>
      <w:r>
        <w:t>张帆等[5]组合Transformer与LSTM进行轴承趋势学习，并经曲线拟合评价寿命终点。其选定轨迹采用同一轴承前95%训练、后5%测试，不能直接证明模型对新工具或早期预警有效。周文军[6]以时频特征、相关性筛选和GA-LSTM预测刀具磨损，并用显微镜测量及跨刀具划分提供独立验证。</w:t>
      </w:r>
    </w:p>
    <w:p>
      <w:r>
        <w:t>故障分类、磨损程度和RUL是不同任务。电钻寿命预测必须明确失效终点、工作小时或工作量以及未来使用条件；自然日提醒还取决于使用强度。没有真实完整寿命轨迹时，先验证状态和趋势较合适。</w:t>
      </w:r>
    </w:p>
    <w:p>
      <w:pPr>
        <w:pStyle w:val="Heading2"/>
      </w:pPr>
      <w:r>
        <w:t>4. 轻量化与运行资源</w:t>
      </w:r>
    </w:p>
    <w:p>
      <w:r>
        <w:t>郑隆举等[7]以预处理和并行CNN-GRU进行PEMFC退化预测，并比较参数及训练效率；训练耗时改善不能直接等同边缘推理加速。龙寰等[8]提出MMT，利用时间压缩、混合注意力和稀疏专家激活减少计算负担，但稀疏激活不保证总参数更少或任意硬件更快。</w:t>
      </w:r>
    </w:p>
    <w:p>
      <w:r>
        <w:t>模型选择应先比较简单基线，再考虑组合网络。参数、权重大小、RAM、前向及端到端延迟应分别报告，并在目标硬件上测量。燃料电池和光伏的结果提供方法启示，不能替代电钻实测。</w:t>
      </w:r>
    </w:p>
    <w:p>
      <w:pPr>
        <w:pStyle w:val="Heading1"/>
      </w:pPr>
      <w:r>
        <w:t>三、核心比较</w:t>
      </w:r>
    </w:p>
    <w:tbl>
      <w:tblPr>
        <w:tblStyle w:val="TableGrid"/>
        <w:tblW w:type="auto" w:w="0"/>
        <w:jc w:val="center"/>
        <w:tblLayout w:type="fixed"/>
        <w:tblLook w:firstColumn="1" w:firstRow="1" w:lastColumn="0" w:lastRow="0" w:noHBand="0" w:noVBand="1" w:val="04A0"/>
      </w:tblPr>
      <w:tblGrid>
        <w:gridCol w:w="2041"/>
        <w:gridCol w:w="3061"/>
        <w:gridCol w:w="3969"/>
      </w:tblGrid>
      <w:tr>
        <w:trPr>
          <w:cantSplit/>
          <w:tblHeader/>
        </w:trPr>
        <w:tc>
          <w:tcPr>
            <w:tcW w:type="dxa" w:w="2041"/>
            <w:vAlign w:val="center"/>
            <w:shd w:fill="E4EDF3"/>
          </w:tcPr>
          <w:p>
            <w:pPr>
              <w:pStyle w:val="ShortTable"/>
              <w:spacing w:after="60" w:before="60"/>
            </w:pPr>
            <w:r>
              <w:rPr>
                <w:b/>
              </w:rPr>
              <w:t>研究主题</w:t>
            </w:r>
          </w:p>
        </w:tc>
        <w:tc>
          <w:tcPr>
            <w:tcW w:type="dxa" w:w="3061"/>
            <w:vAlign w:val="center"/>
            <w:shd w:fill="E4EDF3"/>
          </w:tcPr>
          <w:p>
            <w:pPr>
              <w:pStyle w:val="ShortTable"/>
              <w:spacing w:after="60" w:before="60"/>
            </w:pPr>
            <w:r>
              <w:rPr>
                <w:b/>
              </w:rPr>
              <w:t>已有方法基础</w:t>
            </w:r>
          </w:p>
        </w:tc>
        <w:tc>
          <w:tcPr>
            <w:tcW w:type="dxa" w:w="3969"/>
            <w:vAlign w:val="center"/>
            <w:shd w:fill="E4EDF3"/>
          </w:tcPr>
          <w:p>
            <w:pPr>
              <w:pStyle w:val="ShortTable"/>
              <w:spacing w:after="60" w:before="60"/>
            </w:pPr>
            <w:r>
              <w:rPr>
                <w:b/>
              </w:rPr>
              <w:t>对电钻项目最需补证的内容</w:t>
            </w:r>
          </w:p>
        </w:tc>
      </w:tr>
      <w:tr>
        <w:trPr>
          <w:cantSplit/>
        </w:trPr>
        <w:tc>
          <w:tcPr>
            <w:tcW w:type="dxa" w:w="2041"/>
            <w:vAlign w:val="center"/>
          </w:tcPr>
          <w:p>
            <w:pPr>
              <w:pStyle w:val="ShortTable"/>
              <w:spacing w:after="60" w:before="60"/>
            </w:pPr>
            <w:r>
              <w:t>多源融合[1][2][9—11]</w:t>
            </w:r>
          </w:p>
        </w:tc>
        <w:tc>
          <w:tcPr>
            <w:tcW w:type="dxa" w:w="3061"/>
            <w:vAlign w:val="center"/>
          </w:tcPr>
          <w:p>
            <w:pPr>
              <w:pStyle w:val="ShortTable"/>
              <w:spacing w:after="60" w:before="60"/>
            </w:pPr>
            <w:r>
              <w:t>图像化、分支、注意力、异构数据</w:t>
            </w:r>
          </w:p>
        </w:tc>
        <w:tc>
          <w:tcPr>
            <w:tcW w:type="dxa" w:w="3969"/>
            <w:vAlign w:val="center"/>
          </w:tcPr>
          <w:p>
            <w:pPr>
              <w:pStyle w:val="ShortTable"/>
              <w:spacing w:after="60" w:before="60"/>
            </w:pPr>
            <w:r>
              <w:t>同步与质量；传感器异常和真实故障的区分</w:t>
            </w:r>
          </w:p>
        </w:tc>
      </w:tr>
      <w:tr>
        <w:trPr>
          <w:cantSplit/>
        </w:trPr>
        <w:tc>
          <w:tcPr>
            <w:tcW w:type="dxa" w:w="2041"/>
            <w:vAlign w:val="center"/>
          </w:tcPr>
          <w:p>
            <w:pPr>
              <w:pStyle w:val="ShortTable"/>
              <w:spacing w:after="60" w:before="60"/>
            </w:pPr>
            <w:r>
              <w:t>工况适应[3][4]</w:t>
            </w:r>
          </w:p>
        </w:tc>
        <w:tc>
          <w:tcPr>
            <w:tcW w:type="dxa" w:w="3061"/>
            <w:vAlign w:val="center"/>
          </w:tcPr>
          <w:p>
            <w:pPr>
              <w:pStyle w:val="ShortTable"/>
              <w:spacing w:after="60" w:before="60"/>
            </w:pPr>
            <w:r>
              <w:t>机理/工况输入、重采样、域适应</w:t>
            </w:r>
          </w:p>
        </w:tc>
        <w:tc>
          <w:tcPr>
            <w:tcW w:type="dxa" w:w="3969"/>
            <w:vAlign w:val="center"/>
          </w:tcPr>
          <w:p>
            <w:pPr>
              <w:pStyle w:val="ShortTable"/>
              <w:spacing w:after="60" w:before="60"/>
            </w:pPr>
            <w:r>
              <w:t>独立工具、未见工况、启停及负载切换</w:t>
            </w:r>
          </w:p>
        </w:tc>
      </w:tr>
      <w:tr>
        <w:trPr>
          <w:cantSplit/>
        </w:trPr>
        <w:tc>
          <w:tcPr>
            <w:tcW w:type="dxa" w:w="2041"/>
            <w:vAlign w:val="center"/>
          </w:tcPr>
          <w:p>
            <w:pPr>
              <w:pStyle w:val="ShortTable"/>
              <w:spacing w:after="60" w:before="60"/>
            </w:pPr>
            <w:r>
              <w:t>退化与寿命[5][6][7]</w:t>
            </w:r>
          </w:p>
        </w:tc>
        <w:tc>
          <w:tcPr>
            <w:tcW w:type="dxa" w:w="3061"/>
            <w:vAlign w:val="center"/>
          </w:tcPr>
          <w:p>
            <w:pPr>
              <w:pStyle w:val="ShortTable"/>
              <w:spacing w:after="60" w:before="60"/>
            </w:pPr>
            <w:r>
              <w:t>时序组合、特征筛选、物理标签</w:t>
            </w:r>
          </w:p>
        </w:tc>
        <w:tc>
          <w:tcPr>
            <w:tcW w:type="dxa" w:w="3969"/>
            <w:vAlign w:val="center"/>
          </w:tcPr>
          <w:p>
            <w:pPr>
              <w:pStyle w:val="ShortTable"/>
              <w:spacing w:after="60" w:before="60"/>
            </w:pPr>
            <w:r>
              <w:t>真实终点、早期预测、设备级划分和时间单位</w:t>
            </w:r>
          </w:p>
        </w:tc>
      </w:tr>
      <w:tr>
        <w:trPr>
          <w:cantSplit/>
        </w:trPr>
        <w:tc>
          <w:tcPr>
            <w:tcW w:type="dxa" w:w="2041"/>
            <w:vAlign w:val="center"/>
          </w:tcPr>
          <w:p>
            <w:pPr>
              <w:pStyle w:val="ShortTable"/>
              <w:spacing w:after="60" w:before="60"/>
            </w:pPr>
            <w:r>
              <w:t>资源约束[7][8]</w:t>
            </w:r>
          </w:p>
        </w:tc>
        <w:tc>
          <w:tcPr>
            <w:tcW w:type="dxa" w:w="3061"/>
            <w:vAlign w:val="center"/>
          </w:tcPr>
          <w:p>
            <w:pPr>
              <w:pStyle w:val="ShortTable"/>
              <w:spacing w:after="60" w:before="60"/>
            </w:pPr>
            <w:r>
              <w:t>并行结构、压缩、条件计算</w:t>
            </w:r>
          </w:p>
        </w:tc>
        <w:tc>
          <w:tcPr>
            <w:tcW w:type="dxa" w:w="3969"/>
            <w:vAlign w:val="center"/>
          </w:tcPr>
          <w:p>
            <w:pPr>
              <w:pStyle w:val="ShortTable"/>
              <w:spacing w:after="60" w:before="60"/>
            </w:pPr>
            <w:r>
              <w:t>相近效果基线及硬件上的完整处理开销</w:t>
            </w:r>
          </w:p>
        </w:tc>
      </w:tr>
    </w:tbl>
    <w:p>
      <w:pPr>
        <w:spacing w:after="0"/>
      </w:pPr>
    </w:p>
    <w:p>
      <w:pPr>
        <w:pStyle w:val="Heading1"/>
      </w:pPr>
      <w:r>
        <w:t>四、对本项目的认识与下一步</w:t>
      </w:r>
    </w:p>
    <w:p>
      <w:r>
        <w:t>这些文献足以支持搭建研究原型，但仅把传感器、Transformer-LSTM和告警组合起来，不能说明获得了新的技术贡献。当前CPU与网页Demo可以验证软件链路，仿真成绩还不能证明真实工具的寿命精度和预警天数。</w:t>
      </w:r>
    </w:p>
    <w:p>
      <w:r>
        <w:t>建议先限定电钻轴承，获得真实测量与独立损伤标签，采用简单模型建立基线，再研究工况及质量如何控制退化证据准入。维修后参考恢复可作为延伸，须用可比工况与独立健康确认验证，避免残余故障进入健康参考。两者都是待补查和实验的候选方向。</w:t>
      </w:r>
    </w:p>
    <w:p>
      <w:r>
        <w:t>与导师优先讨论：第一阶段是先做好状态/趋势，还是已有条件开展完整寿命实验；主要贡献聚焦数据准入，还是进一步包含维修后参考恢复。结论应由相同设备划分、可比预测器和逐项消融支持。</w:t>
      </w:r>
    </w:p>
    <w:p>
      <w:r>
        <w:br w:type="page"/>
      </w:r>
    </w:p>
    <w:p>
      <w:pPr>
        <w:pStyle w:val="Heading1"/>
      </w:pPr>
      <w:r>
        <w:t>参考文献</w:t>
      </w:r>
    </w:p>
    <w:p>
      <w:pPr>
        <w:pStyle w:val="ShortNote"/>
      </w:pPr>
      <w:r>
        <w:t>书目依据附件；[7][8][10]保留网络首发形式。[11]卷期与首发日期先后、[12]原文DOI与刊名对应关系待核验。详细阅读定位见同目录完整版。</w:t>
      </w:r>
    </w:p>
    <w:p>
      <w:pPr>
        <w:pStyle w:val="ShortRef"/>
      </w:pPr>
      <w:r>
        <w:t>[1] WANG H, LI S, SONG L, et al. An Enhanced Intelligent Diagnosis Method Based on Multi-Sensor Image Fusion via Improved Deep Learning Network[J]. IEEE Transactions on Instrumentation and Measurement, 2020, 69(6): 2648–2657. DOI: 10.1109/TIM.2019.2928346.</w:t>
      </w:r>
    </w:p>
    <w:p>
      <w:pPr>
        <w:pStyle w:val="ShortRef"/>
      </w:pPr>
      <w:r>
        <w:t>[2] 古玉锋, 燕钢强, 黎程山, 等. 多模态残差注意力网络异步电动机故障诊断[J]. 振动、测试与诊断, 2026, 46(1): 123–131. DOI: 10.16450/j.cnki.issn.1004-6801.2026.01.017.</w:t>
      </w:r>
    </w:p>
    <w:p>
      <w:pPr>
        <w:pStyle w:val="ShortRef"/>
      </w:pPr>
      <w:r>
        <w:t>[3] GUO S, ZHANG B, YANG T, et al. Multitask Convolutional Neural Network With Information Fusion for Bearing Fault Diagnosis and Localization[J]. IEEE Transactions on Industrial Electronics, 2020, 67(9): 8005–8015. DOI: 10.1109/TIE.2019.2942548.</w:t>
      </w:r>
    </w:p>
    <w:p>
      <w:pPr>
        <w:pStyle w:val="ShortRef"/>
      </w:pPr>
      <w:r>
        <w:t>[4] LI T, ZHAO Z, SUN C, et al. Domain Adversarial Graph Convolutional Network for Fault Diagnosis Under Variable Working Conditions[J]. IEEE Transactions on Instrumentation and Measurement, 2021, 70: 3515010. DOI: 10.1109/TIM.2021.3075016.</w:t>
      </w:r>
    </w:p>
    <w:p>
      <w:pPr>
        <w:pStyle w:val="ShortRef"/>
      </w:pPr>
      <w:r>
        <w:t>[5] 张帆, 姚德臣, 姚圣卓, 等. 基于Transformer-LSTM网络的轴承寿命预测[J]. 振动与冲击, 2024, 43(6): 320–328. DOI: 10.13465/j.cnki.jvs.2024.06.034.</w:t>
      </w:r>
    </w:p>
    <w:p>
      <w:pPr>
        <w:pStyle w:val="ShortRef"/>
      </w:pPr>
      <w:r>
        <w:t>[6] 周文军. 基于深度学习的刀具磨损状态监测研究[D]. 绵阳: 西南科技大学, 2024.</w:t>
      </w:r>
    </w:p>
    <w:p>
      <w:pPr>
        <w:pStyle w:val="ShortRef"/>
      </w:pPr>
      <w:r>
        <w:t>[7] 郑隆举, 黄娇娇, 韩云飞, 等. 考虑模型轻量化设计的PEMFC性能退化预测方法[J/OL]. 铁道科学与工程学报, 2026（网络首发2026-06-03）. DOI: 10.19713/j.cnki.43-1423/u.T20260268.</w:t>
      </w:r>
    </w:p>
    <w:p>
      <w:pPr>
        <w:pStyle w:val="ShortRef"/>
      </w:pPr>
      <w:r>
        <w:t>[8] 龙寰, 孙金通, 蔡辉煌, 等. 算力受限场景下基于混合注意力和稀疏激活的轻量化光伏功率预测模型[J/OL]. 中国电机工程学报, 2026（网络首发2026-06-24）. https://link.cnki.net/urlid/11.2107.TM.20260624.1018.002.</w:t>
      </w:r>
    </w:p>
    <w:p>
      <w:pPr>
        <w:pStyle w:val="ShortRef"/>
      </w:pPr>
      <w:r>
        <w:t>[9] 郎恂, 杨凌旭, 吴建德, 等. 基于双模态数据融合网络的工业过程控制回路振荡检测[J]. 仪器仪表学报, 2026, 47(8): 31–45. 附件网络首发2026-08-28.</w:t>
      </w:r>
    </w:p>
    <w:p>
      <w:pPr>
        <w:pStyle w:val="ShortRef"/>
      </w:pPr>
      <w:r>
        <w:t>[10] 蓝鑫, 秦小林. 融合增强和特征精细化网络的无人平台旋转目标检测[J/OL]. 计算机应用, 2026（网络首发2026-08-26）. DOI: 10.11772/j.issn.1001-9081.2026020185.</w:t>
      </w:r>
    </w:p>
    <w:p>
      <w:pPr>
        <w:pStyle w:val="ShortRef"/>
      </w:pPr>
      <w:r>
        <w:t>[11] 李亚敏, 杨志波, 张全斌, 等. 多模态数据融合下超声辅助激光熔覆层形性预测[J/OL]. 机械工程学报, 2026（附件标注62卷11期及网络首发2026-09-04，出版先后待核验）. DOI: 10.3901/JME.260805.</w:t>
      </w:r>
    </w:p>
    <w:p>
      <w:pPr>
        <w:pStyle w:val="ShortRef"/>
      </w:pPr>
      <w:r>
        <w:t>[12] 朱斌, 胡新丰. 模块化电动工具在塑料制品生产应急维修中的应用研究[J]. 轻工标准与质量, 2026(2): 182–184. 原文载DOI: 10.19541/j.cnki.issn1004-4108.2026.02.061（待核验）.</w:t>
      </w:r>
    </w:p>
    <w:sectPr w:rsidR="00FC693F" w:rsidRPr="0006063C" w:rsidSect="00034616">
      <w:headerReference w:type="default" r:id="rId9"/>
      <w:footerReference w:type="default" r:id="rId10"/>
      <w:pgSz w:w="11906" w:h="16838"/>
      <w:pgMar w:top="1191" w:right="1417" w:bottom="1191"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hortNote"/>
      <w:jc w:val="center"/>
    </w:pPr>
    <w:r>
      <w:t xml:space="preserve">第 </w:t>
    </w:r>
    <w:fldSimple w:instr=" PAGE ">
      <w:r>
        <w:t>1</w:t>
      </w:r>
    </w:fldSimpl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hortNote"/>
    </w:pPr>
    <w:r>
      <w:t>电动工具预测性维护 · 文献综述精简版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0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ind w:firstLine="0"/>
      <w:outlineLvl w:val="0"/>
    </w:pPr>
    <w:rPr>
      <w:rFonts w:asciiTheme="majorHAnsi" w:eastAsiaTheme="majorEastAsia" w:hAnsiTheme="majorHAnsi" w:cstheme="majorBidi" w:ascii="Times New Roman" w:hAnsi="Times New Roman" w:eastAsia="黑体"/>
      <w:b/>
      <w:bCs/>
      <w:color w:val="254C65"/>
      <w:sz w:val="24"/>
      <w:szCs w:val="28"/>
    </w:rPr>
  </w:style>
  <w:style w:type="paragraph" w:styleId="Heading2">
    <w:name w:val="heading 2"/>
    <w:basedOn w:val="Normal"/>
    <w:next w:val="Normal"/>
    <w:link w:val="Heading2Char"/>
    <w:uiPriority w:val="9"/>
    <w:unhideWhenUsed/>
    <w:qFormat/>
    <w:rsid w:val="00FC693F"/>
    <w:pPr>
      <w:keepNext/>
      <w:keepLines/>
      <w:spacing w:before="180" w:after="100"/>
      <w:ind w:firstLine="0"/>
      <w:outlineLvl w:val="1"/>
    </w:pPr>
    <w:rPr>
      <w:rFonts w:asciiTheme="majorHAnsi" w:eastAsiaTheme="majorEastAsia" w:hAnsiTheme="majorHAnsi" w:cstheme="majorBidi" w:ascii="Times New Roman" w:hAnsi="Times New Roman" w:eastAsia="黑体"/>
      <w:b/>
      <w:bCs/>
      <w:color w:val="254C6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80"/>
      <w:ind w:firstLine="0"/>
      <w:contextualSpacing/>
    </w:pPr>
    <w:rPr>
      <w:rFonts w:asciiTheme="majorHAnsi" w:eastAsiaTheme="majorEastAsia" w:hAnsiTheme="majorHAnsi" w:cstheme="majorBidi" w:ascii="Times New Roman" w:hAnsi="Times New Roman" w:eastAsia="黑体"/>
      <w:color w:val="254C65"/>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hortNote">
    <w:name w:val="Short Note"/>
    <w:basedOn w:val="Normal"/>
    <w:pPr>
      <w:spacing w:line="264" w:lineRule="auto" w:after="100"/>
      <w:ind w:firstLine="0"/>
    </w:pPr>
    <w:rPr>
      <w:rFonts w:ascii="Times New Roman" w:hAnsi="Times New Roman" w:eastAsia="宋体"/>
      <w:sz w:val="18"/>
    </w:rPr>
  </w:style>
  <w:style w:type="paragraph" w:customStyle="1" w:styleId="ShortRef">
    <w:name w:val="Short Ref"/>
    <w:basedOn w:val="Normal"/>
    <w:pPr>
      <w:spacing w:line="264" w:lineRule="auto" w:after="160"/>
      <w:ind w:left="380" w:hanging="380"/>
    </w:pPr>
    <w:rPr>
      <w:rFonts w:ascii="Times New Roman" w:hAnsi="Times New Roman" w:eastAsia="宋体"/>
      <w:sz w:val="19"/>
    </w:rPr>
  </w:style>
  <w:style w:type="paragraph" w:customStyle="1" w:styleId="ShortTable">
    <w:name w:val="Short Table"/>
    <w:basedOn w:val="Normal"/>
    <w:pPr>
      <w:spacing w:line="264" w:lineRule="auto" w:after="100"/>
      <w:ind w:firstLine="0"/>
    </w:pPr>
    <w:rPr>
      <w:rFonts w:ascii="Times New Roman" w:hAnsi="Times New Roman" w:eastAsia="宋体"/>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电动工具预测性维护相关研究综述（讨论精简版）</dc:title>
  <dc:subject>12篇附件论文的讨论精简版综述</dc:subject>
  <dc:creator>项目研究资料整理</dc:creator>
  <cp:keywords/>
  <dc:description>generated by python-docx</dc:description>
  <cp:lastModifiedBy/>
  <cp:revision>1</cp:revision>
  <dcterms:created xsi:type="dcterms:W3CDTF">2026-10-09T00:00:00Z</dcterms:created>
  <dcterms:modified xsi:type="dcterms:W3CDTF">2026-10-09T00:00:00Z</dcterms:modified>
  <cp:category/>
</cp:coreProperties>
</file>